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4BFDE">
      <w:pPr>
        <w:adjustRightInd w:val="0"/>
        <w:snapToGrid w:val="0"/>
        <w:spacing w:line="288" w:lineRule="auto"/>
        <w:ind w:firstLine="1040"/>
        <w:jc w:val="center"/>
        <w:rPr>
          <w:rFonts w:eastAsia="仿宋_GB2312"/>
          <w:sz w:val="36"/>
          <w:szCs w:val="36"/>
        </w:rPr>
      </w:pPr>
      <w:bookmarkStart w:id="0" w:name="_Hlk57884087"/>
    </w:p>
    <w:p w14:paraId="498179B2">
      <w:pPr>
        <w:keepNext w:val="0"/>
        <w:keepLines w:val="0"/>
        <w:pageBreakBefore w:val="0"/>
        <w:widowControl w:val="0"/>
        <w:kinsoku/>
        <w:wordWrap/>
        <w:overflowPunct/>
        <w:topLinePunct w:val="0"/>
        <w:autoSpaceDE/>
        <w:autoSpaceDN/>
        <w:bidi w:val="0"/>
        <w:adjustRightInd w:val="0"/>
        <w:snapToGrid w:val="0"/>
        <w:spacing w:line="240" w:lineRule="auto"/>
        <w:ind w:firstLine="0"/>
        <w:textAlignment w:val="auto"/>
        <w:rPr>
          <w:rFonts w:hint="eastAsia" w:eastAsia="仿宋_GB2312"/>
          <w:sz w:val="36"/>
          <w:szCs w:val="36"/>
          <w:lang w:eastAsia="zh-CN"/>
        </w:rPr>
      </w:pPr>
      <w:r>
        <w:rPr>
          <w:rFonts w:hint="eastAsia" w:eastAsia="仿宋_GB2312"/>
          <w:sz w:val="36"/>
          <w:szCs w:val="36"/>
          <w:lang w:eastAsia="zh-CN"/>
        </w:rPr>
        <w:drawing>
          <wp:inline distT="0" distB="0" distL="114300" distR="114300">
            <wp:extent cx="5759450" cy="8121650"/>
            <wp:effectExtent l="0" t="0" r="12700" b="12700"/>
            <wp:docPr id="82" name="图片 82" descr="90a0fe9464c6a6dcf9128f1d540a1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90a0fe9464c6a6dcf9128f1d540a1bed"/>
                    <pic:cNvPicPr>
                      <a:picLocks noChangeAspect="1"/>
                    </pic:cNvPicPr>
                  </pic:nvPicPr>
                  <pic:blipFill>
                    <a:blip r:embed="rId7"/>
                    <a:stretch>
                      <a:fillRect/>
                    </a:stretch>
                  </pic:blipFill>
                  <pic:spPr>
                    <a:xfrm>
                      <a:off x="0" y="0"/>
                      <a:ext cx="5759450" cy="8121650"/>
                    </a:xfrm>
                    <a:prstGeom prst="rect">
                      <a:avLst/>
                    </a:prstGeom>
                  </pic:spPr>
                </pic:pic>
              </a:graphicData>
            </a:graphic>
          </wp:inline>
        </w:drawing>
      </w:r>
      <w:r>
        <w:rPr>
          <w:sz w:val="36"/>
        </w:rPr>
        <mc:AlternateContent>
          <mc:Choice Requires="wps">
            <w:drawing>
              <wp:anchor distT="0" distB="0" distL="114300" distR="114300" simplePos="0" relativeHeight="251728896" behindDoc="0" locked="0" layoutInCell="1" allowOverlap="1">
                <wp:simplePos x="0" y="0"/>
                <wp:positionH relativeFrom="column">
                  <wp:posOffset>837565</wp:posOffset>
                </wp:positionH>
                <wp:positionV relativeFrom="paragraph">
                  <wp:posOffset>1774190</wp:posOffset>
                </wp:positionV>
                <wp:extent cx="3937000" cy="4514850"/>
                <wp:effectExtent l="6350" t="6350" r="19050" b="12700"/>
                <wp:wrapNone/>
                <wp:docPr id="85" name="矩形 85"/>
                <wp:cNvGraphicFramePr/>
                <a:graphic xmlns:a="http://schemas.openxmlformats.org/drawingml/2006/main">
                  <a:graphicData uri="http://schemas.microsoft.com/office/word/2010/wordprocessingShape">
                    <wps:wsp>
                      <wps:cNvSpPr/>
                      <wps:spPr>
                        <a:xfrm>
                          <a:off x="1737995" y="2674620"/>
                          <a:ext cx="3937000" cy="451485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52AC25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5.95pt;margin-top:139.7pt;height:355.5pt;width:310pt;z-index:251728896;v-text-anchor:middle;mso-width-relative:page;mso-height-relative:page;" fillcolor="#FFFFFF [3212]" filled="t" stroked="t" coordsize="21600,21600" o:gfxdata="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EqSowTZAAAACwEAAA8AAAAAAAAA&#10;AQAgAAAAIgAAAGRycy9kb3ducmV2LnhtbFBLAQIUABQAAAAIAIdO4kDSkshTggIAAA4FAAAOAAAA&#10;AAAAAAEAIAAAACgBAABkcnMvZTJvRG9jLnhtbFBLBQYAAAAABgAGAFkBAAAcBgAAAAA=&#10;">
                <v:fill on="t" focussize="0,0"/>
                <v:stroke weight="1pt" color="#FFFFFF [3212]" miterlimit="8" joinstyle="miter"/>
                <v:imagedata o:title=""/>
                <o:lock v:ext="edit" aspectratio="f"/>
                <v:textbox>
                  <w:txbxContent>
                    <w:p w14:paraId="752AC25B">
                      <w:pPr>
                        <w:jc w:val="center"/>
                      </w:pPr>
                    </w:p>
                  </w:txbxContent>
                </v:textbox>
              </v:rect>
            </w:pict>
          </mc:Fallback>
        </mc:AlternateContent>
      </w:r>
      <w:r>
        <w:rPr>
          <w:rFonts w:hint="eastAsia" w:eastAsia="仿宋_GB2312"/>
          <w:sz w:val="36"/>
          <w:szCs w:val="36"/>
          <w:lang w:eastAsia="zh-CN"/>
        </w:rPr>
        <w:drawing>
          <wp:inline distT="0" distB="0" distL="114300" distR="114300">
            <wp:extent cx="5758180" cy="7947660"/>
            <wp:effectExtent l="0" t="0" r="13970" b="15240"/>
            <wp:docPr id="83" name="图片 83" descr="ef6e1d66bc95be45f0c928b0c1abad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ef6e1d66bc95be45f0c928b0c1abad73"/>
                    <pic:cNvPicPr>
                      <a:picLocks noChangeAspect="1"/>
                    </pic:cNvPicPr>
                  </pic:nvPicPr>
                  <pic:blipFill>
                    <a:blip r:embed="rId8"/>
                    <a:stretch>
                      <a:fillRect/>
                    </a:stretch>
                  </pic:blipFill>
                  <pic:spPr>
                    <a:xfrm>
                      <a:off x="0" y="0"/>
                      <a:ext cx="5758180" cy="7947660"/>
                    </a:xfrm>
                    <a:prstGeom prst="rect">
                      <a:avLst/>
                    </a:prstGeom>
                  </pic:spPr>
                </pic:pic>
              </a:graphicData>
            </a:graphic>
          </wp:inline>
        </w:drawing>
      </w:r>
    </w:p>
    <w:bookmarkEnd w:id="0"/>
    <w:p w14:paraId="31E4D5F4">
      <w:pPr>
        <w:spacing w:line="360" w:lineRule="auto"/>
        <w:rPr>
          <w:rFonts w:hint="eastAsia" w:eastAsiaTheme="minorEastAsia"/>
          <w:lang w:eastAsia="zh-CN"/>
        </w:rPr>
      </w:pPr>
      <w:r>
        <w:rPr>
          <w:rFonts w:hint="eastAsia" w:eastAsiaTheme="minorEastAsia"/>
          <w:lang w:eastAsia="zh-CN"/>
        </w:rPr>
        <w:drawing>
          <wp:inline distT="0" distB="0" distL="114300" distR="114300">
            <wp:extent cx="5755005" cy="8628380"/>
            <wp:effectExtent l="0" t="0" r="17145" b="1270"/>
            <wp:docPr id="10" name="图片 10" descr="fadcf8a87b6a5f00ff0f2bcd1bd91a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adcf8a87b6a5f00ff0f2bcd1bd91a6c"/>
                    <pic:cNvPicPr>
                      <a:picLocks noChangeAspect="1"/>
                    </pic:cNvPicPr>
                  </pic:nvPicPr>
                  <pic:blipFill>
                    <a:blip r:embed="rId9"/>
                    <a:stretch>
                      <a:fillRect/>
                    </a:stretch>
                  </pic:blipFill>
                  <pic:spPr>
                    <a:xfrm>
                      <a:off x="0" y="0"/>
                      <a:ext cx="5755005" cy="8628380"/>
                    </a:xfrm>
                    <a:prstGeom prst="rect">
                      <a:avLst/>
                    </a:prstGeom>
                  </pic:spPr>
                </pic:pic>
              </a:graphicData>
            </a:graphic>
          </wp:inline>
        </w:drawing>
      </w:r>
      <w:r>
        <w:rPr>
          <w:rFonts w:hint="eastAsia" w:eastAsiaTheme="minorEastAsia"/>
          <w:lang w:eastAsia="zh-CN"/>
        </w:rPr>
        <w:drawing>
          <wp:inline distT="0" distB="0" distL="114300" distR="114300">
            <wp:extent cx="5755005" cy="7964805"/>
            <wp:effectExtent l="0" t="0" r="17145" b="17145"/>
            <wp:docPr id="75" name="图片 75" descr="50b00efa488e358bdb18aedd2e82e9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50b00efa488e358bdb18aedd2e82e90a"/>
                    <pic:cNvPicPr>
                      <a:picLocks noChangeAspect="1"/>
                    </pic:cNvPicPr>
                  </pic:nvPicPr>
                  <pic:blipFill>
                    <a:blip r:embed="rId10"/>
                    <a:stretch>
                      <a:fillRect/>
                    </a:stretch>
                  </pic:blipFill>
                  <pic:spPr>
                    <a:xfrm>
                      <a:off x="0" y="0"/>
                      <a:ext cx="5755005" cy="7964805"/>
                    </a:xfrm>
                    <a:prstGeom prst="rect">
                      <a:avLst/>
                    </a:prstGeom>
                  </pic:spPr>
                </pic:pic>
              </a:graphicData>
            </a:graphic>
          </wp:inline>
        </w:drawing>
      </w:r>
      <w:r>
        <w:rPr>
          <w:sz w:val="21"/>
        </w:rPr>
        <mc:AlternateContent>
          <mc:Choice Requires="wps">
            <w:drawing>
              <wp:anchor distT="0" distB="0" distL="114300" distR="114300" simplePos="0" relativeHeight="251729920" behindDoc="0" locked="0" layoutInCell="1" allowOverlap="1">
                <wp:simplePos x="0" y="0"/>
                <wp:positionH relativeFrom="column">
                  <wp:posOffset>1142365</wp:posOffset>
                </wp:positionH>
                <wp:positionV relativeFrom="paragraph">
                  <wp:posOffset>1569085</wp:posOffset>
                </wp:positionV>
                <wp:extent cx="3238500" cy="3067050"/>
                <wp:effectExtent l="6350" t="6350" r="12700" b="12700"/>
                <wp:wrapNone/>
                <wp:docPr id="86" name="矩形 86"/>
                <wp:cNvGraphicFramePr/>
                <a:graphic xmlns:a="http://schemas.openxmlformats.org/drawingml/2006/main">
                  <a:graphicData uri="http://schemas.microsoft.com/office/word/2010/wordprocessingShape">
                    <wps:wsp>
                      <wps:cNvSpPr/>
                      <wps:spPr>
                        <a:xfrm>
                          <a:off x="2042795" y="2469515"/>
                          <a:ext cx="3238500" cy="306705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95pt;margin-top:123.55pt;height:241.5pt;width:255pt;z-index:251729920;v-text-anchor:middle;mso-width-relative:page;mso-height-relative:page;" fillcolor="#FFFFFF [3212]" filled="t" stroked="t" coordsize="21600,21600" o:gfxdata="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4dGd/2QAAAAsBAAAPAAAAAAAAAAEAIAAAACIA&#10;AABkcnMvZG93bnJldi54bWxQSwECFAAUAAAACACHTuJAe3GnmXoCAAADBQAADgAAAAAAAAABACAA&#10;AAAoAQAAZHJzL2Uyb0RvYy54bWxQSwUGAAAAAAYABgBZAQAAFAYAAAAA&#10;">
                <v:fill on="t" focussize="0,0"/>
                <v:stroke weight="1pt" color="#FFFFFF [3212]" miterlimit="8" joinstyle="miter"/>
                <v:imagedata o:title=""/>
                <o:lock v:ext="edit" aspectratio="f"/>
              </v:rect>
            </w:pict>
          </mc:Fallback>
        </mc:AlternateContent>
      </w:r>
      <w:r>
        <w:rPr>
          <w:rFonts w:hint="eastAsia" w:eastAsiaTheme="minorEastAsia"/>
          <w:lang w:eastAsia="zh-CN"/>
        </w:rPr>
        <w:drawing>
          <wp:inline distT="0" distB="0" distL="114300" distR="114300">
            <wp:extent cx="5753735" cy="8114665"/>
            <wp:effectExtent l="0" t="0" r="18415" b="635"/>
            <wp:docPr id="76" name="图片 76" descr="072afad76801b340fdb28c1d90ddfe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072afad76801b340fdb28c1d90ddfec7"/>
                    <pic:cNvPicPr>
                      <a:picLocks noChangeAspect="1"/>
                    </pic:cNvPicPr>
                  </pic:nvPicPr>
                  <pic:blipFill>
                    <a:blip r:embed="rId11"/>
                    <a:stretch>
                      <a:fillRect/>
                    </a:stretch>
                  </pic:blipFill>
                  <pic:spPr>
                    <a:xfrm>
                      <a:off x="0" y="0"/>
                      <a:ext cx="5753735" cy="8114665"/>
                    </a:xfrm>
                    <a:prstGeom prst="rect">
                      <a:avLst/>
                    </a:prstGeom>
                  </pic:spPr>
                </pic:pic>
              </a:graphicData>
            </a:graphic>
          </wp:inline>
        </w:drawing>
      </w:r>
    </w:p>
    <w:p w14:paraId="32F0D260">
      <w:pPr>
        <w:widowControl/>
        <w:jc w:val="center"/>
        <w:rPr>
          <w:rFonts w:hint="eastAsia" w:eastAsia="宋体"/>
          <w:lang w:eastAsia="zh-CN"/>
        </w:rPr>
      </w:pPr>
      <w:r>
        <w:rPr>
          <w:rFonts w:ascii="Times New Roman" w:hAnsi="Times New Roman" w:eastAsia="宋体" w:cs="Times New Roman"/>
          <w:sz w:val="24"/>
          <w:szCs w:val="22"/>
          <w:lang w:bidi="ar"/>
        </w:rPr>
        <w:br w:type="page"/>
      </w:r>
      <w:r>
        <w:rPr>
          <w:rFonts w:hint="eastAsia" w:eastAsia="宋体"/>
          <w:lang w:eastAsia="zh-CN"/>
        </w:rPr>
        <w:drawing>
          <wp:inline distT="0" distB="0" distL="114300" distR="114300">
            <wp:extent cx="5756275" cy="8114030"/>
            <wp:effectExtent l="0" t="0" r="15875" b="1270"/>
            <wp:docPr id="77" name="图片 77" descr="7e7977d19f644349d6ba140191689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7e7977d19f644349d6ba140191689727"/>
                    <pic:cNvPicPr>
                      <a:picLocks noChangeAspect="1"/>
                    </pic:cNvPicPr>
                  </pic:nvPicPr>
                  <pic:blipFill>
                    <a:blip r:embed="rId12"/>
                    <a:stretch>
                      <a:fillRect/>
                    </a:stretch>
                  </pic:blipFill>
                  <pic:spPr>
                    <a:xfrm>
                      <a:off x="0" y="0"/>
                      <a:ext cx="5756275" cy="8114030"/>
                    </a:xfrm>
                    <a:prstGeom prst="rect">
                      <a:avLst/>
                    </a:prstGeom>
                  </pic:spPr>
                </pic:pic>
              </a:graphicData>
            </a:graphic>
          </wp:inline>
        </w:drawing>
      </w:r>
      <w:r>
        <w:rPr>
          <w:sz w:val="21"/>
        </w:rPr>
        <mc:AlternateContent>
          <mc:Choice Requires="wps">
            <w:drawing>
              <wp:anchor distT="0" distB="0" distL="114300" distR="114300" simplePos="0" relativeHeight="251730944" behindDoc="0" locked="0" layoutInCell="1" allowOverlap="1">
                <wp:simplePos x="0" y="0"/>
                <wp:positionH relativeFrom="column">
                  <wp:posOffset>1485265</wp:posOffset>
                </wp:positionH>
                <wp:positionV relativeFrom="paragraph">
                  <wp:posOffset>3016250</wp:posOffset>
                </wp:positionV>
                <wp:extent cx="3206750" cy="4133215"/>
                <wp:effectExtent l="6350" t="6350" r="6350" b="13335"/>
                <wp:wrapNone/>
                <wp:docPr id="87" name="矩形 87"/>
                <wp:cNvGraphicFramePr/>
                <a:graphic xmlns:a="http://schemas.openxmlformats.org/drawingml/2006/main">
                  <a:graphicData uri="http://schemas.microsoft.com/office/word/2010/wordprocessingShape">
                    <wps:wsp>
                      <wps:cNvSpPr/>
                      <wps:spPr>
                        <a:xfrm>
                          <a:off x="2385695" y="4849495"/>
                          <a:ext cx="3206750" cy="4133215"/>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6.95pt;margin-top:237.5pt;height:325.45pt;width:252.5pt;z-index:251730944;v-text-anchor:middle;mso-width-relative:page;mso-height-relative:page;" fillcolor="#FFFFFF [3212]" filled="t" stroked="t" coordsize="21600,21600" o:gfxdata="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e6qT2NoAAAAMAQAADwAAAAAAAAABACAAAAAi&#10;AAAAZHJzL2Rvd25yZXYueG1sUEsBAhQAFAAAAAgAh07iQP9/pb56AgAAAwUAAA4AAAAAAAAAAQAg&#10;AAAAKQEAAGRycy9lMm9Eb2MueG1sUEsFBgAAAAAGAAYAWQEAABUGAAAAAA==&#10;">
                <v:fill on="t" focussize="0,0"/>
                <v:stroke weight="1pt" color="#FFFFFF [3212]" miterlimit="8" joinstyle="miter"/>
                <v:imagedata o:title=""/>
                <o:lock v:ext="edit" aspectratio="f"/>
              </v:rect>
            </w:pict>
          </mc:Fallback>
        </mc:AlternateContent>
      </w:r>
      <w:r>
        <w:rPr>
          <w:rFonts w:hint="eastAsia" w:eastAsia="宋体"/>
          <w:lang w:eastAsia="zh-CN"/>
        </w:rPr>
        <w:drawing>
          <wp:inline distT="0" distB="0" distL="114300" distR="114300">
            <wp:extent cx="5754370" cy="8070215"/>
            <wp:effectExtent l="0" t="0" r="17780" b="6985"/>
            <wp:docPr id="78" name="图片 78" descr="92899d6509b57c40b266989e0c6c4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92899d6509b57c40b266989e0c6c4701"/>
                    <pic:cNvPicPr>
                      <a:picLocks noChangeAspect="1"/>
                    </pic:cNvPicPr>
                  </pic:nvPicPr>
                  <pic:blipFill>
                    <a:blip r:embed="rId13"/>
                    <a:stretch>
                      <a:fillRect/>
                    </a:stretch>
                  </pic:blipFill>
                  <pic:spPr>
                    <a:xfrm>
                      <a:off x="0" y="0"/>
                      <a:ext cx="5754370" cy="8070215"/>
                    </a:xfrm>
                    <a:prstGeom prst="rect">
                      <a:avLst/>
                    </a:prstGeom>
                  </pic:spPr>
                </pic:pic>
              </a:graphicData>
            </a:graphic>
          </wp:inline>
        </w:drawing>
      </w:r>
      <w:r>
        <w:rPr>
          <w:sz w:val="21"/>
        </w:rPr>
        <mc:AlternateContent>
          <mc:Choice Requires="wps">
            <w:drawing>
              <wp:anchor distT="0" distB="0" distL="114300" distR="114300" simplePos="0" relativeHeight="251731968" behindDoc="0" locked="0" layoutInCell="1" allowOverlap="1">
                <wp:simplePos x="0" y="0"/>
                <wp:positionH relativeFrom="column">
                  <wp:posOffset>520065</wp:posOffset>
                </wp:positionH>
                <wp:positionV relativeFrom="paragraph">
                  <wp:posOffset>557530</wp:posOffset>
                </wp:positionV>
                <wp:extent cx="4565650" cy="3784600"/>
                <wp:effectExtent l="6350" t="6350" r="19050" b="19050"/>
                <wp:wrapNone/>
                <wp:docPr id="88" name="矩形 88"/>
                <wp:cNvGraphicFramePr/>
                <a:graphic xmlns:a="http://schemas.openxmlformats.org/drawingml/2006/main">
                  <a:graphicData uri="http://schemas.microsoft.com/office/word/2010/wordprocessingShape">
                    <wps:wsp>
                      <wps:cNvSpPr/>
                      <wps:spPr>
                        <a:xfrm>
                          <a:off x="1420495" y="1457960"/>
                          <a:ext cx="4565650" cy="378460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95pt;margin-top:43.9pt;height:298pt;width:359.5pt;z-index:251731968;v-text-anchor:middle;mso-width-relative:page;mso-height-relative:page;" fillcolor="#FFFFFF [3212]" filled="t" stroked="t" coordsize="21600,21600" o:gfxdata="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InD0o1wAAAAkBAAAPAAAAAAAAAAEAIAAAACIAAABkcnMv&#10;ZG93bnJldi54bWxQSwECFAAUAAAACACHTuJAwN5UwXYCAAADBQAADgAAAAAAAAABACAAAAAmAQAA&#10;ZHJzL2Uyb0RvYy54bWxQSwUGAAAAAAYABgBZAQAADgYAAAAA&#10;">
                <v:fill on="t" focussize="0,0"/>
                <v:stroke weight="1pt" color="#FFFFFF [3212]" miterlimit="8" joinstyle="miter"/>
                <v:imagedata o:title=""/>
                <o:lock v:ext="edit" aspectratio="f"/>
              </v:rect>
            </w:pict>
          </mc:Fallback>
        </mc:AlternateContent>
      </w:r>
      <w:r>
        <w:rPr>
          <w:rFonts w:hint="eastAsia" w:eastAsia="宋体"/>
          <w:lang w:eastAsia="zh-CN"/>
        </w:rPr>
        <w:drawing>
          <wp:inline distT="0" distB="0" distL="114300" distR="114300">
            <wp:extent cx="5756910" cy="8114665"/>
            <wp:effectExtent l="0" t="0" r="15240" b="635"/>
            <wp:docPr id="79" name="图片 79" descr="3b4816ca088df79b751ccbf059d864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3b4816ca088df79b751ccbf059d864de"/>
                    <pic:cNvPicPr>
                      <a:picLocks noChangeAspect="1"/>
                    </pic:cNvPicPr>
                  </pic:nvPicPr>
                  <pic:blipFill>
                    <a:blip r:embed="rId14"/>
                    <a:stretch>
                      <a:fillRect/>
                    </a:stretch>
                  </pic:blipFill>
                  <pic:spPr>
                    <a:xfrm>
                      <a:off x="0" y="0"/>
                      <a:ext cx="5756910" cy="8114665"/>
                    </a:xfrm>
                    <a:prstGeom prst="rect">
                      <a:avLst/>
                    </a:prstGeom>
                  </pic:spPr>
                </pic:pic>
              </a:graphicData>
            </a:graphic>
          </wp:inline>
        </w:drawing>
      </w:r>
      <w:r>
        <w:rPr>
          <w:sz w:val="21"/>
        </w:rPr>
        <mc:AlternateContent>
          <mc:Choice Requires="wps">
            <w:drawing>
              <wp:anchor distT="0" distB="0" distL="114300" distR="114300" simplePos="0" relativeHeight="251732992" behindDoc="0" locked="0" layoutInCell="1" allowOverlap="1">
                <wp:simplePos x="0" y="0"/>
                <wp:positionH relativeFrom="column">
                  <wp:posOffset>399415</wp:posOffset>
                </wp:positionH>
                <wp:positionV relativeFrom="paragraph">
                  <wp:posOffset>804545</wp:posOffset>
                </wp:positionV>
                <wp:extent cx="4705350" cy="3486150"/>
                <wp:effectExtent l="6350" t="6350" r="12700" b="12700"/>
                <wp:wrapNone/>
                <wp:docPr id="89" name="矩形 89"/>
                <wp:cNvGraphicFramePr/>
                <a:graphic xmlns:a="http://schemas.openxmlformats.org/drawingml/2006/main">
                  <a:graphicData uri="http://schemas.microsoft.com/office/word/2010/wordprocessingShape">
                    <wps:wsp>
                      <wps:cNvSpPr/>
                      <wps:spPr>
                        <a:xfrm>
                          <a:off x="1299845" y="1704975"/>
                          <a:ext cx="4705350" cy="348615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45pt;margin-top:63.35pt;height:274.5pt;width:370.5pt;z-index:251732992;v-text-anchor:middle;mso-width-relative:page;mso-height-relative:page;" fillcolor="#FFFFFF [3212]" filled="t" stroked="t" coordsize="21600,21600" o:gfxdata="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X4lzktgAAAAKAQAADwAAAAAAAAABACAAAAAiAAAAZHJz&#10;L2Rvd25yZXYueG1sUEsBAhQAFAAAAAgAh07iQNOy1Jh2AgAAAwUAAA4AAAAAAAAAAQAgAAAAJwEA&#10;AGRycy9lMm9Eb2MueG1sUEsFBgAAAAAGAAYAWQEAAA8GAAAAAA==&#10;">
                <v:fill on="t" focussize="0,0"/>
                <v:stroke weight="1pt" color="#FFFFFF [3212]" miterlimit="8" joinstyle="miter"/>
                <v:imagedata o:title=""/>
                <o:lock v:ext="edit" aspectratio="f"/>
              </v:rect>
            </w:pict>
          </mc:Fallback>
        </mc:AlternateContent>
      </w:r>
      <w:r>
        <w:rPr>
          <w:rFonts w:hint="eastAsia" w:eastAsia="宋体"/>
          <w:lang w:eastAsia="zh-CN"/>
        </w:rPr>
        <w:drawing>
          <wp:inline distT="0" distB="0" distL="114300" distR="114300">
            <wp:extent cx="5758180" cy="8087995"/>
            <wp:effectExtent l="0" t="0" r="13970" b="8255"/>
            <wp:docPr id="81" name="图片 81" descr="7d08b4621ad308a4383a6fcd18291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7d08b4621ad308a4383a6fcd18291a64"/>
                    <pic:cNvPicPr>
                      <a:picLocks noChangeAspect="1"/>
                    </pic:cNvPicPr>
                  </pic:nvPicPr>
                  <pic:blipFill>
                    <a:blip r:embed="rId15"/>
                    <a:stretch>
                      <a:fillRect/>
                    </a:stretch>
                  </pic:blipFill>
                  <pic:spPr>
                    <a:xfrm>
                      <a:off x="0" y="0"/>
                      <a:ext cx="5758180" cy="8087995"/>
                    </a:xfrm>
                    <a:prstGeom prst="rect">
                      <a:avLst/>
                    </a:prstGeom>
                  </pic:spPr>
                </pic:pic>
              </a:graphicData>
            </a:graphic>
          </wp:inline>
        </w:drawing>
      </w:r>
    </w:p>
    <w:sdt>
      <w:sdtPr>
        <w:rPr>
          <w:rFonts w:asciiTheme="minorHAnsi" w:hAnsiTheme="minorHAnsi" w:eastAsiaTheme="minorEastAsia" w:cstheme="minorBidi"/>
          <w:color w:val="auto"/>
          <w:kern w:val="2"/>
          <w:sz w:val="24"/>
          <w:szCs w:val="24"/>
          <w:lang w:val="zh-CN"/>
        </w:rPr>
        <w:id w:val="-1577504680"/>
        <w:docPartObj>
          <w:docPartGallery w:val="Table of Contents"/>
          <w:docPartUnique/>
        </w:docPartObj>
      </w:sdtPr>
      <w:sdtEndPr>
        <w:rPr>
          <w:rFonts w:asciiTheme="minorEastAsia" w:hAnsiTheme="minorEastAsia" w:eastAsiaTheme="minorEastAsia" w:cstheme="minorBidi"/>
          <w:bCs/>
          <w:color w:val="auto"/>
          <w:kern w:val="2"/>
          <w:sz w:val="24"/>
          <w:szCs w:val="24"/>
          <w:lang w:val="zh-CN"/>
        </w:rPr>
      </w:sdtEndPr>
      <w:sdtContent>
        <w:p w14:paraId="6E48F3BD">
          <w:pPr>
            <w:pStyle w:val="297"/>
            <w:widowControl/>
            <w:spacing w:line="360" w:lineRule="auto"/>
            <w:jc w:val="center"/>
            <w:rPr>
              <w:rFonts w:asciiTheme="minorEastAsia" w:hAnsiTheme="minorEastAsia" w:eastAsiaTheme="majorEastAsia" w:cstheme="majorBidi"/>
              <w:b w:val="0"/>
              <w:bCs/>
              <w:color w:val="2E54A1" w:themeColor="accent1" w:themeShade="BF"/>
              <w:kern w:val="0"/>
              <w:sz w:val="24"/>
              <w:szCs w:val="32"/>
              <w:lang w:val="zh-CN" w:eastAsia="zh-CN" w:bidi="ar-SA"/>
            </w:rPr>
          </w:pPr>
          <w:bookmarkStart w:id="1" w:name="_Toc146197886"/>
          <w:bookmarkStart w:id="2" w:name="_Toc17773"/>
          <w:r>
            <w:rPr>
              <w:rFonts w:asciiTheme="majorEastAsia" w:hAnsiTheme="majorEastAsia"/>
              <w:b/>
              <w:bCs/>
              <w:color w:val="000000" w:themeColor="text1"/>
              <w:sz w:val="24"/>
              <w:szCs w:val="24"/>
              <w:lang w:val="zh-CN"/>
              <w14:textFill>
                <w14:solidFill>
                  <w14:schemeClr w14:val="tx1"/>
                </w14:solidFill>
              </w14:textFill>
            </w:rPr>
            <w:t>目</w:t>
          </w:r>
          <w:r>
            <w:rPr>
              <w:rFonts w:hint="eastAsia" w:asciiTheme="majorEastAsia" w:hAnsiTheme="majorEastAsia"/>
              <w:b/>
              <w:bCs/>
              <w:color w:val="000000" w:themeColor="text1"/>
              <w:sz w:val="24"/>
              <w:szCs w:val="24"/>
              <w:lang w:val="zh-CN"/>
              <w14:textFill>
                <w14:solidFill>
                  <w14:schemeClr w14:val="tx1"/>
                </w14:solidFill>
              </w14:textFill>
            </w:rPr>
            <w:t xml:space="preserve"> </w:t>
          </w:r>
          <w:r>
            <w:rPr>
              <w:rFonts w:asciiTheme="majorEastAsia" w:hAnsiTheme="majorEastAsia"/>
              <w:b/>
              <w:bCs/>
              <w:color w:val="000000" w:themeColor="text1"/>
              <w:sz w:val="24"/>
              <w:szCs w:val="24"/>
              <w:lang w:val="zh-CN"/>
              <w14:textFill>
                <w14:solidFill>
                  <w14:schemeClr w14:val="tx1"/>
                </w14:solidFill>
              </w14:textFill>
            </w:rPr>
            <w:t xml:space="preserve"> 录</w:t>
          </w:r>
          <w:r>
            <w:rPr>
              <w:rFonts w:asciiTheme="minorEastAsia" w:hAnsiTheme="minorEastAsia"/>
              <w:bCs/>
              <w:sz w:val="24"/>
              <w:lang w:val="zh-CN"/>
            </w:rPr>
            <w:fldChar w:fldCharType="begin"/>
          </w:r>
          <w:r>
            <w:rPr>
              <w:rFonts w:asciiTheme="minorEastAsia" w:hAnsiTheme="minorEastAsia"/>
              <w:bCs/>
              <w:sz w:val="24"/>
              <w:lang w:val="zh-CN"/>
            </w:rPr>
            <w:instrText xml:space="preserve"> TOC \o "1-3" \h \z \u </w:instrText>
          </w:r>
          <w:r>
            <w:rPr>
              <w:rFonts w:asciiTheme="minorEastAsia" w:hAnsiTheme="minorEastAsia"/>
              <w:bCs/>
              <w:sz w:val="24"/>
              <w:lang w:val="zh-CN"/>
            </w:rPr>
            <w:fldChar w:fldCharType="separate"/>
          </w:r>
        </w:p>
        <w:p w14:paraId="2C87B925">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_Toc30829 </w:instrText>
          </w:r>
          <w:r>
            <w:rPr>
              <w:rFonts w:hint="default" w:ascii="Times New Roman" w:hAnsi="Times New Roman" w:cs="Times New Roman"/>
              <w:bCs/>
              <w:sz w:val="24"/>
              <w:szCs w:val="24"/>
              <w:lang w:val="zh-CN"/>
            </w:rPr>
            <w:fldChar w:fldCharType="separate"/>
          </w:r>
          <w:r>
            <w:rPr>
              <w:rFonts w:hint="default" w:ascii="Times New Roman" w:hAnsi="Times New Roman" w:eastAsia="黑体" w:cs="Times New Roman"/>
              <w:sz w:val="24"/>
              <w:szCs w:val="24"/>
              <w:lang w:bidi="ar"/>
            </w:rPr>
            <w:t>一、</w:t>
          </w:r>
          <w:r>
            <w:rPr>
              <w:rFonts w:hint="default" w:ascii="Times New Roman" w:hAnsi="Times New Roman" w:eastAsia="黑体" w:cs="Times New Roman"/>
              <w:snapToGrid w:val="0"/>
              <w:sz w:val="24"/>
              <w:szCs w:val="24"/>
            </w:rPr>
            <w:t>建设项目</w:t>
          </w:r>
          <w:r>
            <w:rPr>
              <w:rFonts w:hint="default" w:ascii="Times New Roman" w:hAnsi="Times New Roman" w:eastAsia="黑体" w:cs="Times New Roman"/>
              <w:sz w:val="24"/>
              <w:szCs w:val="24"/>
              <w:lang w:bidi="ar"/>
            </w:rPr>
            <w:t>基本情况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_Toc30829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040DE9C0">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_Toc12745 </w:instrText>
          </w:r>
          <w:r>
            <w:rPr>
              <w:rFonts w:hint="default" w:ascii="Times New Roman" w:hAnsi="Times New Roman" w:cs="Times New Roman"/>
              <w:bCs/>
              <w:sz w:val="24"/>
              <w:szCs w:val="24"/>
              <w:lang w:val="zh-CN"/>
            </w:rPr>
            <w:fldChar w:fldCharType="separate"/>
          </w:r>
          <w:r>
            <w:rPr>
              <w:rFonts w:hint="default" w:ascii="Times New Roman" w:hAnsi="Times New Roman" w:eastAsia="黑体" w:cs="Times New Roman"/>
              <w:snapToGrid w:val="0"/>
              <w:sz w:val="24"/>
              <w:szCs w:val="24"/>
            </w:rPr>
            <w:t>二、建设项目工程分析</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_Toc12745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26</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694C5159">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_Toc11342 </w:instrText>
          </w:r>
          <w:r>
            <w:rPr>
              <w:rFonts w:hint="default" w:ascii="Times New Roman" w:hAnsi="Times New Roman" w:cs="Times New Roman"/>
              <w:bCs/>
              <w:sz w:val="24"/>
              <w:szCs w:val="24"/>
              <w:lang w:val="zh-CN"/>
            </w:rPr>
            <w:fldChar w:fldCharType="separate"/>
          </w:r>
          <w:r>
            <w:rPr>
              <w:rFonts w:hint="default" w:ascii="Times New Roman" w:hAnsi="Times New Roman" w:eastAsia="黑体" w:cs="Times New Roman"/>
              <w:snapToGrid w:val="0"/>
              <w:sz w:val="24"/>
              <w:szCs w:val="24"/>
            </w:rPr>
            <w:t>三、区域环境质量现状、环境保护目标及评价标准</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_Toc11342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47</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6837B525">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_Toc9186 </w:instrText>
          </w:r>
          <w:r>
            <w:rPr>
              <w:rFonts w:hint="default" w:ascii="Times New Roman" w:hAnsi="Times New Roman" w:cs="Times New Roman"/>
              <w:bCs/>
              <w:sz w:val="24"/>
              <w:szCs w:val="24"/>
              <w:lang w:val="zh-CN"/>
            </w:rPr>
            <w:fldChar w:fldCharType="separate"/>
          </w:r>
          <w:r>
            <w:rPr>
              <w:rFonts w:hint="default" w:ascii="Times New Roman" w:hAnsi="Times New Roman" w:eastAsia="黑体" w:cs="Times New Roman"/>
              <w:snapToGrid w:val="0"/>
              <w:sz w:val="24"/>
              <w:szCs w:val="24"/>
            </w:rPr>
            <w:t>四、主要环境影响和保护措施</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_Toc9186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54</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45FFECEE">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_Toc14062 </w:instrText>
          </w:r>
          <w:r>
            <w:rPr>
              <w:rFonts w:hint="default" w:ascii="Times New Roman" w:hAnsi="Times New Roman" w:cs="Times New Roman"/>
              <w:bCs/>
              <w:sz w:val="24"/>
              <w:szCs w:val="24"/>
              <w:lang w:val="zh-CN"/>
            </w:rPr>
            <w:fldChar w:fldCharType="separate"/>
          </w:r>
          <w:r>
            <w:rPr>
              <w:rFonts w:hint="default" w:ascii="Times New Roman" w:hAnsi="Times New Roman" w:eastAsia="黑体" w:cs="Times New Roman"/>
              <w:snapToGrid w:val="0"/>
              <w:sz w:val="24"/>
              <w:szCs w:val="24"/>
            </w:rPr>
            <w:t>五、环境保护措施监督检查清单</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_Toc14062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95</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07077108">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_Toc17118 </w:instrText>
          </w:r>
          <w:r>
            <w:rPr>
              <w:rFonts w:hint="default" w:ascii="Times New Roman" w:hAnsi="Times New Roman" w:cs="Times New Roman"/>
              <w:bCs/>
              <w:sz w:val="24"/>
              <w:szCs w:val="24"/>
              <w:lang w:val="zh-CN"/>
            </w:rPr>
            <w:fldChar w:fldCharType="separate"/>
          </w:r>
          <w:r>
            <w:rPr>
              <w:rFonts w:hint="default" w:ascii="Times New Roman" w:hAnsi="Times New Roman" w:eastAsia="黑体" w:cs="Times New Roman"/>
              <w:snapToGrid w:val="0"/>
              <w:sz w:val="24"/>
              <w:szCs w:val="24"/>
            </w:rPr>
            <w:t>六、结论</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_Toc17118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98</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148110E3">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_Toc30854 </w:instrText>
          </w:r>
          <w:r>
            <w:rPr>
              <w:rFonts w:hint="default" w:ascii="Times New Roman" w:hAnsi="Times New Roman" w:cs="Times New Roman"/>
              <w:bCs/>
              <w:sz w:val="24"/>
              <w:szCs w:val="24"/>
              <w:lang w:val="zh-CN"/>
            </w:rPr>
            <w:fldChar w:fldCharType="separate"/>
          </w:r>
          <w:r>
            <w:rPr>
              <w:rFonts w:hint="default" w:ascii="Times New Roman" w:hAnsi="Times New Roman" w:eastAsia="黑体" w:cs="Times New Roman"/>
              <w:sz w:val="24"/>
              <w:szCs w:val="24"/>
            </w:rPr>
            <w:t>附表</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_Toc30854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99</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73F00CCB">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_Toc4371 </w:instrText>
          </w:r>
          <w:r>
            <w:rPr>
              <w:rFonts w:hint="default" w:ascii="Times New Roman" w:hAnsi="Times New Roman" w:cs="Times New Roman"/>
              <w:bCs/>
              <w:sz w:val="24"/>
              <w:szCs w:val="24"/>
              <w:lang w:val="zh-CN"/>
            </w:rPr>
            <w:fldChar w:fldCharType="separate"/>
          </w:r>
          <w:r>
            <w:rPr>
              <w:rFonts w:hint="default" w:ascii="Times New Roman" w:hAnsi="Times New Roman" w:eastAsia="方正小标宋_GBK" w:cs="Times New Roman"/>
              <w:snapToGrid w:val="0"/>
              <w:sz w:val="24"/>
              <w:szCs w:val="24"/>
            </w:rPr>
            <w:t>建设项目污染物排放量汇总表</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_Toc4371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99</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19DEB1C4">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_Toc2314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附件</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_Toc2314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101</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719DEAAD">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_Toc20922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附件1 项目工作委托书</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_Toc20922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101</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1FBB53B1">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_Toc17823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附件2 监测报告（特征污染物）</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_Toc17823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102</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763D6681">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_Toc8454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附件3 建设单位营业执照</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_Toc8454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108</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1C928AF4">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_Toc18112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附件</w:t>
          </w:r>
          <w:r>
            <w:rPr>
              <w:rFonts w:hint="default" w:ascii="Times New Roman" w:hAnsi="Times New Roman" w:cs="Times New Roman"/>
              <w:sz w:val="24"/>
              <w:szCs w:val="24"/>
              <w:lang w:val="en-US" w:eastAsia="zh-CN"/>
            </w:rPr>
            <w:t>4</w:t>
          </w:r>
          <w:r>
            <w:rPr>
              <w:rFonts w:hint="default" w:ascii="Times New Roman" w:hAnsi="Times New Roman" w:cs="Times New Roman"/>
              <w:sz w:val="24"/>
              <w:szCs w:val="24"/>
            </w:rPr>
            <w:t xml:space="preserve"> 租赁合同</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_Toc18112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109</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718B38BD">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_Toc22068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附件5 原环评批复文件</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_Toc22068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113</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399AB0AD">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_Toc27810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附件6 法人身份证</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_Toc27810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117</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45A118ED">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_Toc18152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 xml:space="preserve">附件7 面漆检测报告 </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_Toc18152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118</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0D41FA3A">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_Toc23444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附件8 面漆稀释剂MSDS</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_Toc23444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122</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4075A41E">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_Toc32394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附件9 项目硅酮胶MSDS和挥发性有机物监测报告</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_Toc32394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140</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5B862156">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_Toc20583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kern w:val="0"/>
              <w:sz w:val="24"/>
              <w:szCs w:val="24"/>
              <w:lang w:val="en-US" w:eastAsia="zh-CN" w:bidi="ar-SA"/>
            </w:rPr>
            <w:t>附件10 VOCs总量申请指标</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_Toc20583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144</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1C3D108C">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_Toc20872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附图1 地理位置图</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_Toc20872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145</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1EBAE457">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_Toc13610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附图2 项目平面布置图</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_Toc13610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146</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07DABF70">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_Toc13221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附图3 项目所在地四至图</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_Toc13221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147</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67B70B73">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_Toc24768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附图4 项目敏感点图</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_Toc24768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148</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56C90765">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_Toc12731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附图5 广东省“三线一单”数据管理及应用平台截图</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_Toc12731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149</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75649F15">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_Toc19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附图6 项目所在地土地规划情况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154</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5BF8DA49">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_Toc12958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附图7 大气功能区划图</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_Toc12958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155</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6AB000F8">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_Toc24052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附图8 生态保护红线分布图</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_Toc24052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156</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03640733">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_Toc0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附图9 水环境管控单元分区图</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157</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0F9C55C9">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_Toc9959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附图10 大气环境管控单元分区图</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_Toc9959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158</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4430C0B6">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_Toc24450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附图11 生态管控单元分区图</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_Toc24450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159</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418F32AF">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_Toc28783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附图12 韶关市水功能区和水环境功能区</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_Toc28783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160</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1F44295B">
          <w:pPr>
            <w:pStyle w:val="33"/>
            <w:tabs>
              <w:tab w:val="right" w:leader="dot" w:pos="9070"/>
              <w:tab w:val="clear" w:pos="9060"/>
            </w:tabs>
            <w:rPr>
              <w:rFonts w:hint="default" w:ascii="Times New Roman" w:hAnsi="Times New Roman" w:cs="Times New Roman"/>
              <w:sz w:val="24"/>
              <w:szCs w:val="24"/>
            </w:rPr>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_Toc1376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附图13韶关市国土空间总体规划</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_Toc1376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161</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5DF5A6AD">
          <w:pPr>
            <w:pStyle w:val="33"/>
            <w:tabs>
              <w:tab w:val="right" w:leader="dot" w:pos="9070"/>
              <w:tab w:val="clear" w:pos="9060"/>
            </w:tabs>
          </w:pPr>
          <w:r>
            <w:rPr>
              <w:rFonts w:hint="default" w:ascii="Times New Roman" w:hAnsi="Times New Roman" w:cs="Times New Roman"/>
              <w:bCs/>
              <w:sz w:val="24"/>
              <w:szCs w:val="24"/>
              <w:lang w:val="zh-CN"/>
            </w:rPr>
            <w:fldChar w:fldCharType="begin"/>
          </w:r>
          <w:r>
            <w:rPr>
              <w:rFonts w:hint="default" w:ascii="Times New Roman" w:hAnsi="Times New Roman" w:cs="Times New Roman"/>
              <w:bCs/>
              <w:sz w:val="24"/>
              <w:szCs w:val="24"/>
              <w:lang w:val="zh-CN"/>
            </w:rPr>
            <w:instrText xml:space="preserve"> HYPERLINK \l _Toc18324 </w:instrText>
          </w:r>
          <w:r>
            <w:rPr>
              <w:rFonts w:hint="default" w:ascii="Times New Roman" w:hAnsi="Times New Roman" w:cs="Times New Roman"/>
              <w:bCs/>
              <w:sz w:val="24"/>
              <w:szCs w:val="24"/>
              <w:lang w:val="zh-CN"/>
            </w:rPr>
            <w:fldChar w:fldCharType="separate"/>
          </w:r>
          <w:r>
            <w:rPr>
              <w:rFonts w:hint="default" w:ascii="Times New Roman" w:hAnsi="Times New Roman" w:cs="Times New Roman"/>
              <w:sz w:val="24"/>
              <w:szCs w:val="24"/>
            </w:rPr>
            <w:t>附图14 乐昌市国土空间总体规划</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_Toc18324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162</w:t>
          </w:r>
          <w:r>
            <w:rPr>
              <w:rFonts w:hint="default" w:ascii="Times New Roman" w:hAnsi="Times New Roman" w:cs="Times New Roman"/>
              <w:sz w:val="24"/>
              <w:szCs w:val="24"/>
            </w:rPr>
            <w:fldChar w:fldCharType="end"/>
          </w:r>
          <w:r>
            <w:rPr>
              <w:rFonts w:hint="default" w:ascii="Times New Roman" w:hAnsi="Times New Roman" w:cs="Times New Roman"/>
              <w:bCs/>
              <w:sz w:val="24"/>
              <w:szCs w:val="24"/>
              <w:lang w:val="zh-CN"/>
            </w:rPr>
            <w:fldChar w:fldCharType="end"/>
          </w:r>
        </w:p>
        <w:p w14:paraId="64881095">
          <w:pPr>
            <w:widowControl/>
            <w:spacing w:line="360" w:lineRule="auto"/>
            <w:jc w:val="center"/>
            <w:rPr>
              <w:rFonts w:asciiTheme="minorEastAsia" w:hAnsiTheme="minorEastAsia"/>
              <w:sz w:val="24"/>
            </w:rPr>
          </w:pPr>
          <w:r>
            <w:rPr>
              <w:rFonts w:asciiTheme="minorEastAsia" w:hAnsiTheme="minorEastAsia"/>
              <w:bCs/>
              <w:sz w:val="24"/>
              <w:lang w:val="zh-CN"/>
            </w:rPr>
            <w:fldChar w:fldCharType="end"/>
          </w:r>
        </w:p>
      </w:sdtContent>
    </w:sdt>
    <w:p w14:paraId="52F10BAE">
      <w:pPr>
        <w:pStyle w:val="39"/>
        <w:tabs>
          <w:tab w:val="left" w:pos="225"/>
          <w:tab w:val="left" w:pos="901"/>
          <w:tab w:val="center" w:pos="4535"/>
        </w:tabs>
        <w:spacing w:before="100" w:after="100"/>
        <w:jc w:val="center"/>
        <w:outlineLvl w:val="0"/>
        <w:rPr>
          <w:rFonts w:hint="default" w:cs="宋体" w:asciiTheme="minorEastAsia" w:hAnsiTheme="minorEastAsia" w:eastAsiaTheme="minorEastAsia"/>
          <w:color w:val="000000" w:themeColor="text1"/>
          <w:szCs w:val="24"/>
          <w:lang w:bidi="ar"/>
          <w14:textFill>
            <w14:solidFill>
              <w14:schemeClr w14:val="tx1"/>
            </w14:solidFill>
          </w14:textFill>
        </w:rPr>
        <w:sectPr>
          <w:footerReference r:id="rId3" w:type="default"/>
          <w:pgSz w:w="11906" w:h="16838"/>
          <w:pgMar w:top="1418" w:right="1418" w:bottom="1418" w:left="1418" w:header="851" w:footer="992" w:gutter="0"/>
          <w:cols w:space="425" w:num="1"/>
          <w:docGrid w:type="lines" w:linePitch="326" w:charSpace="0"/>
        </w:sectPr>
      </w:pPr>
    </w:p>
    <w:p w14:paraId="0459ED1A">
      <w:pPr>
        <w:pStyle w:val="39"/>
        <w:tabs>
          <w:tab w:val="left" w:pos="225"/>
          <w:tab w:val="left" w:pos="901"/>
          <w:tab w:val="center" w:pos="4535"/>
        </w:tabs>
        <w:spacing w:before="100" w:after="100"/>
        <w:jc w:val="center"/>
        <w:outlineLvl w:val="0"/>
        <w:rPr>
          <w:rFonts w:hint="default" w:ascii="黑体" w:hAnsi="黑体" w:eastAsia="黑体" w:cs="黑体"/>
          <w:snapToGrid w:val="0"/>
          <w:color w:val="000000" w:themeColor="text1"/>
          <w:sz w:val="32"/>
          <w:szCs w:val="32"/>
          <w14:textFill>
            <w14:solidFill>
              <w14:schemeClr w14:val="tx1"/>
            </w14:solidFill>
          </w14:textFill>
        </w:rPr>
      </w:pPr>
      <w:bookmarkStart w:id="3" w:name="_Toc30829"/>
      <w:r>
        <w:rPr>
          <w:rFonts w:ascii="黑体" w:hAnsi="黑体" w:eastAsia="黑体" w:cs="宋体"/>
          <w:b/>
          <w:color w:val="000000" w:themeColor="text1"/>
          <w:sz w:val="32"/>
          <w:szCs w:val="32"/>
          <w:lang w:bidi="ar"/>
          <w14:textFill>
            <w14:solidFill>
              <w14:schemeClr w14:val="tx1"/>
            </w14:solidFill>
          </w14:textFill>
        </w:rPr>
        <w:t>一、</w:t>
      </w:r>
      <w:r>
        <w:rPr>
          <w:rFonts w:ascii="黑体" w:hAnsi="黑体" w:eastAsia="黑体" w:cs="黑体"/>
          <w:snapToGrid w:val="0"/>
          <w:sz w:val="32"/>
          <w:szCs w:val="32"/>
        </w:rPr>
        <w:t>建设项目</w:t>
      </w:r>
      <w:r>
        <w:rPr>
          <w:rFonts w:ascii="黑体" w:hAnsi="黑体" w:eastAsia="黑体" w:cs="宋体"/>
          <w:color w:val="000000" w:themeColor="text1"/>
          <w:sz w:val="32"/>
          <w:szCs w:val="32"/>
          <w:lang w:bidi="ar"/>
          <w14:textFill>
            <w14:solidFill>
              <w14:schemeClr w14:val="tx1"/>
            </w14:solidFill>
          </w14:textFill>
        </w:rPr>
        <w:t>基本情况</w:t>
      </w:r>
      <w:bookmarkEnd w:id="1"/>
      <w:bookmarkEnd w:id="2"/>
      <w:bookmarkEnd w:id="3"/>
    </w:p>
    <w:tbl>
      <w:tblPr>
        <w:tblStyle w:val="45"/>
        <w:tblpPr w:leftFromText="180" w:rightFromText="180" w:vertAnchor="text" w:tblpXSpec="center" w:tblpY="1"/>
        <w:tblOverlap w:val="never"/>
        <w:tblW w:w="975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382"/>
        <w:gridCol w:w="2018"/>
        <w:gridCol w:w="2711"/>
        <w:gridCol w:w="2639"/>
      </w:tblGrid>
      <w:tr w14:paraId="053C62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8" w:space="0"/>
              <w:left w:val="single" w:color="auto" w:sz="8" w:space="0"/>
              <w:bottom w:val="single" w:color="auto" w:sz="4" w:space="0"/>
              <w:right w:val="single" w:color="auto" w:sz="4" w:space="0"/>
            </w:tcBorders>
            <w:tcMar>
              <w:top w:w="16" w:type="dxa"/>
              <w:left w:w="16" w:type="dxa"/>
              <w:right w:w="16" w:type="dxa"/>
            </w:tcMar>
            <w:vAlign w:val="center"/>
          </w:tcPr>
          <w:p w14:paraId="08E9BE96">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建设项目名称</w:t>
            </w:r>
          </w:p>
        </w:tc>
        <w:tc>
          <w:tcPr>
            <w:tcW w:w="7368" w:type="dxa"/>
            <w:gridSpan w:val="3"/>
            <w:tcBorders>
              <w:top w:val="single" w:color="auto" w:sz="8" w:space="0"/>
              <w:left w:val="single" w:color="auto" w:sz="4" w:space="0"/>
              <w:bottom w:val="single" w:color="auto" w:sz="4" w:space="0"/>
              <w:right w:val="single" w:color="auto" w:sz="8" w:space="0"/>
            </w:tcBorders>
            <w:vAlign w:val="center"/>
          </w:tcPr>
          <w:p w14:paraId="0A41468E">
            <w:pPr>
              <w:adjustRightInd w:val="0"/>
              <w:snapToGrid w:val="0"/>
              <w:spacing w:line="360" w:lineRule="auto"/>
              <w:jc w:val="center"/>
              <w:rPr>
                <w:rFonts w:hint="default" w:ascii="Times New Roman" w:hAnsi="Times New Roman" w:eastAsia="宋体"/>
                <w:color w:val="000000" w:themeColor="text1"/>
                <w:sz w:val="24"/>
                <w:szCs w:val="22"/>
                <w:lang w:val="en-US" w:eastAsia="zh-CN"/>
                <w14:textFill>
                  <w14:solidFill>
                    <w14:schemeClr w14:val="tx1"/>
                  </w14:solidFill>
                </w14:textFill>
              </w:rPr>
            </w:pPr>
            <w:r>
              <w:rPr>
                <w:rFonts w:hint="eastAsia" w:ascii="Times New Roman" w:hAnsi="Times New Roman" w:eastAsia="宋体"/>
                <w:color w:val="000000" w:themeColor="text1"/>
                <w:sz w:val="24"/>
                <w:szCs w:val="22"/>
                <w:lang w:val="en-US" w:eastAsia="zh-CN"/>
                <w14:textFill>
                  <w14:solidFill>
                    <w14:schemeClr w14:val="tx1"/>
                  </w14:solidFill>
                </w14:textFill>
              </w:rPr>
              <w:t>乐昌市</w:t>
            </w:r>
            <w:r>
              <w:rPr>
                <w:rFonts w:hint="eastAsia" w:ascii="Times New Roman" w:hAnsi="Times New Roman" w:eastAsia="宋体"/>
                <w:color w:val="000000" w:themeColor="text1"/>
                <w:sz w:val="24"/>
                <w:szCs w:val="22"/>
                <w14:textFill>
                  <w14:solidFill>
                    <w14:schemeClr w14:val="tx1"/>
                  </w14:solidFill>
                </w14:textFill>
              </w:rPr>
              <w:t>广东启轮金属制品有限公司年产脚轮100万个</w:t>
            </w:r>
            <w:r>
              <w:rPr>
                <w:rFonts w:hint="eastAsia" w:ascii="Times New Roman" w:hAnsi="Times New Roman" w:eastAsia="宋体"/>
                <w:color w:val="000000" w:themeColor="text1"/>
                <w:sz w:val="24"/>
                <w:szCs w:val="22"/>
                <w:lang w:val="en-US" w:eastAsia="zh-CN"/>
                <w14:textFill>
                  <w14:solidFill>
                    <w14:schemeClr w14:val="tx1"/>
                  </w14:solidFill>
                </w14:textFill>
              </w:rPr>
              <w:t>新建项目（重新报批）</w:t>
            </w:r>
          </w:p>
        </w:tc>
      </w:tr>
      <w:tr w14:paraId="624927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top w:w="16" w:type="dxa"/>
              <w:left w:w="16" w:type="dxa"/>
              <w:right w:w="16" w:type="dxa"/>
            </w:tcMar>
            <w:vAlign w:val="center"/>
          </w:tcPr>
          <w:p w14:paraId="78A30779">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项目代码</w:t>
            </w:r>
          </w:p>
        </w:tc>
        <w:tc>
          <w:tcPr>
            <w:tcW w:w="7368" w:type="dxa"/>
            <w:gridSpan w:val="3"/>
            <w:tcBorders>
              <w:top w:val="single" w:color="auto" w:sz="4" w:space="0"/>
              <w:left w:val="single" w:color="auto" w:sz="4" w:space="0"/>
              <w:bottom w:val="single" w:color="auto" w:sz="4" w:space="0"/>
              <w:right w:val="single" w:color="auto" w:sz="8" w:space="0"/>
            </w:tcBorders>
            <w:vAlign w:val="center"/>
          </w:tcPr>
          <w:p w14:paraId="2162B1BB">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ascii="Times New Roman" w:hAnsi="Times New Roman" w:eastAsia="宋体"/>
                <w:color w:val="000000" w:themeColor="text1"/>
                <w:sz w:val="24"/>
                <w:szCs w:val="22"/>
                <w14:textFill>
                  <w14:solidFill>
                    <w14:schemeClr w14:val="tx1"/>
                  </w14:solidFill>
                </w14:textFill>
              </w:rPr>
              <w:t>2109-440281-04-01-938006</w:t>
            </w:r>
          </w:p>
        </w:tc>
      </w:tr>
      <w:tr w14:paraId="116621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top w:w="16" w:type="dxa"/>
              <w:left w:w="16" w:type="dxa"/>
              <w:right w:w="16" w:type="dxa"/>
            </w:tcMar>
            <w:vAlign w:val="center"/>
          </w:tcPr>
          <w:p w14:paraId="2B840266">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建设单位联系人</w:t>
            </w:r>
          </w:p>
        </w:tc>
        <w:tc>
          <w:tcPr>
            <w:tcW w:w="2018" w:type="dxa"/>
            <w:tcBorders>
              <w:top w:val="single" w:color="auto" w:sz="4" w:space="0"/>
              <w:left w:val="single" w:color="auto" w:sz="4" w:space="0"/>
              <w:bottom w:val="single" w:color="auto" w:sz="4" w:space="0"/>
              <w:right w:val="single" w:color="auto" w:sz="4" w:space="0"/>
            </w:tcBorders>
            <w:vAlign w:val="center"/>
          </w:tcPr>
          <w:p w14:paraId="025CC1C6">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欧</w:t>
            </w:r>
            <w:r>
              <w:rPr>
                <w:rFonts w:hint="eastAsia" w:ascii="Times New Roman" w:hAnsi="Times New Roman" w:eastAsia="宋体"/>
                <w:color w:val="000000" w:themeColor="text1"/>
                <w:sz w:val="24"/>
                <w:szCs w:val="22"/>
                <w:lang w:val="en-US" w:eastAsia="zh-CN"/>
                <w14:textFill>
                  <w14:solidFill>
                    <w14:schemeClr w14:val="tx1"/>
                  </w14:solidFill>
                </w14:textFill>
              </w:rPr>
              <w:t>**</w:t>
            </w:r>
            <w:r>
              <w:rPr>
                <w:rFonts w:hint="eastAsia" w:ascii="Times New Roman" w:hAnsi="Times New Roman" w:eastAsia="宋体"/>
                <w:color w:val="000000" w:themeColor="text1"/>
                <w:sz w:val="24"/>
                <w:szCs w:val="22"/>
                <w14:textFill>
                  <w14:solidFill>
                    <w14:schemeClr w14:val="tx1"/>
                  </w14:solidFill>
                </w14:textFill>
              </w:rPr>
              <w:t>源</w:t>
            </w:r>
          </w:p>
        </w:tc>
        <w:tc>
          <w:tcPr>
            <w:tcW w:w="2711" w:type="dxa"/>
            <w:tcBorders>
              <w:top w:val="single" w:color="auto" w:sz="4" w:space="0"/>
              <w:left w:val="single" w:color="auto" w:sz="4" w:space="0"/>
              <w:bottom w:val="single" w:color="auto" w:sz="4" w:space="0"/>
              <w:right w:val="single" w:color="auto" w:sz="4" w:space="0"/>
            </w:tcBorders>
            <w:vAlign w:val="center"/>
          </w:tcPr>
          <w:p w14:paraId="3B827DAE">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联系方式</w:t>
            </w:r>
          </w:p>
        </w:tc>
        <w:tc>
          <w:tcPr>
            <w:tcW w:w="2639" w:type="dxa"/>
            <w:tcBorders>
              <w:top w:val="single" w:color="auto" w:sz="4" w:space="0"/>
              <w:left w:val="single" w:color="auto" w:sz="4" w:space="0"/>
              <w:bottom w:val="single" w:color="auto" w:sz="4" w:space="0"/>
              <w:right w:val="single" w:color="auto" w:sz="8" w:space="0"/>
            </w:tcBorders>
            <w:vAlign w:val="center"/>
          </w:tcPr>
          <w:p w14:paraId="181C5142">
            <w:pPr>
              <w:adjustRightInd w:val="0"/>
              <w:snapToGrid w:val="0"/>
              <w:spacing w:line="360" w:lineRule="auto"/>
              <w:jc w:val="center"/>
              <w:rPr>
                <w:rFonts w:hint="default" w:ascii="Times New Roman" w:hAnsi="Times New Roman" w:eastAsia="宋体"/>
                <w:color w:val="000000" w:themeColor="text1"/>
                <w:sz w:val="24"/>
                <w:szCs w:val="22"/>
                <w:lang w:val="en-US" w:eastAsia="zh-CN"/>
                <w14:textFill>
                  <w14:solidFill>
                    <w14:schemeClr w14:val="tx1"/>
                  </w14:solidFill>
                </w14:textFill>
              </w:rPr>
            </w:pPr>
            <w:r>
              <w:rPr>
                <w:rFonts w:ascii="Times New Roman" w:hAnsi="Times New Roman" w:eastAsia="宋体"/>
                <w:color w:val="000000" w:themeColor="text1"/>
                <w:sz w:val="24"/>
                <w:szCs w:val="22"/>
                <w14:textFill>
                  <w14:solidFill>
                    <w14:schemeClr w14:val="tx1"/>
                  </w14:solidFill>
                </w14:textFill>
              </w:rPr>
              <w:t>1591454</w:t>
            </w:r>
            <w:r>
              <w:rPr>
                <w:rFonts w:hint="eastAsia" w:ascii="Times New Roman" w:hAnsi="Times New Roman" w:eastAsia="宋体"/>
                <w:color w:val="000000" w:themeColor="text1"/>
                <w:sz w:val="24"/>
                <w:szCs w:val="22"/>
                <w:lang w:val="en-US" w:eastAsia="zh-CN"/>
                <w14:textFill>
                  <w14:solidFill>
                    <w14:schemeClr w14:val="tx1"/>
                  </w14:solidFill>
                </w14:textFill>
              </w:rPr>
              <w:t>****</w:t>
            </w:r>
          </w:p>
        </w:tc>
      </w:tr>
      <w:tr w14:paraId="028420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top w:w="16" w:type="dxa"/>
              <w:left w:w="16" w:type="dxa"/>
              <w:right w:w="16" w:type="dxa"/>
            </w:tcMar>
            <w:vAlign w:val="center"/>
          </w:tcPr>
          <w:p w14:paraId="1626B561">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建设地点</w:t>
            </w:r>
          </w:p>
        </w:tc>
        <w:tc>
          <w:tcPr>
            <w:tcW w:w="7368" w:type="dxa"/>
            <w:gridSpan w:val="3"/>
            <w:tcBorders>
              <w:top w:val="single" w:color="auto" w:sz="4" w:space="0"/>
              <w:left w:val="single" w:color="auto" w:sz="4" w:space="0"/>
              <w:bottom w:val="single" w:color="auto" w:sz="4" w:space="0"/>
              <w:right w:val="single" w:color="auto" w:sz="8" w:space="0"/>
            </w:tcBorders>
            <w:vAlign w:val="center"/>
          </w:tcPr>
          <w:p w14:paraId="6609014F">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韶关市乐昌市乐昌产业转移工业园环园东路19号</w:t>
            </w:r>
          </w:p>
        </w:tc>
      </w:tr>
      <w:tr w14:paraId="04488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top w:w="16" w:type="dxa"/>
              <w:left w:w="16" w:type="dxa"/>
              <w:right w:w="16" w:type="dxa"/>
            </w:tcMar>
            <w:vAlign w:val="center"/>
          </w:tcPr>
          <w:p w14:paraId="21F0B750">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地理坐标</w:t>
            </w:r>
          </w:p>
        </w:tc>
        <w:tc>
          <w:tcPr>
            <w:tcW w:w="7368" w:type="dxa"/>
            <w:gridSpan w:val="3"/>
            <w:tcBorders>
              <w:top w:val="single" w:color="auto" w:sz="4" w:space="0"/>
              <w:left w:val="single" w:color="auto" w:sz="4" w:space="0"/>
              <w:bottom w:val="single" w:color="auto" w:sz="4" w:space="0"/>
              <w:right w:val="single" w:color="auto" w:sz="8" w:space="0"/>
            </w:tcBorders>
            <w:vAlign w:val="center"/>
          </w:tcPr>
          <w:p w14:paraId="2AB531E9">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 xml:space="preserve">（东经  113 度 24 分 </w:t>
            </w:r>
            <w:r>
              <w:rPr>
                <w:rFonts w:ascii="Times New Roman" w:hAnsi="Times New Roman" w:eastAsia="宋体"/>
                <w:color w:val="000000" w:themeColor="text1"/>
                <w:sz w:val="24"/>
                <w:szCs w:val="22"/>
                <w14:textFill>
                  <w14:solidFill>
                    <w14:schemeClr w14:val="tx1"/>
                  </w14:solidFill>
                </w14:textFill>
              </w:rPr>
              <w:t xml:space="preserve">35.26 </w:t>
            </w:r>
            <w:r>
              <w:rPr>
                <w:rFonts w:hint="eastAsia" w:ascii="Times New Roman" w:hAnsi="Times New Roman" w:eastAsia="宋体"/>
                <w:color w:val="000000" w:themeColor="text1"/>
                <w:sz w:val="24"/>
                <w:szCs w:val="22"/>
                <w14:textFill>
                  <w14:solidFill>
                    <w14:schemeClr w14:val="tx1"/>
                  </w14:solidFill>
                </w14:textFill>
              </w:rPr>
              <w:t>秒，北纬 25 度 8 分 1</w:t>
            </w:r>
            <w:r>
              <w:rPr>
                <w:rFonts w:ascii="Times New Roman" w:hAnsi="Times New Roman" w:eastAsia="宋体"/>
                <w:color w:val="000000" w:themeColor="text1"/>
                <w:sz w:val="24"/>
                <w:szCs w:val="22"/>
                <w14:textFill>
                  <w14:solidFill>
                    <w14:schemeClr w14:val="tx1"/>
                  </w14:solidFill>
                </w14:textFill>
              </w:rPr>
              <w:t xml:space="preserve">3.69 </w:t>
            </w:r>
            <w:r>
              <w:rPr>
                <w:rFonts w:hint="eastAsia" w:ascii="Times New Roman" w:hAnsi="Times New Roman" w:eastAsia="宋体"/>
                <w:color w:val="000000" w:themeColor="text1"/>
                <w:sz w:val="24"/>
                <w:szCs w:val="22"/>
                <w14:textFill>
                  <w14:solidFill>
                    <w14:schemeClr w14:val="tx1"/>
                  </w14:solidFill>
                </w14:textFill>
              </w:rPr>
              <w:t>秒）</w:t>
            </w:r>
          </w:p>
        </w:tc>
      </w:tr>
      <w:tr w14:paraId="5DD8E7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top w:w="16" w:type="dxa"/>
              <w:left w:w="16" w:type="dxa"/>
              <w:right w:w="16" w:type="dxa"/>
            </w:tcMar>
            <w:vAlign w:val="center"/>
          </w:tcPr>
          <w:p w14:paraId="6E023F3A">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国民经济</w:t>
            </w:r>
          </w:p>
          <w:p w14:paraId="674082F6">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行业类别</w:t>
            </w:r>
          </w:p>
        </w:tc>
        <w:tc>
          <w:tcPr>
            <w:tcW w:w="2018" w:type="dxa"/>
            <w:tcBorders>
              <w:top w:val="single" w:color="auto" w:sz="4" w:space="0"/>
              <w:left w:val="single" w:color="auto" w:sz="4" w:space="0"/>
              <w:bottom w:val="single" w:color="auto" w:sz="4" w:space="0"/>
              <w:right w:val="single" w:color="auto" w:sz="4" w:space="0"/>
            </w:tcBorders>
            <w:vAlign w:val="center"/>
          </w:tcPr>
          <w:p w14:paraId="11B11918">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C3351 建筑、家具 用金属配件制造；C</w:t>
            </w:r>
            <w:r>
              <w:rPr>
                <w:rFonts w:ascii="Times New Roman" w:hAnsi="Times New Roman" w:eastAsia="宋体"/>
                <w:color w:val="000000" w:themeColor="text1"/>
                <w:sz w:val="24"/>
                <w:szCs w:val="22"/>
                <w14:textFill>
                  <w14:solidFill>
                    <w14:schemeClr w14:val="tx1"/>
                  </w14:solidFill>
                </w14:textFill>
              </w:rPr>
              <w:t>2919 其他橡胶制品业</w:t>
            </w:r>
          </w:p>
        </w:tc>
        <w:tc>
          <w:tcPr>
            <w:tcW w:w="2711" w:type="dxa"/>
            <w:tcBorders>
              <w:top w:val="single" w:color="auto" w:sz="4" w:space="0"/>
              <w:left w:val="single" w:color="auto" w:sz="4" w:space="0"/>
              <w:bottom w:val="single" w:color="auto" w:sz="4" w:space="0"/>
              <w:right w:val="single" w:color="auto" w:sz="4" w:space="0"/>
            </w:tcBorders>
            <w:vAlign w:val="center"/>
          </w:tcPr>
          <w:p w14:paraId="521C7221">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bookmarkStart w:id="4" w:name="_Hlk49843745"/>
            <w:r>
              <w:rPr>
                <w:rFonts w:hint="eastAsia" w:ascii="Times New Roman" w:hAnsi="Times New Roman" w:eastAsia="宋体"/>
                <w:color w:val="000000" w:themeColor="text1"/>
                <w:sz w:val="24"/>
                <w:szCs w:val="22"/>
                <w14:textFill>
                  <w14:solidFill>
                    <w14:schemeClr w14:val="tx1"/>
                  </w14:solidFill>
                </w14:textFill>
              </w:rPr>
              <w:t>建设项目</w:t>
            </w:r>
          </w:p>
          <w:p w14:paraId="28532F9C">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行业类别</w:t>
            </w:r>
            <w:bookmarkEnd w:id="4"/>
          </w:p>
        </w:tc>
        <w:tc>
          <w:tcPr>
            <w:tcW w:w="2639" w:type="dxa"/>
            <w:tcBorders>
              <w:top w:val="single" w:color="auto" w:sz="4" w:space="0"/>
              <w:left w:val="single" w:color="auto" w:sz="4" w:space="0"/>
              <w:bottom w:val="single" w:color="auto" w:sz="4" w:space="0"/>
              <w:right w:val="single" w:color="auto" w:sz="8" w:space="0"/>
            </w:tcBorders>
            <w:vAlign w:val="center"/>
          </w:tcPr>
          <w:p w14:paraId="7A3EFF66">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三十、金属制品业33 建筑、安全用金属制品制造 335；二十六、橡胶制品业 2</w:t>
            </w:r>
            <w:r>
              <w:rPr>
                <w:rFonts w:ascii="Times New Roman" w:hAnsi="Times New Roman" w:eastAsia="宋体"/>
                <w:color w:val="000000" w:themeColor="text1"/>
                <w:sz w:val="24"/>
                <w:szCs w:val="22"/>
                <w14:textFill>
                  <w14:solidFill>
                    <w14:schemeClr w14:val="tx1"/>
                  </w14:solidFill>
                </w14:textFill>
              </w:rPr>
              <w:t>9</w:t>
            </w:r>
          </w:p>
        </w:tc>
      </w:tr>
      <w:tr w14:paraId="7B39B5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top w:w="16" w:type="dxa"/>
              <w:left w:w="16" w:type="dxa"/>
              <w:right w:w="16" w:type="dxa"/>
            </w:tcMar>
            <w:vAlign w:val="center"/>
          </w:tcPr>
          <w:p w14:paraId="6545B939">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建设性质</w:t>
            </w:r>
          </w:p>
        </w:tc>
        <w:tc>
          <w:tcPr>
            <w:tcW w:w="2018" w:type="dxa"/>
            <w:tcBorders>
              <w:top w:val="single" w:color="auto" w:sz="4" w:space="0"/>
              <w:left w:val="single" w:color="auto" w:sz="4" w:space="0"/>
              <w:bottom w:val="single" w:color="auto" w:sz="4" w:space="0"/>
              <w:right w:val="single" w:color="auto" w:sz="4" w:space="0"/>
            </w:tcBorders>
            <w:vAlign w:val="center"/>
          </w:tcPr>
          <w:p w14:paraId="3EDFA8E8">
            <w:pPr>
              <w:adjustRightInd w:val="0"/>
              <w:snapToGrid w:val="0"/>
              <w:spacing w:line="360" w:lineRule="auto"/>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☑新建（迁建）</w:t>
            </w:r>
          </w:p>
          <w:p w14:paraId="255FA705">
            <w:pPr>
              <w:adjustRightInd w:val="0"/>
              <w:snapToGrid w:val="0"/>
              <w:spacing w:line="360" w:lineRule="auto"/>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□改建</w:t>
            </w:r>
          </w:p>
          <w:p w14:paraId="61974361">
            <w:pPr>
              <w:adjustRightInd w:val="0"/>
              <w:snapToGrid w:val="0"/>
              <w:spacing w:line="360" w:lineRule="auto"/>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□扩建</w:t>
            </w:r>
          </w:p>
          <w:p w14:paraId="0300D4E8">
            <w:pPr>
              <w:adjustRightInd w:val="0"/>
              <w:snapToGrid w:val="0"/>
              <w:spacing w:line="360" w:lineRule="auto"/>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□技术改造</w:t>
            </w:r>
          </w:p>
        </w:tc>
        <w:tc>
          <w:tcPr>
            <w:tcW w:w="2711" w:type="dxa"/>
            <w:tcBorders>
              <w:top w:val="single" w:color="auto" w:sz="4" w:space="0"/>
              <w:left w:val="single" w:color="auto" w:sz="4" w:space="0"/>
              <w:bottom w:val="single" w:color="auto" w:sz="4" w:space="0"/>
              <w:right w:val="single" w:color="auto" w:sz="4" w:space="0"/>
            </w:tcBorders>
            <w:vAlign w:val="center"/>
          </w:tcPr>
          <w:p w14:paraId="51F474A3">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建设项目</w:t>
            </w:r>
          </w:p>
          <w:p w14:paraId="2A2B7F70">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申报情形</w:t>
            </w:r>
          </w:p>
        </w:tc>
        <w:tc>
          <w:tcPr>
            <w:tcW w:w="2639" w:type="dxa"/>
            <w:tcBorders>
              <w:top w:val="single" w:color="auto" w:sz="4" w:space="0"/>
              <w:left w:val="single" w:color="auto" w:sz="4" w:space="0"/>
              <w:bottom w:val="single" w:color="auto" w:sz="4" w:space="0"/>
              <w:right w:val="single" w:color="auto" w:sz="8" w:space="0"/>
            </w:tcBorders>
            <w:vAlign w:val="center"/>
          </w:tcPr>
          <w:p w14:paraId="61C4BD95">
            <w:pPr>
              <w:adjustRightInd w:val="0"/>
              <w:snapToGrid w:val="0"/>
              <w:spacing w:line="360" w:lineRule="auto"/>
              <w:jc w:val="left"/>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□首次申报项目</w:t>
            </w:r>
          </w:p>
          <w:p w14:paraId="53A9EB6C">
            <w:pPr>
              <w:adjustRightInd w:val="0"/>
              <w:snapToGrid w:val="0"/>
              <w:spacing w:line="360" w:lineRule="auto"/>
              <w:jc w:val="left"/>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□不予批准后再次申报项目</w:t>
            </w:r>
          </w:p>
          <w:p w14:paraId="38B97676">
            <w:pPr>
              <w:adjustRightInd w:val="0"/>
              <w:snapToGrid w:val="0"/>
              <w:spacing w:line="360" w:lineRule="auto"/>
              <w:jc w:val="left"/>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sym w:font="Wingdings 2" w:char="00A3"/>
            </w:r>
            <w:r>
              <w:rPr>
                <w:rFonts w:hint="eastAsia" w:ascii="Times New Roman" w:hAnsi="Times New Roman" w:eastAsia="宋体"/>
                <w:color w:val="000000" w:themeColor="text1"/>
                <w:sz w:val="24"/>
                <w:szCs w:val="22"/>
                <w14:textFill>
                  <w14:solidFill>
                    <w14:schemeClr w14:val="tx1"/>
                  </w14:solidFill>
                </w14:textFill>
              </w:rPr>
              <w:t>超五年重新审核项目</w:t>
            </w:r>
          </w:p>
          <w:p w14:paraId="3E0259BE">
            <w:pPr>
              <w:adjustRightInd w:val="0"/>
              <w:snapToGrid w:val="0"/>
              <w:spacing w:line="360" w:lineRule="auto"/>
              <w:jc w:val="left"/>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sym w:font="Wingdings 2" w:char="0052"/>
            </w:r>
            <w:r>
              <w:rPr>
                <w:rFonts w:hint="eastAsia" w:ascii="Times New Roman" w:hAnsi="Times New Roman" w:eastAsia="宋体"/>
                <w:color w:val="000000" w:themeColor="text1"/>
                <w:sz w:val="24"/>
                <w:szCs w:val="22"/>
                <w14:textFill>
                  <w14:solidFill>
                    <w14:schemeClr w14:val="tx1"/>
                  </w14:solidFill>
                </w14:textFill>
              </w:rPr>
              <w:t>重大变动重新报批项目</w:t>
            </w:r>
          </w:p>
        </w:tc>
      </w:tr>
      <w:tr w14:paraId="23FCA0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top w:w="16" w:type="dxa"/>
              <w:left w:w="16" w:type="dxa"/>
              <w:right w:w="16" w:type="dxa"/>
            </w:tcMar>
            <w:vAlign w:val="center"/>
          </w:tcPr>
          <w:p w14:paraId="700042E6">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项目审批（核准/</w:t>
            </w:r>
          </w:p>
          <w:p w14:paraId="5513720E">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备案）部门（选填）</w:t>
            </w:r>
          </w:p>
        </w:tc>
        <w:tc>
          <w:tcPr>
            <w:tcW w:w="2018" w:type="dxa"/>
            <w:tcBorders>
              <w:top w:val="single" w:color="auto" w:sz="4" w:space="0"/>
              <w:left w:val="single" w:color="auto" w:sz="4" w:space="0"/>
              <w:bottom w:val="single" w:color="auto" w:sz="4" w:space="0"/>
              <w:right w:val="single" w:color="auto" w:sz="4" w:space="0"/>
            </w:tcBorders>
            <w:vAlign w:val="center"/>
          </w:tcPr>
          <w:p w14:paraId="660B70B4">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乐昌市发展和改 革局</w:t>
            </w:r>
          </w:p>
        </w:tc>
        <w:tc>
          <w:tcPr>
            <w:tcW w:w="2711" w:type="dxa"/>
            <w:tcBorders>
              <w:top w:val="single" w:color="auto" w:sz="4" w:space="0"/>
              <w:left w:val="single" w:color="auto" w:sz="4" w:space="0"/>
              <w:bottom w:val="single" w:color="auto" w:sz="4" w:space="0"/>
              <w:right w:val="single" w:color="auto" w:sz="4" w:space="0"/>
            </w:tcBorders>
            <w:vAlign w:val="center"/>
          </w:tcPr>
          <w:p w14:paraId="5FEF9FA0">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项目审批（核准/</w:t>
            </w:r>
          </w:p>
          <w:p w14:paraId="06CBAF18">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备案）文号（选填）</w:t>
            </w:r>
          </w:p>
        </w:tc>
        <w:tc>
          <w:tcPr>
            <w:tcW w:w="2639" w:type="dxa"/>
            <w:tcBorders>
              <w:top w:val="single" w:color="auto" w:sz="4" w:space="0"/>
              <w:left w:val="single" w:color="auto" w:sz="4" w:space="0"/>
              <w:bottom w:val="single" w:color="auto" w:sz="4" w:space="0"/>
              <w:right w:val="single" w:color="auto" w:sz="8" w:space="0"/>
            </w:tcBorders>
            <w:vAlign w:val="center"/>
          </w:tcPr>
          <w:p w14:paraId="4F08E9C2">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ascii="Times New Roman" w:hAnsi="Times New Roman" w:eastAsia="宋体"/>
                <w:color w:val="000000" w:themeColor="text1"/>
                <w:sz w:val="24"/>
                <w:szCs w:val="22"/>
                <w14:textFill>
                  <w14:solidFill>
                    <w14:schemeClr w14:val="tx1"/>
                  </w14:solidFill>
                </w14:textFill>
              </w:rPr>
              <w:t>2109-440281-04-01-938006</w:t>
            </w:r>
          </w:p>
        </w:tc>
      </w:tr>
      <w:tr w14:paraId="307149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top w:w="16" w:type="dxa"/>
              <w:left w:w="16" w:type="dxa"/>
              <w:right w:w="16" w:type="dxa"/>
            </w:tcMar>
            <w:vAlign w:val="center"/>
          </w:tcPr>
          <w:p w14:paraId="2DAA07B7">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总投资（万元）</w:t>
            </w:r>
          </w:p>
        </w:tc>
        <w:tc>
          <w:tcPr>
            <w:tcW w:w="2018" w:type="dxa"/>
            <w:tcBorders>
              <w:top w:val="single" w:color="auto" w:sz="4" w:space="0"/>
              <w:left w:val="single" w:color="auto" w:sz="4" w:space="0"/>
              <w:bottom w:val="single" w:color="auto" w:sz="4" w:space="0"/>
              <w:right w:val="single" w:color="auto" w:sz="4" w:space="0"/>
            </w:tcBorders>
            <w:vAlign w:val="center"/>
          </w:tcPr>
          <w:p w14:paraId="6EF6D42A">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ascii="Times New Roman" w:hAnsi="Times New Roman" w:eastAsia="宋体"/>
                <w:color w:val="000000" w:themeColor="text1"/>
                <w:sz w:val="24"/>
                <w:szCs w:val="22"/>
                <w14:textFill>
                  <w14:solidFill>
                    <w14:schemeClr w14:val="tx1"/>
                  </w14:solidFill>
                </w14:textFill>
              </w:rPr>
              <w:t>5</w:t>
            </w:r>
            <w:r>
              <w:rPr>
                <w:rFonts w:hint="eastAsia" w:ascii="Times New Roman" w:hAnsi="Times New Roman" w:eastAsia="宋体"/>
                <w:color w:val="000000" w:themeColor="text1"/>
                <w:sz w:val="24"/>
                <w:szCs w:val="22"/>
                <w14:textFill>
                  <w14:solidFill>
                    <w14:schemeClr w14:val="tx1"/>
                  </w14:solidFill>
                </w14:textFill>
              </w:rPr>
              <w:t>0</w:t>
            </w:r>
            <w:r>
              <w:rPr>
                <w:rFonts w:ascii="Times New Roman" w:hAnsi="Times New Roman" w:eastAsia="宋体"/>
                <w:color w:val="000000" w:themeColor="text1"/>
                <w:sz w:val="24"/>
                <w:szCs w:val="22"/>
                <w14:textFill>
                  <w14:solidFill>
                    <w14:schemeClr w14:val="tx1"/>
                  </w14:solidFill>
                </w14:textFill>
              </w:rPr>
              <w:t>0</w:t>
            </w:r>
          </w:p>
        </w:tc>
        <w:tc>
          <w:tcPr>
            <w:tcW w:w="2711" w:type="dxa"/>
            <w:tcBorders>
              <w:top w:val="single" w:color="auto" w:sz="4" w:space="0"/>
              <w:left w:val="single" w:color="auto" w:sz="4" w:space="0"/>
              <w:bottom w:val="single" w:color="auto" w:sz="4" w:space="0"/>
              <w:right w:val="single" w:color="auto" w:sz="4" w:space="0"/>
            </w:tcBorders>
            <w:tcMar>
              <w:top w:w="16" w:type="dxa"/>
              <w:left w:w="16" w:type="dxa"/>
              <w:right w:w="16" w:type="dxa"/>
            </w:tcMar>
            <w:vAlign w:val="center"/>
          </w:tcPr>
          <w:p w14:paraId="0E36438D">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环保投资（万元）</w:t>
            </w:r>
          </w:p>
        </w:tc>
        <w:tc>
          <w:tcPr>
            <w:tcW w:w="2639" w:type="dxa"/>
            <w:tcBorders>
              <w:top w:val="single" w:color="auto" w:sz="4" w:space="0"/>
              <w:left w:val="single" w:color="auto" w:sz="4" w:space="0"/>
              <w:bottom w:val="single" w:color="auto" w:sz="4" w:space="0"/>
              <w:right w:val="single" w:color="auto" w:sz="8" w:space="0"/>
            </w:tcBorders>
            <w:vAlign w:val="center"/>
          </w:tcPr>
          <w:p w14:paraId="52CA281A">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ascii="Times New Roman" w:hAnsi="Times New Roman" w:eastAsia="宋体"/>
                <w:color w:val="000000" w:themeColor="text1"/>
                <w:sz w:val="24"/>
                <w:szCs w:val="22"/>
                <w14:textFill>
                  <w14:solidFill>
                    <w14:schemeClr w14:val="tx1"/>
                  </w14:solidFill>
                </w14:textFill>
              </w:rPr>
              <w:t>3</w:t>
            </w:r>
            <w:r>
              <w:rPr>
                <w:rFonts w:hint="eastAsia" w:ascii="Times New Roman" w:hAnsi="Times New Roman" w:eastAsia="宋体"/>
                <w:color w:val="000000" w:themeColor="text1"/>
                <w:sz w:val="24"/>
                <w:szCs w:val="22"/>
                <w14:textFill>
                  <w14:solidFill>
                    <w14:schemeClr w14:val="tx1"/>
                  </w14:solidFill>
                </w14:textFill>
              </w:rPr>
              <w:t>0</w:t>
            </w:r>
          </w:p>
        </w:tc>
      </w:tr>
      <w:tr w14:paraId="492DB5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top w:w="16" w:type="dxa"/>
              <w:left w:w="16" w:type="dxa"/>
              <w:right w:w="16" w:type="dxa"/>
            </w:tcMar>
            <w:vAlign w:val="center"/>
          </w:tcPr>
          <w:p w14:paraId="052D28AB">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环保投资占比（%）</w:t>
            </w:r>
          </w:p>
        </w:tc>
        <w:tc>
          <w:tcPr>
            <w:tcW w:w="2018" w:type="dxa"/>
            <w:tcBorders>
              <w:top w:val="single" w:color="auto" w:sz="4" w:space="0"/>
              <w:left w:val="single" w:color="auto" w:sz="4" w:space="0"/>
              <w:bottom w:val="single" w:color="auto" w:sz="4" w:space="0"/>
              <w:right w:val="single" w:color="auto" w:sz="4" w:space="0"/>
            </w:tcBorders>
            <w:vAlign w:val="center"/>
          </w:tcPr>
          <w:p w14:paraId="307DE45D">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ascii="Times New Roman" w:hAnsi="Times New Roman" w:eastAsia="宋体"/>
                <w:color w:val="000000" w:themeColor="text1"/>
                <w:sz w:val="24"/>
                <w:szCs w:val="22"/>
                <w14:textFill>
                  <w14:solidFill>
                    <w14:schemeClr w14:val="tx1"/>
                  </w14:solidFill>
                </w14:textFill>
              </w:rPr>
              <w:t>6</w:t>
            </w:r>
          </w:p>
        </w:tc>
        <w:tc>
          <w:tcPr>
            <w:tcW w:w="2711" w:type="dxa"/>
            <w:tcBorders>
              <w:top w:val="single" w:color="auto" w:sz="4" w:space="0"/>
              <w:left w:val="single" w:color="auto" w:sz="4" w:space="0"/>
              <w:bottom w:val="single" w:color="auto" w:sz="4" w:space="0"/>
              <w:right w:val="single" w:color="auto" w:sz="4" w:space="0"/>
            </w:tcBorders>
            <w:tcMar>
              <w:top w:w="16" w:type="dxa"/>
              <w:left w:w="16" w:type="dxa"/>
              <w:right w:w="16" w:type="dxa"/>
            </w:tcMar>
            <w:vAlign w:val="center"/>
          </w:tcPr>
          <w:p w14:paraId="68AE9F1F">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施工工期</w:t>
            </w:r>
          </w:p>
        </w:tc>
        <w:tc>
          <w:tcPr>
            <w:tcW w:w="2639" w:type="dxa"/>
            <w:tcBorders>
              <w:top w:val="single" w:color="auto" w:sz="4" w:space="0"/>
              <w:left w:val="single" w:color="auto" w:sz="4" w:space="0"/>
              <w:bottom w:val="single" w:color="auto" w:sz="4" w:space="0"/>
              <w:right w:val="single" w:color="auto" w:sz="8" w:space="0"/>
            </w:tcBorders>
            <w:vAlign w:val="center"/>
          </w:tcPr>
          <w:p w14:paraId="0E1B5237">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2个月</w:t>
            </w:r>
          </w:p>
        </w:tc>
      </w:tr>
      <w:tr w14:paraId="4731F0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top w:w="16" w:type="dxa"/>
              <w:left w:w="16" w:type="dxa"/>
              <w:right w:w="16" w:type="dxa"/>
            </w:tcMar>
            <w:vAlign w:val="center"/>
          </w:tcPr>
          <w:p w14:paraId="799193C7">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是否开工建设</w:t>
            </w:r>
          </w:p>
        </w:tc>
        <w:tc>
          <w:tcPr>
            <w:tcW w:w="2018" w:type="dxa"/>
            <w:tcBorders>
              <w:top w:val="single" w:color="auto" w:sz="4" w:space="0"/>
              <w:left w:val="single" w:color="auto" w:sz="4" w:space="0"/>
              <w:bottom w:val="single" w:color="auto" w:sz="4" w:space="0"/>
              <w:right w:val="single" w:color="auto" w:sz="4" w:space="0"/>
            </w:tcBorders>
            <w:vAlign w:val="center"/>
          </w:tcPr>
          <w:p w14:paraId="60DF31B3">
            <w:pPr>
              <w:adjustRightInd w:val="0"/>
              <w:snapToGrid w:val="0"/>
              <w:spacing w:line="360" w:lineRule="auto"/>
              <w:jc w:val="left"/>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☑否</w:t>
            </w:r>
          </w:p>
          <w:p w14:paraId="6D829C55">
            <w:pPr>
              <w:adjustRightInd w:val="0"/>
              <w:snapToGrid w:val="0"/>
              <w:spacing w:line="360" w:lineRule="auto"/>
              <w:jc w:val="left"/>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□是：</w:t>
            </w:r>
          </w:p>
        </w:tc>
        <w:tc>
          <w:tcPr>
            <w:tcW w:w="2711" w:type="dxa"/>
            <w:tcBorders>
              <w:top w:val="single" w:color="auto" w:sz="4" w:space="0"/>
              <w:left w:val="single" w:color="auto" w:sz="4" w:space="0"/>
              <w:bottom w:val="single" w:color="auto" w:sz="4" w:space="0"/>
              <w:right w:val="single" w:color="auto" w:sz="4" w:space="0"/>
            </w:tcBorders>
            <w:tcMar>
              <w:top w:w="16" w:type="dxa"/>
              <w:left w:w="16" w:type="dxa"/>
              <w:right w:w="16" w:type="dxa"/>
            </w:tcMar>
            <w:vAlign w:val="center"/>
          </w:tcPr>
          <w:p w14:paraId="46B44FD5">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用地（用海）</w:t>
            </w:r>
          </w:p>
          <w:p w14:paraId="0E676809">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hint="eastAsia" w:ascii="Times New Roman" w:hAnsi="Times New Roman" w:eastAsia="宋体"/>
                <w:color w:val="000000" w:themeColor="text1"/>
                <w:sz w:val="24"/>
                <w:szCs w:val="22"/>
                <w14:textFill>
                  <w14:solidFill>
                    <w14:schemeClr w14:val="tx1"/>
                  </w14:solidFill>
                </w14:textFill>
              </w:rPr>
              <w:t>面积（m</w:t>
            </w:r>
            <w:r>
              <w:rPr>
                <w:rFonts w:ascii="Times New Roman" w:hAnsi="Times New Roman" w:eastAsia="宋体"/>
                <w:color w:val="000000" w:themeColor="text1"/>
                <w:sz w:val="24"/>
                <w:szCs w:val="22"/>
                <w:vertAlign w:val="superscript"/>
                <w14:textFill>
                  <w14:solidFill>
                    <w14:schemeClr w14:val="tx1"/>
                  </w14:solidFill>
                </w14:textFill>
              </w:rPr>
              <w:t>2</w:t>
            </w:r>
            <w:r>
              <w:rPr>
                <w:rFonts w:hint="eastAsia" w:ascii="Times New Roman" w:hAnsi="Times New Roman" w:eastAsia="宋体"/>
                <w:color w:val="000000" w:themeColor="text1"/>
                <w:sz w:val="24"/>
                <w:szCs w:val="22"/>
                <w14:textFill>
                  <w14:solidFill>
                    <w14:schemeClr w14:val="tx1"/>
                  </w14:solidFill>
                </w14:textFill>
              </w:rPr>
              <w:t>）</w:t>
            </w:r>
          </w:p>
        </w:tc>
        <w:tc>
          <w:tcPr>
            <w:tcW w:w="2639" w:type="dxa"/>
            <w:tcBorders>
              <w:top w:val="single" w:color="auto" w:sz="4" w:space="0"/>
              <w:left w:val="single" w:color="auto" w:sz="4" w:space="0"/>
              <w:bottom w:val="single" w:color="auto" w:sz="4" w:space="0"/>
              <w:right w:val="single" w:color="auto" w:sz="8" w:space="0"/>
            </w:tcBorders>
            <w:vAlign w:val="center"/>
          </w:tcPr>
          <w:p w14:paraId="300EE9F4">
            <w:pPr>
              <w:adjustRightInd w:val="0"/>
              <w:snapToGrid w:val="0"/>
              <w:spacing w:line="360" w:lineRule="auto"/>
              <w:jc w:val="center"/>
              <w:rPr>
                <w:rFonts w:ascii="Times New Roman" w:hAnsi="Times New Roman" w:eastAsia="宋体"/>
                <w:color w:val="000000" w:themeColor="text1"/>
                <w:sz w:val="24"/>
                <w:szCs w:val="22"/>
                <w14:textFill>
                  <w14:solidFill>
                    <w14:schemeClr w14:val="tx1"/>
                  </w14:solidFill>
                </w14:textFill>
              </w:rPr>
            </w:pPr>
            <w:r>
              <w:rPr>
                <w:rFonts w:ascii="Times New Roman" w:hAnsi="Times New Roman" w:eastAsia="宋体"/>
                <w:color w:val="000000" w:themeColor="text1"/>
                <w:sz w:val="24"/>
                <w:szCs w:val="22"/>
                <w14:textFill>
                  <w14:solidFill>
                    <w14:schemeClr w14:val="tx1"/>
                  </w14:solidFill>
                </w14:textFill>
              </w:rPr>
              <w:t>10679.3</w:t>
            </w:r>
          </w:p>
        </w:tc>
      </w:tr>
      <w:tr w14:paraId="6687A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left w:w="108" w:type="dxa"/>
              <w:right w:w="108" w:type="dxa"/>
            </w:tcMar>
            <w:vAlign w:val="center"/>
          </w:tcPr>
          <w:p w14:paraId="61E2A8E5">
            <w:pPr>
              <w:autoSpaceDE w:val="0"/>
              <w:autoSpaceDN w:val="0"/>
              <w:adjustRightInd w:val="0"/>
              <w:snapToGrid w:val="0"/>
              <w:spacing w:line="360" w:lineRule="auto"/>
              <w:jc w:val="center"/>
              <w:rPr>
                <w:color w:val="000000" w:themeColor="text1"/>
                <w:kern w:val="0"/>
                <w14:textFill>
                  <w14:solidFill>
                    <w14:schemeClr w14:val="tx1"/>
                  </w14:solidFill>
                </w14:textFill>
              </w:rPr>
            </w:pPr>
            <w:r>
              <w:rPr>
                <w:rFonts w:hint="eastAsia" w:ascii="Times New Roman" w:hAnsi="Times New Roman" w:eastAsia="宋体" w:cs="宋体"/>
                <w:color w:val="000000" w:themeColor="text1"/>
                <w:kern w:val="0"/>
                <w:sz w:val="24"/>
                <w:szCs w:val="22"/>
                <w:lang w:bidi="ar"/>
                <w14:textFill>
                  <w14:solidFill>
                    <w14:schemeClr w14:val="tx1"/>
                  </w14:solidFill>
                </w14:textFill>
              </w:rPr>
              <w:t>专项评价设置情况</w:t>
            </w:r>
          </w:p>
        </w:tc>
        <w:tc>
          <w:tcPr>
            <w:tcW w:w="7368" w:type="dxa"/>
            <w:gridSpan w:val="3"/>
            <w:tcBorders>
              <w:top w:val="single" w:color="auto" w:sz="4" w:space="0"/>
              <w:left w:val="single" w:color="auto" w:sz="4" w:space="0"/>
              <w:bottom w:val="single" w:color="auto" w:sz="4" w:space="0"/>
              <w:right w:val="single" w:color="auto" w:sz="8" w:space="0"/>
            </w:tcBorders>
            <w:tcMar>
              <w:left w:w="108" w:type="dxa"/>
              <w:right w:w="108" w:type="dxa"/>
            </w:tcMar>
            <w:vAlign w:val="center"/>
          </w:tcPr>
          <w:p w14:paraId="7DF7A5F8">
            <w:pPr>
              <w:pStyle w:val="299"/>
              <w:spacing w:line="360" w:lineRule="auto"/>
              <w:ind w:firstLine="480"/>
              <w:rPr>
                <w:rFonts w:cstheme="minorBidi"/>
                <w:bCs/>
                <w:color w:val="000000" w:themeColor="text1"/>
                <w:kern w:val="2"/>
                <w:sz w:val="24"/>
                <w:szCs w:val="22"/>
                <w14:textFill>
                  <w14:solidFill>
                    <w14:schemeClr w14:val="tx1"/>
                  </w14:solidFill>
                </w14:textFill>
              </w:rPr>
            </w:pPr>
            <w:r>
              <w:rPr>
                <w:rFonts w:hint="eastAsia" w:cstheme="minorBidi"/>
                <w:bCs/>
                <w:color w:val="000000" w:themeColor="text1"/>
                <w:kern w:val="2"/>
                <w:sz w:val="24"/>
                <w:szCs w:val="22"/>
                <w14:textFill>
                  <w14:solidFill>
                    <w14:schemeClr w14:val="tx1"/>
                  </w14:solidFill>
                </w14:textFill>
              </w:rPr>
              <w:t>依据《建设项目环境影响报告表编制技术指南（污染影响类）（试行）</w:t>
            </w:r>
            <w:r>
              <w:rPr>
                <w:rFonts w:hint="eastAsia" w:cstheme="minorBidi"/>
                <w:bCs/>
                <w:color w:val="000000" w:themeColor="text1"/>
                <w:kern w:val="2"/>
                <w:sz w:val="24"/>
                <w:szCs w:val="22"/>
                <w:lang w:eastAsia="zh-CN"/>
                <w14:textFill>
                  <w14:solidFill>
                    <w14:schemeClr w14:val="tx1"/>
                  </w14:solidFill>
                </w14:textFill>
              </w:rPr>
              <w:t>》</w:t>
            </w:r>
            <w:r>
              <w:rPr>
                <w:rFonts w:hint="eastAsia" w:cstheme="minorBidi"/>
                <w:bCs/>
                <w:color w:val="000000" w:themeColor="text1"/>
                <w:kern w:val="2"/>
                <w:sz w:val="24"/>
                <w:szCs w:val="22"/>
                <w14:textFill>
                  <w14:solidFill>
                    <w14:schemeClr w14:val="tx1"/>
                  </w14:solidFill>
                </w14:textFill>
              </w:rPr>
              <w:t>“表1专项评价设置原则表”：本项目专项评价设置情况说明，如下表所示：</w:t>
            </w:r>
          </w:p>
          <w:p w14:paraId="20A705A5">
            <w:pPr>
              <w:pStyle w:val="299"/>
              <w:ind w:firstLine="0" w:firstLineChars="0"/>
              <w:jc w:val="center"/>
              <w:rPr>
                <w:rFonts w:cstheme="minorBidi"/>
                <w:b/>
                <w:color w:val="000000" w:themeColor="text1"/>
                <w:kern w:val="2"/>
                <w14:textFill>
                  <w14:solidFill>
                    <w14:schemeClr w14:val="tx1"/>
                  </w14:solidFill>
                </w14:textFill>
              </w:rPr>
            </w:pPr>
            <w:r>
              <w:rPr>
                <w:rFonts w:hint="eastAsia" w:cstheme="minorBidi"/>
                <w:b/>
                <w:color w:val="000000" w:themeColor="text1"/>
                <w:kern w:val="2"/>
                <w14:textFill>
                  <w14:solidFill>
                    <w14:schemeClr w14:val="tx1"/>
                  </w14:solidFill>
                </w14:textFill>
              </w:rPr>
              <w:t>表</w:t>
            </w:r>
            <w:r>
              <w:rPr>
                <w:rFonts w:cstheme="minorBidi"/>
                <w:b/>
                <w:color w:val="000000" w:themeColor="text1"/>
                <w:kern w:val="2"/>
                <w14:textFill>
                  <w14:solidFill>
                    <w14:schemeClr w14:val="tx1"/>
                  </w14:solidFill>
                </w14:textFill>
              </w:rPr>
              <w:t>1-1</w:t>
            </w:r>
            <w:r>
              <w:rPr>
                <w:rFonts w:hint="eastAsia" w:cstheme="minorBidi"/>
                <w:b/>
                <w:color w:val="000000" w:themeColor="text1"/>
                <w:kern w:val="2"/>
                <w14:textFill>
                  <w14:solidFill>
                    <w14:schemeClr w14:val="tx1"/>
                  </w14:solidFill>
                </w14:textFill>
              </w:rPr>
              <w:t>专项评价设置原则表及本项目对比说明</w:t>
            </w:r>
          </w:p>
          <w:tbl>
            <w:tblPr>
              <w:tblStyle w:val="45"/>
              <w:tblW w:w="7149" w:type="dxa"/>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77"/>
              <w:gridCol w:w="2399"/>
              <w:gridCol w:w="2901"/>
              <w:gridCol w:w="972"/>
            </w:tblGrid>
            <w:tr w14:paraId="7B943123">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tcBorders>
                    <w:top w:val="single" w:color="auto" w:sz="4" w:space="0"/>
                    <w:left w:val="single" w:color="auto" w:sz="4" w:space="0"/>
                    <w:bottom w:val="single" w:color="auto" w:sz="4" w:space="0"/>
                    <w:right w:val="single" w:color="auto" w:sz="4" w:space="0"/>
                  </w:tcBorders>
                  <w:shd w:val="clear" w:color="auto" w:fill="FFFFFF"/>
                  <w:vAlign w:val="center"/>
                </w:tcPr>
                <w:p w14:paraId="429049CE">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专项设置类别</w:t>
                  </w:r>
                </w:p>
              </w:tc>
              <w:tc>
                <w:tcPr>
                  <w:tcW w:w="1678" w:type="pct"/>
                  <w:tcBorders>
                    <w:top w:val="single" w:color="auto" w:sz="4" w:space="0"/>
                    <w:left w:val="single" w:color="auto" w:sz="4" w:space="0"/>
                    <w:bottom w:val="single" w:color="auto" w:sz="4" w:space="0"/>
                    <w:right w:val="single" w:color="auto" w:sz="4" w:space="0"/>
                  </w:tcBorders>
                  <w:shd w:val="clear" w:color="auto" w:fill="FFFFFF"/>
                  <w:vAlign w:val="center"/>
                </w:tcPr>
                <w:p w14:paraId="346C4CE3">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设置原则</w:t>
                  </w:r>
                </w:p>
              </w:tc>
              <w:tc>
                <w:tcPr>
                  <w:tcW w:w="2029" w:type="pct"/>
                  <w:tcBorders>
                    <w:top w:val="single" w:color="auto" w:sz="4" w:space="0"/>
                    <w:left w:val="single" w:color="auto" w:sz="4" w:space="0"/>
                    <w:bottom w:val="single" w:color="auto" w:sz="4" w:space="0"/>
                    <w:right w:val="single" w:color="auto" w:sz="4" w:space="0"/>
                  </w:tcBorders>
                  <w:shd w:val="clear" w:color="auto" w:fill="FFFFFF"/>
                  <w:vAlign w:val="center"/>
                </w:tcPr>
                <w:p w14:paraId="39CE6D44">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本项目情况</w:t>
                  </w:r>
                </w:p>
              </w:tc>
              <w:tc>
                <w:tcPr>
                  <w:tcW w:w="680" w:type="pct"/>
                  <w:tcBorders>
                    <w:top w:val="single" w:color="auto" w:sz="4" w:space="0"/>
                    <w:left w:val="single" w:color="auto" w:sz="4" w:space="0"/>
                    <w:bottom w:val="single" w:color="auto" w:sz="4" w:space="0"/>
                    <w:right w:val="single" w:color="auto" w:sz="4" w:space="0"/>
                  </w:tcBorders>
                  <w:shd w:val="clear" w:color="auto" w:fill="FFFFFF"/>
                  <w:vAlign w:val="center"/>
                </w:tcPr>
                <w:p w14:paraId="3F42AA83">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是否需要专项评价</w:t>
                  </w:r>
                </w:p>
              </w:tc>
            </w:tr>
            <w:tr w14:paraId="64D5C97B">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tcBorders>
                    <w:top w:val="single" w:color="auto" w:sz="4" w:space="0"/>
                    <w:left w:val="single" w:color="auto" w:sz="4" w:space="0"/>
                    <w:bottom w:val="single" w:color="auto" w:sz="4" w:space="0"/>
                    <w:right w:val="single" w:color="auto" w:sz="4" w:space="0"/>
                  </w:tcBorders>
                  <w:vAlign w:val="center"/>
                </w:tcPr>
                <w:p w14:paraId="7F2E0BD7">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大气</w:t>
                  </w:r>
                </w:p>
              </w:tc>
              <w:tc>
                <w:tcPr>
                  <w:tcW w:w="1678" w:type="pct"/>
                  <w:tcBorders>
                    <w:top w:val="single" w:color="auto" w:sz="4" w:space="0"/>
                    <w:left w:val="single" w:color="auto" w:sz="4" w:space="0"/>
                    <w:bottom w:val="single" w:color="auto" w:sz="4" w:space="0"/>
                    <w:right w:val="single" w:color="auto" w:sz="4" w:space="0"/>
                  </w:tcBorders>
                  <w:vAlign w:val="center"/>
                </w:tcPr>
                <w:p w14:paraId="24892853">
                  <w:pPr>
                    <w:pStyle w:val="299"/>
                    <w:ind w:firstLine="0" w:firstLineChars="0"/>
                    <w:jc w:val="both"/>
                    <w:rPr>
                      <w:color w:val="000000" w:themeColor="text1"/>
                      <w:kern w:val="2"/>
                      <w14:textFill>
                        <w14:solidFill>
                          <w14:schemeClr w14:val="tx1"/>
                        </w14:solidFill>
                      </w14:textFill>
                    </w:rPr>
                  </w:pPr>
                  <w:r>
                    <w:rPr>
                      <w:color w:val="000000" w:themeColor="text1"/>
                      <w:kern w:val="2"/>
                      <w14:textFill>
                        <w14:solidFill>
                          <w14:schemeClr w14:val="tx1"/>
                        </w14:solidFill>
                      </w14:textFill>
                    </w:rPr>
                    <w:t>排放废气含有有毒有害物质、二噁英、苯并[a]芘、氰化物、氯气且厂界外500米范围内有环境空气保护目标的建设项目</w:t>
                  </w:r>
                </w:p>
              </w:tc>
              <w:tc>
                <w:tcPr>
                  <w:tcW w:w="2029" w:type="pct"/>
                  <w:tcBorders>
                    <w:top w:val="single" w:color="auto" w:sz="4" w:space="0"/>
                    <w:left w:val="single" w:color="auto" w:sz="4" w:space="0"/>
                    <w:bottom w:val="single" w:color="auto" w:sz="4" w:space="0"/>
                    <w:right w:val="single" w:color="auto" w:sz="4" w:space="0"/>
                  </w:tcBorders>
                  <w:vAlign w:val="center"/>
                </w:tcPr>
                <w:p w14:paraId="3CDCBD50">
                  <w:pPr>
                    <w:pStyle w:val="299"/>
                    <w:ind w:firstLine="0" w:firstLineChars="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本项目废气主要污染因子为颗粒物、非甲烷总烃，不含《有毒有害大气污染物名录》中的有毒有害污染物、二噁英、苯并[a]芘、氰化物、氯气等</w:t>
                  </w:r>
                  <w:r>
                    <w:rPr>
                      <w:rFonts w:hint="eastAsia"/>
                      <w:color w:val="000000" w:themeColor="text1"/>
                      <w:kern w:val="2"/>
                      <w14:textFill>
                        <w14:solidFill>
                          <w14:schemeClr w14:val="tx1"/>
                        </w14:solidFill>
                      </w14:textFill>
                    </w:rPr>
                    <w:t>。</w:t>
                  </w:r>
                </w:p>
              </w:tc>
              <w:tc>
                <w:tcPr>
                  <w:tcW w:w="680" w:type="pct"/>
                  <w:tcBorders>
                    <w:top w:val="single" w:color="auto" w:sz="4" w:space="0"/>
                    <w:left w:val="single" w:color="auto" w:sz="4" w:space="0"/>
                    <w:bottom w:val="single" w:color="auto" w:sz="4" w:space="0"/>
                    <w:right w:val="single" w:color="auto" w:sz="4" w:space="0"/>
                  </w:tcBorders>
                  <w:vAlign w:val="center"/>
                </w:tcPr>
                <w:p w14:paraId="7B5772A3">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否</w:t>
                  </w:r>
                </w:p>
              </w:tc>
            </w:tr>
            <w:tr w14:paraId="439531FC">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tcBorders>
                    <w:top w:val="single" w:color="auto" w:sz="4" w:space="0"/>
                    <w:left w:val="single" w:color="auto" w:sz="4" w:space="0"/>
                    <w:bottom w:val="single" w:color="auto" w:sz="4" w:space="0"/>
                    <w:right w:val="single" w:color="auto" w:sz="4" w:space="0"/>
                  </w:tcBorders>
                  <w:vAlign w:val="center"/>
                </w:tcPr>
                <w:p w14:paraId="789F4DAB">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地表水</w:t>
                  </w:r>
                </w:p>
              </w:tc>
              <w:tc>
                <w:tcPr>
                  <w:tcW w:w="1678" w:type="pct"/>
                  <w:tcBorders>
                    <w:top w:val="single" w:color="auto" w:sz="4" w:space="0"/>
                    <w:left w:val="single" w:color="auto" w:sz="4" w:space="0"/>
                    <w:bottom w:val="single" w:color="auto" w:sz="4" w:space="0"/>
                    <w:right w:val="single" w:color="auto" w:sz="4" w:space="0"/>
                  </w:tcBorders>
                  <w:vAlign w:val="center"/>
                </w:tcPr>
                <w:p w14:paraId="12739F19">
                  <w:pPr>
                    <w:pStyle w:val="299"/>
                    <w:ind w:firstLine="0" w:firstLineChars="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新增工业废水直排建设项目（槽罐车外送污水处理厂的除外）；新增废水直排的污水集中处理厂</w:t>
                  </w:r>
                </w:p>
              </w:tc>
              <w:tc>
                <w:tcPr>
                  <w:tcW w:w="2029" w:type="pct"/>
                  <w:tcBorders>
                    <w:top w:val="single" w:color="auto" w:sz="4" w:space="0"/>
                    <w:left w:val="single" w:color="auto" w:sz="4" w:space="0"/>
                    <w:bottom w:val="single" w:color="auto" w:sz="4" w:space="0"/>
                    <w:right w:val="single" w:color="auto" w:sz="4" w:space="0"/>
                  </w:tcBorders>
                  <w:vAlign w:val="center"/>
                </w:tcPr>
                <w:p w14:paraId="78AB2CDD">
                  <w:pPr>
                    <w:pStyle w:val="299"/>
                    <w:ind w:firstLine="0" w:firstLineChars="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本项目主要外排废水为生活污水，生活污水经三级化粪池</w:t>
                  </w:r>
                  <w:r>
                    <w:rPr>
                      <w:rFonts w:hint="eastAsia"/>
                      <w:color w:val="000000" w:themeColor="text1"/>
                      <w:kern w:val="2"/>
                      <w14:textFill>
                        <w14:solidFill>
                          <w14:schemeClr w14:val="tx1"/>
                        </w14:solidFill>
                      </w14:textFill>
                    </w:rPr>
                    <w:t>预</w:t>
                  </w:r>
                  <w:r>
                    <w:rPr>
                      <w:color w:val="000000" w:themeColor="text1"/>
                      <w:kern w:val="2"/>
                      <w14:textFill>
                        <w14:solidFill>
                          <w14:schemeClr w14:val="tx1"/>
                        </w14:solidFill>
                      </w14:textFill>
                    </w:rPr>
                    <w:t>处理后排入园区污水处理站处理。</w:t>
                  </w:r>
                </w:p>
              </w:tc>
              <w:tc>
                <w:tcPr>
                  <w:tcW w:w="5000" w:type="pct"/>
                  <w:tcBorders>
                    <w:top w:val="single" w:color="auto" w:sz="4" w:space="0"/>
                    <w:left w:val="single" w:color="auto" w:sz="4" w:space="0"/>
                    <w:bottom w:val="single" w:color="auto" w:sz="4" w:space="0"/>
                    <w:right w:val="single" w:color="auto" w:sz="4" w:space="0"/>
                  </w:tcBorders>
                  <w:vAlign w:val="center"/>
                </w:tcPr>
                <w:p w14:paraId="59E50F9F">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否</w:t>
                  </w:r>
                </w:p>
              </w:tc>
            </w:tr>
            <w:tr w14:paraId="51B4DDDE">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tcBorders>
                    <w:top w:val="single" w:color="auto" w:sz="4" w:space="0"/>
                    <w:left w:val="single" w:color="auto" w:sz="4" w:space="0"/>
                    <w:bottom w:val="single" w:color="auto" w:sz="4" w:space="0"/>
                    <w:right w:val="single" w:color="auto" w:sz="4" w:space="0"/>
                  </w:tcBorders>
                  <w:vAlign w:val="center"/>
                </w:tcPr>
                <w:p w14:paraId="4DAB679D">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环境风险</w:t>
                  </w:r>
                </w:p>
              </w:tc>
              <w:tc>
                <w:tcPr>
                  <w:tcW w:w="1678" w:type="pct"/>
                  <w:tcBorders>
                    <w:top w:val="single" w:color="auto" w:sz="4" w:space="0"/>
                    <w:left w:val="single" w:color="auto" w:sz="4" w:space="0"/>
                    <w:bottom w:val="single" w:color="auto" w:sz="4" w:space="0"/>
                    <w:right w:val="single" w:color="auto" w:sz="4" w:space="0"/>
                  </w:tcBorders>
                  <w:vAlign w:val="center"/>
                </w:tcPr>
                <w:p w14:paraId="43B2CE6C">
                  <w:pPr>
                    <w:pStyle w:val="299"/>
                    <w:ind w:firstLine="0" w:firstLineChars="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有毒有害和易燃易爆危险物质储量超过临界量的建设项目</w:t>
                  </w:r>
                </w:p>
              </w:tc>
              <w:tc>
                <w:tcPr>
                  <w:tcW w:w="2029" w:type="pct"/>
                  <w:tcBorders>
                    <w:top w:val="single" w:color="auto" w:sz="4" w:space="0"/>
                    <w:left w:val="single" w:color="auto" w:sz="4" w:space="0"/>
                    <w:bottom w:val="single" w:color="auto" w:sz="4" w:space="0"/>
                    <w:right w:val="single" w:color="auto" w:sz="4" w:space="0"/>
                  </w:tcBorders>
                  <w:vAlign w:val="center"/>
                </w:tcPr>
                <w:p w14:paraId="3DA5DDA6">
                  <w:pPr>
                    <w:pStyle w:val="299"/>
                    <w:ind w:firstLine="0" w:firstLineChars="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本</w:t>
                  </w:r>
                  <w:r>
                    <w:rPr>
                      <w:rFonts w:hint="eastAsia"/>
                      <w:color w:val="000000" w:themeColor="text1"/>
                      <w:kern w:val="2"/>
                      <w:lang w:eastAsia="zh-CN"/>
                      <w14:textFill>
                        <w14:solidFill>
                          <w14:schemeClr w14:val="tx1"/>
                        </w14:solidFill>
                      </w14:textFill>
                    </w:rPr>
                    <w:t>项目</w:t>
                  </w:r>
                  <w:r>
                    <w:rPr>
                      <w:color w:val="000000" w:themeColor="text1"/>
                      <w:kern w:val="2"/>
                      <w14:textFill>
                        <w14:solidFill>
                          <w14:schemeClr w14:val="tx1"/>
                        </w14:solidFill>
                      </w14:textFill>
                    </w:rPr>
                    <w:t>有毒有害危险物质存储量未超过《建设项目环境风险评价技术导则》（HJ169）中的临界量</w:t>
                  </w:r>
                  <w:r>
                    <w:rPr>
                      <w:rFonts w:hint="eastAsia"/>
                      <w:color w:val="000000" w:themeColor="text1"/>
                      <w:kern w:val="2"/>
                      <w14:textFill>
                        <w14:solidFill>
                          <w14:schemeClr w14:val="tx1"/>
                        </w14:solidFill>
                      </w14:textFill>
                    </w:rPr>
                    <w:t>。</w:t>
                  </w:r>
                </w:p>
              </w:tc>
              <w:tc>
                <w:tcPr>
                  <w:tcW w:w="5000" w:type="pct"/>
                  <w:tcBorders>
                    <w:top w:val="single" w:color="auto" w:sz="4" w:space="0"/>
                    <w:left w:val="single" w:color="auto" w:sz="4" w:space="0"/>
                    <w:bottom w:val="single" w:color="auto" w:sz="4" w:space="0"/>
                    <w:right w:val="single" w:color="auto" w:sz="4" w:space="0"/>
                  </w:tcBorders>
                  <w:vAlign w:val="center"/>
                </w:tcPr>
                <w:p w14:paraId="1F351009">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否</w:t>
                  </w:r>
                </w:p>
              </w:tc>
            </w:tr>
            <w:tr w14:paraId="1AB8816E">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tcBorders>
                    <w:top w:val="single" w:color="auto" w:sz="4" w:space="0"/>
                    <w:left w:val="single" w:color="auto" w:sz="4" w:space="0"/>
                    <w:bottom w:val="single" w:color="auto" w:sz="4" w:space="0"/>
                    <w:right w:val="single" w:color="auto" w:sz="4" w:space="0"/>
                  </w:tcBorders>
                  <w:vAlign w:val="center"/>
                </w:tcPr>
                <w:p w14:paraId="22B07B1F">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生态</w:t>
                  </w:r>
                </w:p>
              </w:tc>
              <w:tc>
                <w:tcPr>
                  <w:tcW w:w="1678" w:type="pct"/>
                  <w:tcBorders>
                    <w:top w:val="single" w:color="auto" w:sz="4" w:space="0"/>
                    <w:left w:val="single" w:color="auto" w:sz="4" w:space="0"/>
                    <w:bottom w:val="single" w:color="auto" w:sz="4" w:space="0"/>
                    <w:right w:val="single" w:color="auto" w:sz="4" w:space="0"/>
                  </w:tcBorders>
                  <w:vAlign w:val="center"/>
                </w:tcPr>
                <w:p w14:paraId="67701632">
                  <w:pPr>
                    <w:pStyle w:val="299"/>
                    <w:ind w:firstLine="0" w:firstLineChars="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取水口下游500米范围内有重要水生生物的自然产卵场、索饵场、越冬场和洄游通道的新增河道取水的污染类建设项目</w:t>
                  </w:r>
                </w:p>
              </w:tc>
              <w:tc>
                <w:tcPr>
                  <w:tcW w:w="2029" w:type="pct"/>
                  <w:tcBorders>
                    <w:top w:val="single" w:color="auto" w:sz="4" w:space="0"/>
                    <w:left w:val="single" w:color="auto" w:sz="4" w:space="0"/>
                    <w:bottom w:val="single" w:color="auto" w:sz="4" w:space="0"/>
                    <w:right w:val="single" w:color="auto" w:sz="4" w:space="0"/>
                  </w:tcBorders>
                  <w:vAlign w:val="center"/>
                </w:tcPr>
                <w:p w14:paraId="5210765F">
                  <w:pPr>
                    <w:pStyle w:val="299"/>
                    <w:ind w:firstLine="0" w:firstLineChars="0"/>
                    <w:jc w:val="center"/>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本</w:t>
                  </w:r>
                  <w:r>
                    <w:rPr>
                      <w:rFonts w:hint="eastAsia"/>
                      <w:color w:val="000000" w:themeColor="text1"/>
                      <w:kern w:val="2"/>
                      <w:lang w:eastAsia="zh-CN"/>
                      <w14:textFill>
                        <w14:solidFill>
                          <w14:schemeClr w14:val="tx1"/>
                        </w14:solidFill>
                      </w14:textFill>
                    </w:rPr>
                    <w:t>项目</w:t>
                  </w:r>
                  <w:r>
                    <w:rPr>
                      <w:rFonts w:hint="eastAsia"/>
                      <w:color w:val="000000" w:themeColor="text1"/>
                      <w:kern w:val="2"/>
                      <w14:textFill>
                        <w14:solidFill>
                          <w14:schemeClr w14:val="tx1"/>
                        </w14:solidFill>
                      </w14:textFill>
                    </w:rPr>
                    <w:t>不涉及。</w:t>
                  </w:r>
                </w:p>
              </w:tc>
              <w:tc>
                <w:tcPr>
                  <w:tcW w:w="5000" w:type="pct"/>
                  <w:tcBorders>
                    <w:top w:val="single" w:color="auto" w:sz="4" w:space="0"/>
                    <w:left w:val="single" w:color="auto" w:sz="4" w:space="0"/>
                    <w:bottom w:val="single" w:color="auto" w:sz="4" w:space="0"/>
                    <w:right w:val="single" w:color="auto" w:sz="4" w:space="0"/>
                  </w:tcBorders>
                  <w:vAlign w:val="center"/>
                </w:tcPr>
                <w:p w14:paraId="5C99FE2A">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否</w:t>
                  </w:r>
                </w:p>
              </w:tc>
            </w:tr>
            <w:tr w14:paraId="73C55944">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tcBorders>
                    <w:top w:val="single" w:color="auto" w:sz="4" w:space="0"/>
                    <w:left w:val="single" w:color="auto" w:sz="4" w:space="0"/>
                    <w:bottom w:val="single" w:color="auto" w:sz="4" w:space="0"/>
                    <w:right w:val="single" w:color="auto" w:sz="4" w:space="0"/>
                  </w:tcBorders>
                  <w:vAlign w:val="center"/>
                </w:tcPr>
                <w:p w14:paraId="334A0937">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海洋</w:t>
                  </w:r>
                </w:p>
              </w:tc>
              <w:tc>
                <w:tcPr>
                  <w:tcW w:w="1678" w:type="pct"/>
                  <w:tcBorders>
                    <w:top w:val="single" w:color="auto" w:sz="4" w:space="0"/>
                    <w:left w:val="single" w:color="auto" w:sz="4" w:space="0"/>
                    <w:bottom w:val="single" w:color="auto" w:sz="4" w:space="0"/>
                    <w:right w:val="single" w:color="auto" w:sz="4" w:space="0"/>
                  </w:tcBorders>
                  <w:vAlign w:val="center"/>
                </w:tcPr>
                <w:p w14:paraId="3A505BEC">
                  <w:pPr>
                    <w:pStyle w:val="299"/>
                    <w:ind w:firstLine="0" w:firstLineChars="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直接向海排放污染物的海洋工程建设项目</w:t>
                  </w:r>
                </w:p>
              </w:tc>
              <w:tc>
                <w:tcPr>
                  <w:tcW w:w="2029" w:type="pct"/>
                  <w:tcBorders>
                    <w:top w:val="single" w:color="auto" w:sz="4" w:space="0"/>
                    <w:left w:val="single" w:color="auto" w:sz="4" w:space="0"/>
                    <w:bottom w:val="single" w:color="auto" w:sz="4" w:space="0"/>
                    <w:right w:val="single" w:color="auto" w:sz="4" w:space="0"/>
                  </w:tcBorders>
                  <w:vAlign w:val="center"/>
                </w:tcPr>
                <w:p w14:paraId="37E33783">
                  <w:pPr>
                    <w:pStyle w:val="299"/>
                    <w:ind w:firstLine="0" w:firstLineChars="0"/>
                    <w:jc w:val="center"/>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本</w:t>
                  </w:r>
                  <w:r>
                    <w:rPr>
                      <w:rFonts w:hint="eastAsia"/>
                      <w:color w:val="000000" w:themeColor="text1"/>
                      <w:kern w:val="2"/>
                      <w:lang w:eastAsia="zh-CN"/>
                      <w14:textFill>
                        <w14:solidFill>
                          <w14:schemeClr w14:val="tx1"/>
                        </w14:solidFill>
                      </w14:textFill>
                    </w:rPr>
                    <w:t>项目</w:t>
                  </w:r>
                  <w:r>
                    <w:rPr>
                      <w:color w:val="000000" w:themeColor="text1"/>
                      <w:kern w:val="2"/>
                      <w14:textFill>
                        <w14:solidFill>
                          <w14:schemeClr w14:val="tx1"/>
                        </w14:solidFill>
                      </w14:textFill>
                    </w:rPr>
                    <w:t>不属</w:t>
                  </w:r>
                  <w:r>
                    <w:rPr>
                      <w:rFonts w:hint="eastAsia"/>
                      <w:color w:val="000000" w:themeColor="text1"/>
                      <w:kern w:val="2"/>
                      <w14:textFill>
                        <w14:solidFill>
                          <w14:schemeClr w14:val="tx1"/>
                        </w14:solidFill>
                      </w14:textFill>
                    </w:rPr>
                    <w:t>于海洋工程。</w:t>
                  </w:r>
                </w:p>
              </w:tc>
              <w:tc>
                <w:tcPr>
                  <w:tcW w:w="5000" w:type="pct"/>
                  <w:tcBorders>
                    <w:top w:val="single" w:color="auto" w:sz="4" w:space="0"/>
                    <w:left w:val="single" w:color="auto" w:sz="4" w:space="0"/>
                    <w:bottom w:val="single" w:color="auto" w:sz="4" w:space="0"/>
                    <w:right w:val="single" w:color="auto" w:sz="4" w:space="0"/>
                  </w:tcBorders>
                  <w:vAlign w:val="center"/>
                </w:tcPr>
                <w:p w14:paraId="22D58112">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否</w:t>
                  </w:r>
                </w:p>
              </w:tc>
            </w:tr>
            <w:tr w14:paraId="69204929">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pct"/>
                  <w:tcBorders>
                    <w:top w:val="single" w:color="auto" w:sz="4" w:space="0"/>
                    <w:left w:val="single" w:color="auto" w:sz="4" w:space="0"/>
                    <w:bottom w:val="single" w:color="auto" w:sz="4" w:space="0"/>
                    <w:right w:val="single" w:color="auto" w:sz="4" w:space="0"/>
                  </w:tcBorders>
                  <w:vAlign w:val="center"/>
                </w:tcPr>
                <w:p w14:paraId="74FE7BB6">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地下水</w:t>
                  </w:r>
                </w:p>
              </w:tc>
              <w:tc>
                <w:tcPr>
                  <w:tcW w:w="1678" w:type="pct"/>
                  <w:tcBorders>
                    <w:top w:val="single" w:color="auto" w:sz="4" w:space="0"/>
                    <w:left w:val="single" w:color="auto" w:sz="4" w:space="0"/>
                    <w:bottom w:val="single" w:color="auto" w:sz="4" w:space="0"/>
                    <w:right w:val="single" w:color="auto" w:sz="4" w:space="0"/>
                  </w:tcBorders>
                  <w:vAlign w:val="center"/>
                </w:tcPr>
                <w:p w14:paraId="61DCF89D">
                  <w:pPr>
                    <w:pStyle w:val="299"/>
                    <w:ind w:firstLine="0" w:firstLineChars="0"/>
                    <w:jc w:val="center"/>
                    <w:rPr>
                      <w:color w:val="000000" w:themeColor="text1"/>
                      <w:kern w:val="2"/>
                      <w14:textFill>
                        <w14:solidFill>
                          <w14:schemeClr w14:val="tx1"/>
                        </w14:solidFill>
                      </w14:textFill>
                    </w:rPr>
                  </w:pPr>
                  <w:r>
                    <w:rPr>
                      <w:color w:val="000000" w:themeColor="text1"/>
                      <w:kern w:val="2"/>
                      <w14:textFill>
                        <w14:solidFill>
                          <w14:schemeClr w14:val="tx1"/>
                        </w14:solidFill>
                      </w14:textFill>
                    </w:rPr>
                    <w:t>涉及集中式饮用水源和热水、矿泉水、温泉等特殊地下水资源保险区的</w:t>
                  </w:r>
                </w:p>
              </w:tc>
              <w:tc>
                <w:tcPr>
                  <w:tcW w:w="2029" w:type="pct"/>
                  <w:tcBorders>
                    <w:top w:val="single" w:color="auto" w:sz="4" w:space="0"/>
                    <w:left w:val="single" w:color="auto" w:sz="4" w:space="0"/>
                    <w:bottom w:val="single" w:color="auto" w:sz="4" w:space="0"/>
                    <w:right w:val="single" w:color="auto" w:sz="4" w:space="0"/>
                  </w:tcBorders>
                  <w:vAlign w:val="center"/>
                </w:tcPr>
                <w:p w14:paraId="753A96D8">
                  <w:pPr>
                    <w:pStyle w:val="299"/>
                    <w:ind w:firstLine="0" w:firstLineChars="0"/>
                    <w:jc w:val="center"/>
                    <w:rPr>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本</w:t>
                  </w:r>
                  <w:r>
                    <w:rPr>
                      <w:rFonts w:hint="eastAsia"/>
                      <w:color w:val="000000" w:themeColor="text1"/>
                      <w:kern w:val="2"/>
                      <w:lang w:eastAsia="zh-CN"/>
                      <w14:textFill>
                        <w14:solidFill>
                          <w14:schemeClr w14:val="tx1"/>
                        </w14:solidFill>
                      </w14:textFill>
                    </w:rPr>
                    <w:t>项目</w:t>
                  </w:r>
                  <w:r>
                    <w:rPr>
                      <w:color w:val="000000" w:themeColor="text1"/>
                      <w:kern w:val="2"/>
                      <w14:textFill>
                        <w14:solidFill>
                          <w14:schemeClr w14:val="tx1"/>
                        </w14:solidFill>
                      </w14:textFill>
                    </w:rPr>
                    <w:t>建设不涉及集中式饮用水源和热水、矿泉水、温泉等特殊地下水资源保护区</w:t>
                  </w:r>
                  <w:r>
                    <w:rPr>
                      <w:rFonts w:hint="eastAsia"/>
                      <w:color w:val="000000" w:themeColor="text1"/>
                      <w:kern w:val="2"/>
                      <w14:textFill>
                        <w14:solidFill>
                          <w14:schemeClr w14:val="tx1"/>
                        </w14:solidFill>
                      </w14:textFill>
                    </w:rPr>
                    <w:t>。</w:t>
                  </w:r>
                </w:p>
              </w:tc>
              <w:tc>
                <w:tcPr>
                  <w:tcW w:w="5000" w:type="pct"/>
                  <w:tcBorders>
                    <w:top w:val="single" w:color="auto" w:sz="4" w:space="0"/>
                    <w:left w:val="single" w:color="auto" w:sz="4" w:space="0"/>
                    <w:bottom w:val="single" w:color="auto" w:sz="4" w:space="0"/>
                    <w:right w:val="single" w:color="auto" w:sz="4" w:space="0"/>
                  </w:tcBorders>
                  <w:vAlign w:val="center"/>
                </w:tcPr>
                <w:p w14:paraId="63B9C751">
                  <w:pPr>
                    <w:pStyle w:val="299"/>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否</w:t>
                  </w:r>
                </w:p>
              </w:tc>
            </w:tr>
            <w:tr w14:paraId="4ACCC2A4">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6A3A8D3">
                  <w:pPr>
                    <w:pStyle w:val="66"/>
                    <w:jc w:val="both"/>
                    <w:rPr>
                      <w:b/>
                      <w:bCs/>
                      <w:color w:val="000000" w:themeColor="text1"/>
                      <w14:textFill>
                        <w14:solidFill>
                          <w14:schemeClr w14:val="tx1"/>
                        </w14:solidFill>
                      </w14:textFill>
                    </w:rPr>
                  </w:pPr>
                  <w:r>
                    <w:rPr>
                      <w:b/>
                      <w:bCs/>
                      <w:color w:val="000000" w:themeColor="text1"/>
                      <w14:textFill>
                        <w14:solidFill>
                          <w14:schemeClr w14:val="tx1"/>
                        </w14:solidFill>
                      </w14:textFill>
                    </w:rPr>
                    <w:t>注：1.废气中有毒有害污染物指纳入《有毒有害大气污染物名录》的污染物（不包括无排放标准的污染物）。</w:t>
                  </w:r>
                </w:p>
                <w:p w14:paraId="1F9074F4">
                  <w:pPr>
                    <w:pStyle w:val="66"/>
                    <w:jc w:val="both"/>
                    <w:rPr>
                      <w:b/>
                      <w:bCs/>
                      <w:color w:val="000000" w:themeColor="text1"/>
                      <w14:textFill>
                        <w14:solidFill>
                          <w14:schemeClr w14:val="tx1"/>
                        </w14:solidFill>
                      </w14:textFill>
                    </w:rPr>
                  </w:pPr>
                  <w:r>
                    <w:rPr>
                      <w:b/>
                      <w:bCs/>
                      <w:color w:val="000000" w:themeColor="text1"/>
                      <w14:textFill>
                        <w14:solidFill>
                          <w14:schemeClr w14:val="tx1"/>
                        </w14:solidFill>
                      </w14:textFill>
                    </w:rPr>
                    <w:t>2.环境空气保护目标指自然保护区、风景名胜区、居住区、文化区和农村地区中人群较集中的区域。</w:t>
                  </w:r>
                </w:p>
                <w:p w14:paraId="03E3875E">
                  <w:pPr>
                    <w:pStyle w:val="66"/>
                    <w:jc w:val="both"/>
                    <w:rPr>
                      <w:color w:val="000000" w:themeColor="text1"/>
                      <w14:textFill>
                        <w14:solidFill>
                          <w14:schemeClr w14:val="tx1"/>
                        </w14:solidFill>
                      </w14:textFill>
                    </w:rPr>
                  </w:pPr>
                  <w:r>
                    <w:rPr>
                      <w:b/>
                      <w:bCs/>
                      <w:color w:val="000000" w:themeColor="text1"/>
                      <w14:textFill>
                        <w14:solidFill>
                          <w14:schemeClr w14:val="tx1"/>
                        </w14:solidFill>
                      </w14:textFill>
                    </w:rPr>
                    <w:t>3.临界量及其计算方法可参考《建设项目环境风险评价技术导则》（HJ169）附录B、附录C。</w:t>
                  </w:r>
                </w:p>
              </w:tc>
            </w:tr>
          </w:tbl>
          <w:p w14:paraId="7A1DDBD6">
            <w:pPr>
              <w:pStyle w:val="299"/>
              <w:spacing w:line="360" w:lineRule="auto"/>
              <w:ind w:firstLine="480"/>
              <w:rPr>
                <w:color w:val="000000" w:themeColor="text1"/>
                <w14:textFill>
                  <w14:solidFill>
                    <w14:schemeClr w14:val="tx1"/>
                  </w14:solidFill>
                </w14:textFill>
              </w:rPr>
            </w:pPr>
            <w:r>
              <w:rPr>
                <w:rFonts w:hint="eastAsia" w:cstheme="minorBidi"/>
                <w:color w:val="000000" w:themeColor="text1"/>
                <w:sz w:val="24"/>
                <w:szCs w:val="22"/>
                <w14:textFill>
                  <w14:solidFill>
                    <w14:schemeClr w14:val="tx1"/>
                  </w14:solidFill>
                </w14:textFill>
              </w:rPr>
              <w:t>根据上述分析，本</w:t>
            </w:r>
            <w:r>
              <w:rPr>
                <w:rFonts w:hint="eastAsia" w:cstheme="minorBidi"/>
                <w:color w:val="000000" w:themeColor="text1"/>
                <w:sz w:val="24"/>
                <w:szCs w:val="22"/>
                <w:lang w:eastAsia="zh-CN"/>
                <w14:textFill>
                  <w14:solidFill>
                    <w14:schemeClr w14:val="tx1"/>
                  </w14:solidFill>
                </w14:textFill>
              </w:rPr>
              <w:t>项目</w:t>
            </w:r>
            <w:r>
              <w:rPr>
                <w:rFonts w:hint="eastAsia" w:cstheme="minorBidi"/>
                <w:color w:val="000000" w:themeColor="text1"/>
                <w:sz w:val="24"/>
                <w:szCs w:val="22"/>
                <w14:textFill>
                  <w14:solidFill>
                    <w14:schemeClr w14:val="tx1"/>
                  </w14:solidFill>
                </w14:textFill>
              </w:rPr>
              <w:t>无需设置专项评价。</w:t>
            </w:r>
          </w:p>
        </w:tc>
      </w:tr>
      <w:tr w14:paraId="5DD247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left w:w="108" w:type="dxa"/>
              <w:right w:w="108" w:type="dxa"/>
            </w:tcMar>
            <w:vAlign w:val="center"/>
          </w:tcPr>
          <w:p w14:paraId="7C97F143">
            <w:pPr>
              <w:autoSpaceDE w:val="0"/>
              <w:autoSpaceDN w:val="0"/>
              <w:adjustRightInd w:val="0"/>
              <w:snapToGrid w:val="0"/>
              <w:spacing w:line="360" w:lineRule="auto"/>
              <w:jc w:val="center"/>
              <w:rPr>
                <w:rFonts w:ascii="Times New Roman" w:hAnsi="Times New Roman" w:eastAsia="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规划情况</w:t>
            </w:r>
          </w:p>
        </w:tc>
        <w:tc>
          <w:tcPr>
            <w:tcW w:w="7368" w:type="dxa"/>
            <w:gridSpan w:val="3"/>
            <w:tcBorders>
              <w:top w:val="single" w:color="auto" w:sz="4" w:space="0"/>
              <w:left w:val="single" w:color="auto" w:sz="4" w:space="0"/>
              <w:bottom w:val="single" w:color="auto" w:sz="4" w:space="0"/>
              <w:right w:val="single" w:color="auto" w:sz="8" w:space="0"/>
            </w:tcBorders>
            <w:tcMar>
              <w:left w:w="108" w:type="dxa"/>
              <w:right w:w="108" w:type="dxa"/>
            </w:tcMar>
            <w:vAlign w:val="center"/>
          </w:tcPr>
          <w:p w14:paraId="12B8FD18">
            <w:pPr>
              <w:autoSpaceDE w:val="0"/>
              <w:autoSpaceDN w:val="0"/>
              <w:adjustRightInd w:val="0"/>
              <w:snapToGrid w:val="0"/>
              <w:spacing w:line="360" w:lineRule="auto"/>
              <w:jc w:val="left"/>
              <w:rPr>
                <w:rFonts w:ascii="Times New Roman" w:hAnsi="Times New Roman" w:cs="Times New Roman"/>
                <w:color w:val="000000" w:themeColor="text1"/>
                <w:kern w:val="0"/>
                <w:sz w:val="24"/>
                <w14:textFill>
                  <w14:solidFill>
                    <w14:schemeClr w14:val="tx1"/>
                  </w14:solidFill>
                </w14:textFill>
              </w:rPr>
            </w:pPr>
            <w:r>
              <w:rPr>
                <w:rFonts w:hint="eastAsia" w:ascii="Times New Roman" w:hAnsi="Times New Roman" w:cs="Times New Roman"/>
                <w:color w:val="000000" w:themeColor="text1"/>
                <w:kern w:val="0"/>
                <w:sz w:val="24"/>
                <w14:textFill>
                  <w14:solidFill>
                    <w14:schemeClr w14:val="tx1"/>
                  </w14:solidFill>
                </w14:textFill>
              </w:rPr>
              <w:t>《乐昌产业转移工业园城东片区控制性详细规划修编</w:t>
            </w:r>
            <w:r>
              <w:rPr>
                <w:rFonts w:hint="eastAsia" w:ascii="Times New Roman" w:hAnsi="Times New Roman" w:cs="Times New Roman"/>
                <w:color w:val="000000" w:themeColor="text1"/>
                <w:kern w:val="0"/>
                <w:sz w:val="24"/>
                <w:lang w:eastAsia="zh-CN"/>
                <w14:textFill>
                  <w14:solidFill>
                    <w14:schemeClr w14:val="tx1"/>
                  </w14:solidFill>
                </w14:textFill>
              </w:rPr>
              <w:t>（</w:t>
            </w:r>
            <w:r>
              <w:rPr>
                <w:rFonts w:hint="eastAsia" w:ascii="Times New Roman" w:hAnsi="Times New Roman" w:cs="Times New Roman"/>
                <w:color w:val="000000" w:themeColor="text1"/>
                <w:kern w:val="0"/>
                <w:sz w:val="24"/>
                <w14:textFill>
                  <w14:solidFill>
                    <w14:schemeClr w14:val="tx1"/>
                  </w14:solidFill>
                </w14:textFill>
              </w:rPr>
              <w:t>2023年</w:t>
            </w:r>
            <w:r>
              <w:rPr>
                <w:rFonts w:hint="eastAsia" w:ascii="Times New Roman" w:hAnsi="Times New Roman" w:cs="Times New Roman"/>
                <w:color w:val="000000" w:themeColor="text1"/>
                <w:kern w:val="0"/>
                <w:sz w:val="24"/>
                <w:lang w:eastAsia="zh-CN"/>
                <w14:textFill>
                  <w14:solidFill>
                    <w14:schemeClr w14:val="tx1"/>
                  </w14:solidFill>
                </w14:textFill>
              </w:rPr>
              <w:t>）</w:t>
            </w:r>
            <w:r>
              <w:rPr>
                <w:rFonts w:hint="eastAsia" w:ascii="Times New Roman" w:hAnsi="Times New Roman" w:cs="Times New Roman"/>
                <w:color w:val="000000" w:themeColor="text1"/>
                <w:kern w:val="0"/>
                <w:sz w:val="24"/>
                <w14:textFill>
                  <w14:solidFill>
                    <w14:schemeClr w14:val="tx1"/>
                  </w14:solidFill>
                </w14:textFill>
              </w:rPr>
              <w:t>》</w:t>
            </w:r>
          </w:p>
        </w:tc>
      </w:tr>
      <w:tr w14:paraId="03EC3F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left w:w="108" w:type="dxa"/>
              <w:right w:w="108" w:type="dxa"/>
            </w:tcMar>
            <w:vAlign w:val="center"/>
          </w:tcPr>
          <w:p w14:paraId="66FE91ED">
            <w:pPr>
              <w:adjustRightInd w:val="0"/>
              <w:snapToGrid w:val="0"/>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规划环境影响</w:t>
            </w:r>
          </w:p>
          <w:p w14:paraId="4F311700">
            <w:pPr>
              <w:adjustRightInd w:val="0"/>
              <w:snapToGrid w:val="0"/>
              <w:spacing w:line="360" w:lineRule="auto"/>
              <w:jc w:val="center"/>
              <w:rPr>
                <w:rFonts w:ascii="Times New Roman" w:hAnsi="Times New Roman" w:eastAsia="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评价情况</w:t>
            </w:r>
          </w:p>
        </w:tc>
        <w:tc>
          <w:tcPr>
            <w:tcW w:w="7368" w:type="dxa"/>
            <w:gridSpan w:val="3"/>
            <w:tcBorders>
              <w:top w:val="single" w:color="auto" w:sz="4" w:space="0"/>
              <w:left w:val="single" w:color="auto" w:sz="4" w:space="0"/>
              <w:bottom w:val="single" w:color="auto" w:sz="4" w:space="0"/>
              <w:right w:val="single" w:color="auto" w:sz="8" w:space="0"/>
            </w:tcBorders>
            <w:tcMar>
              <w:left w:w="108" w:type="dxa"/>
              <w:right w:w="108" w:type="dxa"/>
            </w:tcMar>
            <w:vAlign w:val="center"/>
          </w:tcPr>
          <w:p w14:paraId="097C62F0">
            <w:pPr>
              <w:autoSpaceDE w:val="0"/>
              <w:autoSpaceDN w:val="0"/>
              <w:adjustRightInd w:val="0"/>
              <w:snapToGrid w:val="0"/>
              <w:spacing w:line="360" w:lineRule="auto"/>
              <w:jc w:val="left"/>
              <w:rPr>
                <w:rFonts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auto"/>
                <w:sz w:val="24"/>
                <w:szCs w:val="22"/>
                <w:highlight w:val="none"/>
              </w:rPr>
              <w:t>《韶关乐昌经济开发区规划环境影响报告书》，召集审查机关：广东省生态环境厅，审查文件名称：《广东省生态环境厅关于印发&lt;韶关乐昌经济开发区规划环境影响报告书审查意见&gt;的函》，审查文件文号：粤环审〔2026〕80号</w:t>
            </w:r>
          </w:p>
        </w:tc>
      </w:tr>
      <w:tr w14:paraId="698107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4" w:space="0"/>
              <w:right w:val="single" w:color="auto" w:sz="4" w:space="0"/>
            </w:tcBorders>
            <w:tcMar>
              <w:left w:w="108" w:type="dxa"/>
              <w:right w:w="108" w:type="dxa"/>
            </w:tcMar>
            <w:vAlign w:val="center"/>
          </w:tcPr>
          <w:p w14:paraId="193E4901">
            <w:pPr>
              <w:autoSpaceDE w:val="0"/>
              <w:autoSpaceDN w:val="0"/>
              <w:adjustRightInd w:val="0"/>
              <w:snapToGrid w:val="0"/>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规划及规划环境</w:t>
            </w:r>
          </w:p>
          <w:p w14:paraId="05835C72">
            <w:pPr>
              <w:autoSpaceDE w:val="0"/>
              <w:autoSpaceDN w:val="0"/>
              <w:adjustRightInd w:val="0"/>
              <w:snapToGrid w:val="0"/>
              <w:spacing w:line="360" w:lineRule="auto"/>
              <w:jc w:val="center"/>
              <w:rPr>
                <w:rFonts w:ascii="Times New Roman" w:hAnsi="Times New Roman" w:eastAsia="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影响评价符合性分析</w:t>
            </w:r>
          </w:p>
        </w:tc>
        <w:tc>
          <w:tcPr>
            <w:tcW w:w="7368" w:type="dxa"/>
            <w:gridSpan w:val="3"/>
            <w:tcBorders>
              <w:top w:val="single" w:color="auto" w:sz="4" w:space="0"/>
              <w:left w:val="single" w:color="auto" w:sz="4" w:space="0"/>
              <w:bottom w:val="single" w:color="auto" w:sz="4" w:space="0"/>
              <w:right w:val="single" w:color="auto" w:sz="8" w:space="0"/>
            </w:tcBorders>
            <w:tcMar>
              <w:left w:w="108" w:type="dxa"/>
              <w:right w:w="108" w:type="dxa"/>
            </w:tcMar>
            <w:vAlign w:val="center"/>
          </w:tcPr>
          <w:p w14:paraId="07DE61C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highlight w:val="none"/>
              </w:rPr>
            </w:pPr>
            <w:bookmarkStart w:id="5" w:name="_Toc9596"/>
            <w:bookmarkStart w:id="6" w:name="_Toc24148"/>
            <w:r>
              <w:rPr>
                <w:rFonts w:hint="default" w:ascii="Times New Roman" w:hAnsi="Times New Roman" w:cs="Times New Roman"/>
                <w:color w:val="auto"/>
                <w:sz w:val="24"/>
                <w:szCs w:val="22"/>
                <w:highlight w:val="none"/>
              </w:rPr>
              <w:t>根据</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韶关乐昌经济开发区规划环境影响报告书审查意见</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，新引入企业应符合现行有效的《产业结构调整指导目录</w:t>
            </w:r>
            <w:r>
              <w:rPr>
                <w:rFonts w:hint="default" w:ascii="Times New Roman" w:hAnsi="Times New Roman" w:cs="Times New Roman"/>
                <w:color w:val="auto"/>
                <w:sz w:val="24"/>
                <w:szCs w:val="22"/>
                <w:highlight w:val="none"/>
                <w:lang w:val="en-US" w:eastAsia="zh-CN"/>
              </w:rPr>
              <w:t>2024本</w:t>
            </w:r>
            <w:r>
              <w:rPr>
                <w:rFonts w:hint="default" w:ascii="Times New Roman" w:hAnsi="Times New Roman" w:cs="Times New Roman"/>
                <w:color w:val="auto"/>
                <w:sz w:val="24"/>
                <w:szCs w:val="22"/>
                <w:highlight w:val="none"/>
              </w:rPr>
              <w:t>》、《市场准入负面清单》</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发改体改规〔2025〕466 号</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、《广东省国家重点生态功能区产业准入负面清单</w:t>
            </w:r>
            <w:r>
              <w:rPr>
                <w:rFonts w:hint="eastAsia"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试行</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粤发改规划〔2017〕331 号</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等相关产业政策要求。本次规划确定以轻工纺织、机械制造、电子信息、家具制造、金属制品为主导，以特色商贸等现代服务业为支撑的产业体系，重点发展机械、电子、纺织产业，优先引进无污染物或轻污染项目，</w:t>
            </w:r>
            <w:bookmarkEnd w:id="5"/>
            <w:bookmarkEnd w:id="6"/>
            <w:r>
              <w:rPr>
                <w:rFonts w:hint="default" w:ascii="Times New Roman" w:hAnsi="Times New Roman" w:cs="Times New Roman"/>
                <w:color w:val="auto"/>
                <w:sz w:val="24"/>
                <w:szCs w:val="22"/>
                <w:highlight w:val="none"/>
              </w:rPr>
              <w:t>禁止建设生产和使用高VOCs含量的溶剂型涂料、油墨、胶粘剂等项目。禁止新建、扩建专业电镀、鞣革、印染、化学制浆等水污染物排放量大或排放一类污染物、持久性有机污染物的项目。</w:t>
            </w:r>
            <w:r>
              <w:rPr>
                <w:rFonts w:hint="default" w:ascii="Times New Roman" w:hAnsi="Times New Roman" w:cs="Times New Roman"/>
                <w:color w:val="auto"/>
                <w:sz w:val="24"/>
                <w:szCs w:val="22"/>
                <w:highlight w:val="none"/>
                <w:lang w:val="en-US" w:eastAsia="zh-CN"/>
              </w:rPr>
              <w:t>对于配套电镀、阳极氧化物、钝化、酸洗、磷化等表面处理工艺产生的含镍等一类污染物废水必须预处理后回用。表面处理工序应优先采用陶化等不涉及重金属（重金属污染防控中所列重金属类别）的生产工艺，废水预处理达标后排入园区污水处理厂。原则上居住区附近禁止引入专业的铸造、热加工生产企业；表面涂装工序应尽可能采用的水性或低排放 VOCs 含量的涂料</w:t>
            </w:r>
            <w:r>
              <w:rPr>
                <w:rFonts w:hint="eastAsia" w:ascii="Times New Roman" w:hAnsi="Times New Roman" w:cs="Times New Roman"/>
                <w:color w:val="auto"/>
                <w:sz w:val="24"/>
                <w:szCs w:val="22"/>
                <w:highlight w:val="none"/>
                <w:lang w:val="en-US" w:eastAsia="zh-CN"/>
              </w:rPr>
              <w:t>。</w:t>
            </w:r>
          </w:p>
          <w:p w14:paraId="0B07A8DD">
            <w:pPr>
              <w:pStyle w:val="289"/>
              <w:keepNext w:val="0"/>
              <w:keepLines w:val="0"/>
              <w:pageBreakBefore w:val="0"/>
              <w:tabs>
                <w:tab w:val="left" w:pos="-2848"/>
              </w:tabs>
              <w:kinsoku/>
              <w:wordWrap w:val="0"/>
              <w:overflowPunct/>
              <w:topLinePunct w:val="0"/>
              <w:bidi w:val="0"/>
              <w:adjustRightInd/>
              <w:snapToGrid/>
              <w:spacing w:line="360" w:lineRule="auto"/>
              <w:ind w:firstLine="480" w:firstLineChars="200"/>
              <w:jc w:val="left"/>
              <w:outlineLvl w:val="9"/>
              <w:rPr>
                <w:rFonts w:hint="default" w:ascii="Times New Roman" w:hAnsi="Times New Roman" w:cs="Times New Roman" w:eastAsiaTheme="minorEastAsia"/>
                <w:color w:val="auto"/>
                <w:kern w:val="2"/>
                <w:sz w:val="24"/>
                <w:szCs w:val="22"/>
                <w:highlight w:val="none"/>
                <w:lang w:val="en-US" w:eastAsia="zh-CN" w:bidi="ar-SA"/>
              </w:rPr>
            </w:pPr>
            <w:r>
              <w:rPr>
                <w:rFonts w:hint="default" w:ascii="Times New Roman" w:hAnsi="Times New Roman" w:cs="Times New Roman" w:eastAsiaTheme="minorEastAsia"/>
                <w:color w:val="auto"/>
                <w:kern w:val="2"/>
                <w:sz w:val="24"/>
                <w:szCs w:val="22"/>
                <w:highlight w:val="none"/>
                <w:lang w:val="en-US" w:eastAsia="zh-CN" w:bidi="ar-SA"/>
              </w:rPr>
              <w:t>本项目满足国家和地方相关产业政策，项目所使用溶剂型涂料</w:t>
            </w:r>
            <w:r>
              <w:rPr>
                <w:rFonts w:hint="eastAsia" w:ascii="Times New Roman" w:hAnsi="Times New Roman" w:cs="Times New Roman" w:eastAsiaTheme="minorEastAsia"/>
                <w:color w:val="auto"/>
                <w:kern w:val="2"/>
                <w:sz w:val="24"/>
                <w:szCs w:val="22"/>
                <w:highlight w:val="none"/>
                <w:lang w:val="en-US" w:eastAsia="zh-CN" w:bidi="ar-SA"/>
              </w:rPr>
              <w:t>等原料</w:t>
            </w:r>
            <w:r>
              <w:rPr>
                <w:rFonts w:hint="default" w:ascii="Times New Roman" w:hAnsi="Times New Roman" w:cs="Times New Roman" w:eastAsiaTheme="minorEastAsia"/>
                <w:color w:val="auto"/>
                <w:kern w:val="2"/>
                <w:sz w:val="24"/>
                <w:szCs w:val="22"/>
                <w:highlight w:val="none"/>
                <w:lang w:val="en-US" w:eastAsia="zh-CN" w:bidi="ar-SA"/>
              </w:rPr>
              <w:t>均为低</w:t>
            </w:r>
            <w:r>
              <w:rPr>
                <w:rFonts w:hint="eastAsia" w:ascii="Times New Roman" w:hAnsi="Times New Roman" w:cs="Times New Roman" w:eastAsiaTheme="minorEastAsia"/>
                <w:color w:val="auto"/>
                <w:kern w:val="2"/>
                <w:sz w:val="24"/>
                <w:szCs w:val="22"/>
                <w:highlight w:val="none"/>
                <w:lang w:val="en-US" w:eastAsia="zh-CN" w:bidi="ar-SA"/>
              </w:rPr>
              <w:t>VOCs含量</w:t>
            </w:r>
            <w:r>
              <w:rPr>
                <w:rFonts w:hint="default" w:ascii="Times New Roman" w:hAnsi="Times New Roman" w:cs="Times New Roman" w:eastAsiaTheme="minorEastAsia"/>
                <w:color w:val="auto"/>
                <w:kern w:val="2"/>
                <w:sz w:val="24"/>
                <w:szCs w:val="22"/>
                <w:highlight w:val="none"/>
                <w:lang w:val="en-US" w:eastAsia="zh-CN" w:bidi="ar-SA"/>
              </w:rPr>
              <w:t>产品</w:t>
            </w:r>
            <w:r>
              <w:rPr>
                <w:rFonts w:hint="eastAsia" w:ascii="Times New Roman" w:hAnsi="Times New Roman" w:cs="Times New Roman" w:eastAsiaTheme="minorEastAsia"/>
                <w:color w:val="auto"/>
                <w:kern w:val="2"/>
                <w:sz w:val="24"/>
                <w:szCs w:val="22"/>
                <w:highlight w:val="none"/>
                <w:lang w:val="en-US" w:eastAsia="zh-CN" w:bidi="ar-SA"/>
              </w:rPr>
              <w:t>，项目使用原料均不含汞、砷、镉、铬、铅等重金属污染物和持久性有机污染物，</w:t>
            </w:r>
            <w:r>
              <w:rPr>
                <w:rFonts w:hint="default" w:ascii="Times New Roman" w:hAnsi="Times New Roman" w:cs="Times New Roman" w:eastAsiaTheme="minorEastAsia"/>
                <w:color w:val="auto"/>
                <w:kern w:val="2"/>
                <w:sz w:val="24"/>
                <w:szCs w:val="22"/>
                <w:highlight w:val="none"/>
                <w:lang w:val="en-US" w:eastAsia="zh-CN" w:bidi="ar-SA"/>
              </w:rPr>
              <w:t>项目不排放一类污染物和有毒有害物质，不向河流排放含汞、砷、镉、铬、铅等重金属污染物和持久性有机污染物，</w:t>
            </w:r>
            <w:r>
              <w:rPr>
                <w:rFonts w:hint="eastAsia" w:ascii="Times New Roman" w:hAnsi="Times New Roman" w:cs="Times New Roman" w:eastAsiaTheme="minorEastAsia"/>
                <w:color w:val="auto"/>
                <w:kern w:val="2"/>
                <w:sz w:val="24"/>
                <w:szCs w:val="22"/>
                <w:highlight w:val="none"/>
                <w:lang w:val="en-US" w:eastAsia="zh-CN" w:bidi="ar-SA"/>
              </w:rPr>
              <w:t>采用的生产工艺</w:t>
            </w:r>
            <w:r>
              <w:rPr>
                <w:rFonts w:hint="default" w:ascii="Times New Roman" w:hAnsi="Times New Roman" w:cs="Times New Roman" w:eastAsiaTheme="minorEastAsia"/>
                <w:color w:val="auto"/>
                <w:kern w:val="2"/>
                <w:sz w:val="24"/>
                <w:szCs w:val="22"/>
                <w:highlight w:val="none"/>
                <w:lang w:val="en-US" w:eastAsia="zh-CN" w:bidi="ar-SA"/>
              </w:rPr>
              <w:t>属于园区优先引进的表面处理工艺，不属于园区禁止项目，符合园区准入条件。</w:t>
            </w:r>
          </w:p>
          <w:p w14:paraId="7C10B0A8">
            <w:pPr>
              <w:pStyle w:val="320"/>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firstLine="422" w:firstLineChars="20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宋体" w:hAnsi="宋体" w:cs="宋体"/>
                <w:color w:val="000000" w:themeColor="text1"/>
                <w:kern w:val="0"/>
                <w:sz w:val="21"/>
                <w:szCs w:val="21"/>
                <w:lang w:val="en-US" w:eastAsia="zh-CN"/>
                <w14:textFill>
                  <w14:solidFill>
                    <w14:schemeClr w14:val="tx1"/>
                  </w14:solidFill>
                </w14:textFill>
              </w:rPr>
              <w:t>表1-1与</w:t>
            </w:r>
            <w:r>
              <w:rPr>
                <w:rFonts w:hint="default" w:ascii="Times New Roman" w:hAnsi="Times New Roman" w:eastAsia="宋体" w:cs="Times New Roman"/>
                <w:color w:val="auto"/>
                <w:sz w:val="21"/>
                <w:szCs w:val="21"/>
                <w:highlight w:val="none"/>
                <w:lang w:val="en-US" w:eastAsia="zh-CN"/>
              </w:rPr>
              <w:t>《韶关乐昌经济开发区规划环境影响报告书审查意见》的</w:t>
            </w:r>
            <w:r>
              <w:rPr>
                <w:rFonts w:hint="eastAsia" w:ascii="Times New Roman" w:hAnsi="Times New Roman" w:eastAsia="宋体" w:cs="Times New Roman"/>
                <w:color w:val="auto"/>
                <w:sz w:val="21"/>
                <w:szCs w:val="21"/>
                <w:highlight w:val="none"/>
                <w:lang w:val="en-US" w:eastAsia="zh-CN"/>
              </w:rPr>
              <w:t>相符性分析</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3992"/>
              <w:gridCol w:w="1887"/>
              <w:gridCol w:w="648"/>
            </w:tblGrid>
            <w:tr w14:paraId="0776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dxa"/>
                  <w:tcMar>
                    <w:top w:w="0" w:type="dxa"/>
                    <w:left w:w="0" w:type="dxa"/>
                    <w:bottom w:w="0" w:type="dxa"/>
                    <w:right w:w="0" w:type="dxa"/>
                  </w:tcMar>
                  <w:vAlign w:val="center"/>
                </w:tcPr>
                <w:p w14:paraId="1B5484F1">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管控要求</w:t>
                  </w:r>
                </w:p>
              </w:tc>
              <w:tc>
                <w:tcPr>
                  <w:tcW w:w="3555" w:type="dxa"/>
                  <w:tcMar>
                    <w:top w:w="0" w:type="dxa"/>
                    <w:left w:w="0" w:type="dxa"/>
                    <w:bottom w:w="0" w:type="dxa"/>
                    <w:right w:w="0" w:type="dxa"/>
                  </w:tcMar>
                  <w:vAlign w:val="center"/>
                </w:tcPr>
                <w:p w14:paraId="00C5D42C">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总体准入要求</w:t>
                  </w:r>
                </w:p>
              </w:tc>
              <w:tc>
                <w:tcPr>
                  <w:tcW w:w="1680" w:type="dxa"/>
                  <w:tcMar>
                    <w:top w:w="0" w:type="dxa"/>
                    <w:left w:w="0" w:type="dxa"/>
                    <w:bottom w:w="0" w:type="dxa"/>
                    <w:right w:w="0" w:type="dxa"/>
                  </w:tcMar>
                  <w:vAlign w:val="center"/>
                </w:tcPr>
                <w:p w14:paraId="26F4A421">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项目情况</w:t>
                  </w:r>
                </w:p>
              </w:tc>
              <w:tc>
                <w:tcPr>
                  <w:tcW w:w="577" w:type="dxa"/>
                  <w:tcMar>
                    <w:top w:w="0" w:type="dxa"/>
                    <w:left w:w="0" w:type="dxa"/>
                    <w:bottom w:w="0" w:type="dxa"/>
                    <w:right w:w="0" w:type="dxa"/>
                  </w:tcMar>
                  <w:vAlign w:val="center"/>
                </w:tcPr>
                <w:p w14:paraId="768C4100">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相符性</w:t>
                  </w:r>
                </w:p>
              </w:tc>
            </w:tr>
            <w:tr w14:paraId="145E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548" w:type="dxa"/>
                  <w:tcMar>
                    <w:top w:w="0" w:type="dxa"/>
                    <w:left w:w="0" w:type="dxa"/>
                    <w:bottom w:w="0" w:type="dxa"/>
                    <w:right w:w="0" w:type="dxa"/>
                  </w:tcMar>
                  <w:vAlign w:val="center"/>
                </w:tcPr>
                <w:p w14:paraId="429A9E9F">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空间布局约束</w:t>
                  </w:r>
                </w:p>
              </w:tc>
              <w:tc>
                <w:tcPr>
                  <w:tcW w:w="3555" w:type="dxa"/>
                  <w:tcMar>
                    <w:top w:w="0" w:type="dxa"/>
                    <w:left w:w="0" w:type="dxa"/>
                    <w:bottom w:w="0" w:type="dxa"/>
                    <w:right w:w="0" w:type="dxa"/>
                  </w:tcMar>
                  <w:vAlign w:val="center"/>
                </w:tcPr>
                <w:p w14:paraId="0D13A4DA">
                  <w:pPr>
                    <w:spacing w:line="240" w:lineRule="auto"/>
                    <w:jc w:val="both"/>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1、重点发展符合开发区定位的金属制品业、橡胶和塑料制品业以及计算机、通信和其他电子设备制造业产业。引入产业应符合现行有效的《产业结构调整指导目录》、《市场准入负面清单》、《广东省国家重点生态功能区产业准入负面清单</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试行</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》等相关产业政策要求。开发区应优先引进无铬钝化、陶化、锌铁系磷化等不涉及一类水污染物排放的表面处理工艺</w:t>
                  </w:r>
                  <w:r>
                    <w:rPr>
                      <w:rFonts w:hint="default" w:ascii="Times New Roman" w:hAnsi="Times New Roman" w:cs="Times New Roman"/>
                      <w:color w:val="auto"/>
                      <w:sz w:val="21"/>
                      <w:szCs w:val="21"/>
                      <w:highlight w:val="none"/>
                      <w:vertAlign w:val="baseline"/>
                      <w:lang w:eastAsia="zh-CN"/>
                    </w:rPr>
                    <w:t>。</w:t>
                  </w:r>
                </w:p>
                <w:p w14:paraId="3F580FFB">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2、优先发展低污染、低水耗、低能耗的企业。规划区新、改、扩建项目要达到国内清洁生产先进水平。</w:t>
                  </w:r>
                </w:p>
                <w:p w14:paraId="3B9B9369">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3、禁止销售、燃用高污染燃料;禁止新建、扩建燃用高污染燃料的设施。</w:t>
                  </w:r>
                </w:p>
                <w:p w14:paraId="1D8D2519">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4、禁止新建、扩建专业电镀、鞣革、印染、化学制浆等水污染物排放量大或排放一类污染物、持久性有机污染物的项目。</w:t>
                  </w:r>
                </w:p>
                <w:p w14:paraId="0286321F">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5、按照要求做好居民的搬迁安置工作，防范“楼企矛盾”发生。</w:t>
                  </w:r>
                </w:p>
                <w:p w14:paraId="7B986DF1">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6、与中部规划居住用地、行政办公用地、教育用地等敏感区域临近的区域优先引进无污染的生产性服务业，布置废气排放量小、工业噪声影响小及没有恶臭气体产生的产业。相关项目环评阶段应充分论证、优化项目布局以及按照相关要求确定大气环境防护距离。学校周围直线延伸二百米范围内禁止设立易燃易爆、剧毒、放射性、腐蚀性等危险物品的生产、经营、储存、使用场所或者设施。</w:t>
                  </w:r>
                </w:p>
                <w:p w14:paraId="31DEB60A">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7、开发区环境管理机构应尽快按照原环评要求将城东片区依托污水厂排放口由霜降坑整改至武江，在排放口位置完成调整之前必须严格控制引进涉及生产废水排放的企业，且园区总废水排放量不得突破2999m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vertAlign w:val="baseline"/>
                    </w:rPr>
                    <w:t>/d。</w:t>
                  </w:r>
                </w:p>
                <w:p w14:paraId="04733DE1">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8、在永久基本农田以及居民区、学校、医疗和养老机构等单位周边，避免新建涉重金属、多环芳烃类等持久性有机污染物企业。永久基本农田集中区域内，禁止建设工业固体废物、危险废物集中贮存、利用、处置的设施、场所。</w:t>
                  </w:r>
                </w:p>
                <w:p w14:paraId="54F12A9F">
                  <w:pPr>
                    <w:spacing w:line="240" w:lineRule="auto"/>
                    <w:jc w:val="both"/>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9、其它:应符合《韶关市人民政府关于印发韶关市“三线一单”生态环境分区管控方案的通知》</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韶府</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2021</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10号</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、《韶关市生态环境分区管控动态更新成果》及后续生态环境分区管控动态更新要求。</w:t>
                  </w:r>
                </w:p>
              </w:tc>
              <w:tc>
                <w:tcPr>
                  <w:tcW w:w="1680" w:type="dxa"/>
                  <w:tcMar>
                    <w:top w:w="0" w:type="dxa"/>
                    <w:left w:w="0" w:type="dxa"/>
                    <w:bottom w:w="0" w:type="dxa"/>
                    <w:right w:w="0" w:type="dxa"/>
                  </w:tcMar>
                  <w:vAlign w:val="center"/>
                </w:tcPr>
                <w:p w14:paraId="30849769">
                  <w:pPr>
                    <w:spacing w:line="240" w:lineRule="auto"/>
                    <w:jc w:val="both"/>
                    <w:rPr>
                      <w:rFonts w:hint="default" w:ascii="Times New Roman" w:hAnsi="Times New Roman" w:cs="Times New Roman"/>
                      <w:color w:val="auto"/>
                      <w:spacing w:val="-1"/>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000000" w:themeColor="text1"/>
                      <w:kern w:val="0"/>
                      <w:szCs w:val="21"/>
                      <w14:textFill>
                        <w14:solidFill>
                          <w14:schemeClr w14:val="tx1"/>
                        </w14:solidFill>
                      </w14:textFill>
                    </w:rPr>
                    <w:t>本</w:t>
                  </w:r>
                  <w:r>
                    <w:rPr>
                      <w:rFonts w:hint="default" w:ascii="Times New Roman" w:hAnsi="Times New Roman" w:eastAsia="宋体" w:cs="Times New Roman"/>
                      <w:color w:val="000000" w:themeColor="text1"/>
                      <w:kern w:val="0"/>
                      <w:szCs w:val="21"/>
                      <w:lang w:eastAsia="zh-CN"/>
                      <w14:textFill>
                        <w14:solidFill>
                          <w14:schemeClr w14:val="tx1"/>
                        </w14:solidFill>
                      </w14:textFill>
                    </w:rPr>
                    <w:t>项目</w:t>
                  </w:r>
                  <w:r>
                    <w:rPr>
                      <w:rFonts w:hint="default" w:ascii="Times New Roman" w:hAnsi="Times New Roman" w:eastAsia="宋体" w:cs="Times New Roman"/>
                      <w:color w:val="000000" w:themeColor="text1"/>
                      <w:kern w:val="0"/>
                      <w:szCs w:val="21"/>
                      <w14:textFill>
                        <w14:solidFill>
                          <w14:schemeClr w14:val="tx1"/>
                        </w14:solidFill>
                      </w14:textFill>
                    </w:rPr>
                    <w:t>主要从事橡胶脚轮制造</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符合相关产业政策要求</w:t>
                  </w:r>
                  <w:r>
                    <w:rPr>
                      <w:rFonts w:hint="default" w:ascii="Times New Roman" w:hAnsi="Times New Roman" w:cs="Times New Roman"/>
                      <w:color w:val="auto"/>
                      <w:spacing w:val="-1"/>
                      <w:sz w:val="21"/>
                      <w:szCs w:val="21"/>
                      <w:highlight w:val="none"/>
                      <w:lang w:val="en-US" w:eastAsia="zh-CN"/>
                    </w:rPr>
                    <w:t>。2、项目属于低能耗企业。</w:t>
                  </w:r>
                </w:p>
                <w:p w14:paraId="13EC2620">
                  <w:pPr>
                    <w:spacing w:line="240" w:lineRule="auto"/>
                    <w:jc w:val="both"/>
                    <w:rPr>
                      <w:rFonts w:hint="default" w:ascii="Times New Roman" w:hAnsi="Times New Roman" w:cs="Times New Roman"/>
                      <w:color w:val="auto"/>
                      <w:spacing w:val="-1"/>
                      <w:sz w:val="21"/>
                      <w:szCs w:val="21"/>
                      <w:highlight w:val="none"/>
                      <w:lang w:val="en-US" w:eastAsia="zh-CN"/>
                    </w:rPr>
                  </w:pPr>
                  <w:r>
                    <w:rPr>
                      <w:rFonts w:hint="default" w:ascii="Times New Roman" w:hAnsi="Times New Roman" w:cs="Times New Roman"/>
                      <w:color w:val="auto"/>
                      <w:spacing w:val="-1"/>
                      <w:sz w:val="21"/>
                      <w:szCs w:val="21"/>
                      <w:highlight w:val="none"/>
                      <w:lang w:val="en-US" w:eastAsia="zh-CN"/>
                    </w:rPr>
                    <w:t>3、不涉及。</w:t>
                  </w:r>
                </w:p>
                <w:p w14:paraId="767DDDF9">
                  <w:pPr>
                    <w:spacing w:line="240" w:lineRule="auto"/>
                    <w:jc w:val="both"/>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pacing w:val="-1"/>
                      <w:sz w:val="21"/>
                      <w:szCs w:val="21"/>
                      <w:highlight w:val="none"/>
                      <w:lang w:val="en-US" w:eastAsia="zh-CN"/>
                    </w:rPr>
                    <w:t>4、项目</w:t>
                  </w:r>
                  <w:r>
                    <w:rPr>
                      <w:rFonts w:hint="default" w:ascii="Times New Roman" w:hAnsi="Times New Roman" w:eastAsia="宋体" w:cs="Times New Roman"/>
                      <w:color w:val="auto"/>
                      <w:sz w:val="21"/>
                      <w:szCs w:val="21"/>
                      <w:highlight w:val="none"/>
                    </w:rPr>
                    <w:t>不属于</w:t>
                  </w:r>
                  <w:r>
                    <w:rPr>
                      <w:rFonts w:hint="default" w:ascii="Times New Roman" w:hAnsi="Times New Roman" w:eastAsia="宋体" w:cs="Times New Roman"/>
                      <w:color w:val="auto"/>
                      <w:sz w:val="21"/>
                      <w:szCs w:val="21"/>
                      <w:highlight w:val="none"/>
                      <w:vertAlign w:val="baseline"/>
                    </w:rPr>
                    <w:t>专业电镀、鞣革、印染、化学制浆等水污染物排放量大或排放一类污染物、持久性有机污染物的项目。</w:t>
                  </w:r>
                  <w:r>
                    <w:rPr>
                      <w:rFonts w:hint="default" w:ascii="Times New Roman" w:hAnsi="Times New Roman" w:cs="Times New Roman"/>
                      <w:color w:val="auto"/>
                      <w:sz w:val="21"/>
                      <w:szCs w:val="21"/>
                      <w:highlight w:val="none"/>
                      <w:vertAlign w:val="baseline"/>
                      <w:lang w:val="en-US" w:eastAsia="zh-CN"/>
                    </w:rPr>
                    <w:t>5、不涉及</w:t>
                  </w:r>
                  <w:r>
                    <w:rPr>
                      <w:rFonts w:hint="default" w:ascii="Times New Roman" w:hAnsi="Times New Roman" w:eastAsia="宋体" w:cs="Times New Roman"/>
                      <w:color w:val="auto"/>
                      <w:sz w:val="21"/>
                      <w:szCs w:val="21"/>
                      <w:highlight w:val="none"/>
                    </w:rPr>
                    <w:t>。</w:t>
                  </w:r>
                </w:p>
                <w:p w14:paraId="1841A30D">
                  <w:pPr>
                    <w:spacing w:line="240" w:lineRule="auto"/>
                    <w:jc w:val="both"/>
                    <w:rPr>
                      <w:rFonts w:hint="default" w:ascii="Times New Roman" w:hAnsi="Times New Roman" w:cs="Times New Roman"/>
                      <w:color w:val="auto"/>
                      <w:spacing w:val="-1"/>
                      <w:sz w:val="21"/>
                      <w:szCs w:val="21"/>
                      <w:highlight w:val="none"/>
                      <w:lang w:val="en-US" w:eastAsia="zh-CN"/>
                    </w:rPr>
                  </w:pPr>
                  <w:r>
                    <w:rPr>
                      <w:rFonts w:hint="default" w:ascii="Times New Roman" w:hAnsi="Times New Roman" w:cs="Times New Roman"/>
                      <w:color w:val="auto"/>
                      <w:sz w:val="21"/>
                      <w:szCs w:val="21"/>
                      <w:highlight w:val="none"/>
                      <w:lang w:val="en-US" w:eastAsia="zh-CN"/>
                    </w:rPr>
                    <w:t>6、</w:t>
                  </w:r>
                  <w:r>
                    <w:rPr>
                      <w:rFonts w:hint="default" w:ascii="Times New Roman" w:hAnsi="Times New Roman" w:eastAsia="宋体" w:cs="Times New Roman"/>
                      <w:color w:val="auto"/>
                      <w:spacing w:val="-1"/>
                      <w:sz w:val="21"/>
                      <w:szCs w:val="21"/>
                      <w:highlight w:val="none"/>
                    </w:rPr>
                    <w:t>本项目</w:t>
                  </w:r>
                  <w:r>
                    <w:rPr>
                      <w:rFonts w:hint="default" w:ascii="Times New Roman" w:hAnsi="Times New Roman" w:eastAsia="宋体" w:cs="Times New Roman"/>
                      <w:color w:val="auto"/>
                      <w:spacing w:val="-1"/>
                      <w:sz w:val="21"/>
                      <w:szCs w:val="21"/>
                      <w:highlight w:val="none"/>
                      <w:lang w:val="en-US" w:eastAsia="zh-CN"/>
                    </w:rPr>
                    <w:t>不属于与中部</w:t>
                  </w:r>
                  <w:r>
                    <w:rPr>
                      <w:rFonts w:hint="default" w:ascii="Times New Roman" w:hAnsi="Times New Roman" w:eastAsia="宋体" w:cs="Times New Roman"/>
                      <w:color w:val="auto"/>
                      <w:sz w:val="21"/>
                      <w:szCs w:val="21"/>
                      <w:highlight w:val="none"/>
                      <w:vertAlign w:val="baseline"/>
                    </w:rPr>
                    <w:t>规划居住用地、行政办公用地、教育用地等敏感区域</w:t>
                  </w:r>
                  <w:r>
                    <w:rPr>
                      <w:rFonts w:hint="default" w:ascii="Times New Roman" w:hAnsi="Times New Roman" w:eastAsia="宋体" w:cs="Times New Roman"/>
                      <w:color w:val="auto"/>
                      <w:sz w:val="21"/>
                      <w:szCs w:val="21"/>
                      <w:highlight w:val="none"/>
                      <w:vertAlign w:val="baseline"/>
                      <w:lang w:val="en-US" w:eastAsia="zh-CN"/>
                    </w:rPr>
                    <w:t>临近的区域，且</w:t>
                  </w:r>
                  <w:r>
                    <w:rPr>
                      <w:rFonts w:hint="default" w:ascii="Times New Roman" w:hAnsi="Times New Roman" w:eastAsia="宋体" w:cs="Times New Roman"/>
                      <w:color w:val="auto"/>
                      <w:spacing w:val="-1"/>
                      <w:sz w:val="21"/>
                      <w:szCs w:val="21"/>
                      <w:highlight w:val="none"/>
                      <w:lang w:val="en-US" w:eastAsia="zh-CN"/>
                    </w:rPr>
                    <w:t>废气排放量小、工业噪声影响小</w:t>
                  </w:r>
                  <w:r>
                    <w:rPr>
                      <w:rFonts w:hint="default" w:ascii="Times New Roman" w:hAnsi="Times New Roman" w:cs="Times New Roman"/>
                      <w:color w:val="auto"/>
                      <w:spacing w:val="-1"/>
                      <w:sz w:val="21"/>
                      <w:szCs w:val="21"/>
                      <w:highlight w:val="none"/>
                      <w:lang w:val="en-US" w:eastAsia="zh-CN"/>
                    </w:rPr>
                    <w:t>。</w:t>
                  </w:r>
                </w:p>
                <w:p w14:paraId="60F4C595">
                  <w:pPr>
                    <w:spacing w:line="240" w:lineRule="auto"/>
                    <w:jc w:val="both"/>
                    <w:rPr>
                      <w:rFonts w:hint="default" w:ascii="Times New Roman" w:hAnsi="Times New Roman" w:cs="Times New Roman"/>
                      <w:color w:val="auto"/>
                      <w:spacing w:val="-1"/>
                      <w:sz w:val="21"/>
                      <w:szCs w:val="21"/>
                      <w:highlight w:val="none"/>
                      <w:lang w:val="en-US" w:eastAsia="zh-CN"/>
                    </w:rPr>
                  </w:pPr>
                  <w:r>
                    <w:rPr>
                      <w:rFonts w:hint="default" w:ascii="Times New Roman" w:hAnsi="Times New Roman" w:cs="Times New Roman"/>
                      <w:color w:val="auto"/>
                      <w:spacing w:val="-1"/>
                      <w:sz w:val="21"/>
                      <w:szCs w:val="21"/>
                      <w:highlight w:val="none"/>
                      <w:lang w:val="en-US" w:eastAsia="zh-CN"/>
                    </w:rPr>
                    <w:t>7、项目废水产生量小，对园区污水处理厂影响不大。</w:t>
                  </w:r>
                </w:p>
                <w:p w14:paraId="5F1FCC33">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cs="Times New Roman"/>
                      <w:color w:val="auto"/>
                      <w:spacing w:val="-1"/>
                      <w:sz w:val="21"/>
                      <w:szCs w:val="21"/>
                      <w:highlight w:val="none"/>
                      <w:lang w:val="en-US" w:eastAsia="zh-CN"/>
                    </w:rPr>
                    <w:t>8、本项目不</w:t>
                  </w:r>
                  <w:r>
                    <w:rPr>
                      <w:rFonts w:hint="default" w:ascii="Times New Roman" w:hAnsi="Times New Roman" w:eastAsia="宋体" w:cs="Times New Roman"/>
                      <w:color w:val="auto"/>
                      <w:sz w:val="21"/>
                      <w:szCs w:val="21"/>
                      <w:highlight w:val="none"/>
                      <w:vertAlign w:val="baseline"/>
                    </w:rPr>
                    <w:t>涉重金属、多环芳烃类等持久性有机污染物企业。</w:t>
                  </w:r>
                  <w:r>
                    <w:rPr>
                      <w:rFonts w:hint="default" w:ascii="Times New Roman" w:hAnsi="Times New Roman" w:eastAsia="宋体" w:cs="Times New Roman"/>
                      <w:color w:val="auto"/>
                      <w:sz w:val="21"/>
                      <w:szCs w:val="21"/>
                      <w:highlight w:val="none"/>
                      <w:vertAlign w:val="baseline"/>
                      <w:lang w:val="en-US" w:eastAsia="zh-CN"/>
                    </w:rPr>
                    <w:t>项目不涉及</w:t>
                  </w:r>
                  <w:r>
                    <w:rPr>
                      <w:rFonts w:hint="default" w:ascii="Times New Roman" w:hAnsi="Times New Roman" w:eastAsia="宋体" w:cs="Times New Roman"/>
                      <w:color w:val="auto"/>
                      <w:sz w:val="21"/>
                      <w:szCs w:val="21"/>
                      <w:highlight w:val="none"/>
                      <w:vertAlign w:val="baseline"/>
                    </w:rPr>
                    <w:t>建设工业固体废物、危险废物集中贮存、利用、处置的设施、场所。</w:t>
                  </w:r>
                </w:p>
                <w:p w14:paraId="788EFC7F">
                  <w:pPr>
                    <w:spacing w:line="240" w:lineRule="auto"/>
                    <w:jc w:val="both"/>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pacing w:val="-1"/>
                      <w:sz w:val="21"/>
                      <w:szCs w:val="21"/>
                      <w:highlight w:val="none"/>
                      <w:lang w:val="en-US" w:eastAsia="zh-CN"/>
                    </w:rPr>
                    <w:t>9、满足韶关市</w:t>
                  </w:r>
                  <w:r>
                    <w:rPr>
                      <w:rFonts w:hint="default" w:ascii="Times New Roman" w:hAnsi="Times New Roman" w:eastAsia="宋体" w:cs="Times New Roman"/>
                      <w:color w:val="auto"/>
                      <w:sz w:val="21"/>
                      <w:szCs w:val="21"/>
                      <w:highlight w:val="none"/>
                      <w:vertAlign w:val="baseline"/>
                    </w:rPr>
                    <w:t>生态环境分区管控</w:t>
                  </w:r>
                  <w:r>
                    <w:rPr>
                      <w:rFonts w:hint="default" w:ascii="Times New Roman" w:hAnsi="Times New Roman" w:cs="Times New Roman"/>
                      <w:color w:val="auto"/>
                      <w:sz w:val="21"/>
                      <w:szCs w:val="21"/>
                      <w:highlight w:val="none"/>
                      <w:vertAlign w:val="baseline"/>
                      <w:lang w:val="en-US" w:eastAsia="zh-CN"/>
                    </w:rPr>
                    <w:t>要求。</w:t>
                  </w:r>
                </w:p>
              </w:tc>
              <w:tc>
                <w:tcPr>
                  <w:tcW w:w="577" w:type="dxa"/>
                  <w:tcMar>
                    <w:top w:w="0" w:type="dxa"/>
                    <w:left w:w="0" w:type="dxa"/>
                    <w:bottom w:w="0" w:type="dxa"/>
                    <w:right w:w="0" w:type="dxa"/>
                  </w:tcMar>
                  <w:vAlign w:val="center"/>
                </w:tcPr>
                <w:p w14:paraId="1B8CA9DB">
                  <w:pPr>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相符</w:t>
                  </w:r>
                </w:p>
              </w:tc>
            </w:tr>
            <w:tr w14:paraId="5428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48" w:type="dxa"/>
                  <w:tcMar>
                    <w:top w:w="0" w:type="dxa"/>
                    <w:left w:w="0" w:type="dxa"/>
                    <w:bottom w:w="0" w:type="dxa"/>
                    <w:right w:w="0" w:type="dxa"/>
                  </w:tcMar>
                  <w:vAlign w:val="center"/>
                </w:tcPr>
                <w:p w14:paraId="7808B9C3">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污染物排放管控</w:t>
                  </w:r>
                </w:p>
              </w:tc>
              <w:tc>
                <w:tcPr>
                  <w:tcW w:w="3555" w:type="dxa"/>
                  <w:tcMar>
                    <w:top w:w="0" w:type="dxa"/>
                    <w:left w:w="0" w:type="dxa"/>
                    <w:bottom w:w="0" w:type="dxa"/>
                    <w:right w:w="0" w:type="dxa"/>
                  </w:tcMar>
                  <w:vAlign w:val="center"/>
                </w:tcPr>
                <w:p w14:paraId="54F374E2">
                  <w:pPr>
                    <w:spacing w:line="240" w:lineRule="auto"/>
                    <w:jc w:val="left"/>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1、污染物排放总量不得突破“污染物排放总量管控限值清单”的总量管控要求;在可核查、可监管的基础上，新建项目原则上实施氮氧化物(NOx)和挥发性有机物(VOCs)等量替代。</w:t>
                  </w:r>
                </w:p>
                <w:p w14:paraId="0567821C">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2、根据《广东省生态环境厅关于在重点区域执行污染物特别排放限值的公告》</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粤环发</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2023</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1号</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要求，执行相应特别排放限值要求。</w:t>
                  </w:r>
                </w:p>
                <w:p w14:paraId="16F39929">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3、开发区内各企业污废水原则上应接入园区污水处理厂进行集中处理、达标排放。依法依规完成排污口整改工作前严格控制引进涉及生产废水排放的企业。各企业生产废水需经预处理达到广东省《水污染物排放限值》</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DB44/26-2001</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第二时段三级标准、所属行业排放标准</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间接排放</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，以及污水处理厂接管标准后，方可与规划区生活污水通过污水管线一并进入园区污水处理厂处理。规划区依托的园区污水处理厂执行《城镇污水处理厂污染物排放标准》</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GB18918-2002</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一级A标准和《水污染物排放限值》</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DB44/26-2001</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第二时段一级标准。涉及阳极氧化、钝化、磷化或者化学转化膜工序的企业，其工业废水需满足广东省地方标准《电镀水污染物排放标准》（DB44/1597-2015）非珠三角排放限值（总铬、六价铬、总镍、总镉、总银、总铅、总汞等第一类污染物执行表 1和表 2 标准，其它污染物排放不超过该标准现有项目相应排放限值的 200%）、广东省《水污染物排放限值》（DB44/26-2001）第二时段三级标准与依托污水处理厂接管标准后方可接入市政管网。</w:t>
                  </w:r>
                </w:p>
                <w:p w14:paraId="550238D5">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4、开发区后续新建燃气</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锅炉废气执行《锅炉大气污染物排放标准》DB44</w:t>
                  </w:r>
                  <w:r>
                    <w:rPr>
                      <w:rFonts w:hint="default" w:ascii="Times New Roman" w:hAnsi="Times New Roman" w:cs="Times New Roman"/>
                      <w:color w:val="auto"/>
                      <w:sz w:val="21"/>
                      <w:szCs w:val="21"/>
                      <w:highlight w:val="none"/>
                      <w:vertAlign w:val="baseline"/>
                      <w:lang w:val="en-US" w:eastAsia="zh-CN"/>
                    </w:rPr>
                    <w:t>/</w:t>
                  </w:r>
                  <w:r>
                    <w:rPr>
                      <w:rFonts w:hint="default" w:ascii="Times New Roman" w:hAnsi="Times New Roman" w:eastAsia="宋体" w:cs="Times New Roman"/>
                      <w:color w:val="auto"/>
                      <w:sz w:val="21"/>
                      <w:szCs w:val="21"/>
                      <w:highlight w:val="none"/>
                      <w:vertAlign w:val="baseline"/>
                    </w:rPr>
                    <w:t>765-2019</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表3大气污染物特别排放限值;现有单台出力1蒸吨/小时</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0.7兆瓦</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以上，65蒸吨/小时及以下燃气锅炉执行《锅炉大气污染物排放标准》</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DB44/765-2019</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表3大气污染物特别排放限值:其它行业工艺废气有行业标准的执行行业标准，无行业标准的排放执行广东省地方标准《大气污染物排放限值》</w:t>
                  </w:r>
                  <w:r>
                    <w:rPr>
                      <w:rFonts w:hint="default" w:ascii="Times New Roman" w:hAnsi="Times New Roman"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DB44/27-2001</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第二时段二级标准。</w:t>
                  </w:r>
                </w:p>
                <w:p w14:paraId="5397AA94">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5、产生固体废物</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含危险废物</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的企业须配套建设符合规范且满足需求的贮存场所，固体废物</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含危险废物</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贮存、转移过程中应配套防扬散、防流失、防渗漏及其它防止污染环境的措施。</w:t>
                  </w:r>
                </w:p>
                <w:p w14:paraId="781951E9">
                  <w:pPr>
                    <w:spacing w:line="240" w:lineRule="auto"/>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6、重点重金属按照韶关市生态环境分区管控要求执行。</w:t>
                  </w:r>
                </w:p>
                <w:p w14:paraId="487935F2">
                  <w:pPr>
                    <w:spacing w:line="240" w:lineRule="auto"/>
                    <w:jc w:val="both"/>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7、其它:应符合《韶关市人民政府关于印发韶关市“三线一单"生态环境分区管控方案的通知》</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韶府</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2021</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10号</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、《韶关市生态环境分区管控动态更新成果》及后续生态环境分区管控动态更新要求</w:t>
                  </w:r>
                  <w:r>
                    <w:rPr>
                      <w:rFonts w:hint="default" w:ascii="Times New Roman" w:hAnsi="Times New Roman" w:cs="Times New Roman"/>
                      <w:color w:val="auto"/>
                      <w:sz w:val="21"/>
                      <w:szCs w:val="21"/>
                      <w:highlight w:val="none"/>
                      <w:vertAlign w:val="baseline"/>
                      <w:lang w:eastAsia="zh-CN"/>
                    </w:rPr>
                    <w:t>。</w:t>
                  </w:r>
                </w:p>
              </w:tc>
              <w:tc>
                <w:tcPr>
                  <w:tcW w:w="1680" w:type="dxa"/>
                  <w:tcMar>
                    <w:top w:w="0" w:type="dxa"/>
                    <w:left w:w="0" w:type="dxa"/>
                    <w:bottom w:w="0" w:type="dxa"/>
                    <w:right w:w="0" w:type="dxa"/>
                  </w:tcMar>
                  <w:vAlign w:val="center"/>
                </w:tcPr>
                <w:p w14:paraId="0340C79C">
                  <w:pPr>
                    <w:spacing w:line="240" w:lineRule="auto"/>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pacing w:val="-1"/>
                      <w:sz w:val="21"/>
                      <w:szCs w:val="21"/>
                      <w:highlight w:val="none"/>
                      <w:lang w:val="en-US" w:eastAsia="zh-CN"/>
                    </w:rPr>
                    <w:t>1、项目</w:t>
                  </w:r>
                  <w:r>
                    <w:rPr>
                      <w:rFonts w:hint="default" w:ascii="Times New Roman" w:hAnsi="Times New Roman" w:eastAsia="宋体" w:cs="Times New Roman"/>
                      <w:color w:val="auto"/>
                      <w:sz w:val="21"/>
                      <w:szCs w:val="21"/>
                      <w:highlight w:val="none"/>
                    </w:rPr>
                    <w:t>VOCs实行总量控制</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需申请污染物排放总量指标</w:t>
                  </w:r>
                  <w:r>
                    <w:rPr>
                      <w:rFonts w:hint="eastAsia" w:ascii="Times New Roman" w:hAnsi="Times New Roman" w:cs="Times New Roman"/>
                      <w:color w:val="auto"/>
                      <w:sz w:val="21"/>
                      <w:szCs w:val="21"/>
                      <w:highlight w:val="none"/>
                      <w:lang w:val="en-US" w:eastAsia="zh-CN"/>
                    </w:rPr>
                    <w:t>，项目原环评批复《乐昌市广东启轮金属制品有限公司年产脚轮100万个新建项目》（韶环乐审</w:t>
                  </w:r>
                  <w:r>
                    <w:rPr>
                      <w:rFonts w:hint="default" w:ascii="Times New Roman" w:hAnsi="Times New Roman" w:cs="Times New Roman"/>
                      <w:color w:val="auto"/>
                      <w:sz w:val="21"/>
                      <w:szCs w:val="21"/>
                      <w:highlight w:val="none"/>
                    </w:rPr>
                    <w:t>〔202</w:t>
                  </w:r>
                  <w:r>
                    <w:rPr>
                      <w:rFonts w:hint="eastAsia"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22号）及《广东启轮金属制品有限公司年产脚轮100万个新建项目环境影响补充论证报告》中已有1.226t/aVOCs控制指标量，用于替代本次VOCs的量。</w:t>
                  </w:r>
                  <w:r>
                    <w:rPr>
                      <w:rFonts w:hint="default" w:ascii="Times New Roman" w:hAnsi="Times New Roman" w:cs="Times New Roman"/>
                      <w:color w:val="auto"/>
                      <w:sz w:val="21"/>
                      <w:szCs w:val="21"/>
                      <w:highlight w:val="none"/>
                      <w:lang w:val="en-US" w:eastAsia="zh-CN"/>
                    </w:rPr>
                    <w:t>2、不涉及。</w:t>
                  </w:r>
                </w:p>
                <w:p w14:paraId="521005B9">
                  <w:pPr>
                    <w:spacing w:line="240" w:lineRule="auto"/>
                    <w:jc w:val="both"/>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b w:val="0"/>
                      <w:color w:val="000000" w:themeColor="text1"/>
                      <w14:textFill>
                        <w14:solidFill>
                          <w14:schemeClr w14:val="tx1"/>
                        </w14:solidFill>
                      </w14:textFill>
                    </w:rPr>
                    <w:t>间接冷却更换水汇同</w:t>
                  </w:r>
                  <w:r>
                    <w:rPr>
                      <w:rFonts w:hint="default" w:ascii="Times New Roman" w:hAnsi="Times New Roman" w:eastAsia="宋体" w:cs="Times New Roman"/>
                      <w:color w:val="auto"/>
                      <w:sz w:val="21"/>
                      <w:szCs w:val="21"/>
                      <w:highlight w:val="none"/>
                    </w:rPr>
                    <w:t>生活污水经三级化粪池处理后排入园区污水处理厂，园区污水处理厂执行《城镇污水处理厂污染物排放标准》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GB18918-2002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中一级</w:t>
                  </w:r>
                  <w:r>
                    <w:rPr>
                      <w:rFonts w:hint="eastAsia" w:ascii="Times New Roman" w:hAnsi="Times New Roman" w:eastAsia="宋体" w:cs="Times New Roman"/>
                      <w:color w:val="auto"/>
                      <w:sz w:val="21"/>
                      <w:szCs w:val="21"/>
                      <w:highlight w:val="none"/>
                      <w:lang w:val="en-US" w:eastAsia="zh-CN"/>
                    </w:rPr>
                    <w:t>A</w:t>
                  </w:r>
                  <w:r>
                    <w:rPr>
                      <w:rFonts w:hint="default" w:ascii="Times New Roman" w:hAnsi="Times New Roman" w:eastAsia="宋体" w:cs="Times New Roman"/>
                      <w:color w:val="auto"/>
                      <w:sz w:val="21"/>
                      <w:szCs w:val="21"/>
                      <w:highlight w:val="none"/>
                    </w:rPr>
                    <w:t>标准和广东省《水污染物排放限值</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（DB44/26-2001）中的第二时段一级排放标准中严者。</w:t>
                  </w:r>
                </w:p>
                <w:p w14:paraId="0CDD28EF">
                  <w:pPr>
                    <w:spacing w:line="240" w:lineRule="auto"/>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4、不涉及。</w:t>
                  </w:r>
                </w:p>
                <w:p w14:paraId="58A17C07">
                  <w:pPr>
                    <w:spacing w:line="240" w:lineRule="auto"/>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5、项目配套建设固废贮存间。</w:t>
                  </w:r>
                </w:p>
                <w:p w14:paraId="16EA90D1">
                  <w:pPr>
                    <w:spacing w:line="240" w:lineRule="auto"/>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6、不涉及。</w:t>
                  </w:r>
                </w:p>
                <w:p w14:paraId="451CFCE4">
                  <w:pPr>
                    <w:spacing w:line="240" w:lineRule="auto"/>
                    <w:jc w:val="both"/>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7、</w:t>
                  </w:r>
                  <w:r>
                    <w:rPr>
                      <w:rFonts w:hint="default" w:ascii="Times New Roman" w:hAnsi="Times New Roman" w:cs="Times New Roman"/>
                      <w:color w:val="auto"/>
                      <w:spacing w:val="-1"/>
                      <w:sz w:val="21"/>
                      <w:szCs w:val="21"/>
                      <w:highlight w:val="none"/>
                      <w:lang w:val="en-US" w:eastAsia="zh-CN"/>
                    </w:rPr>
                    <w:t>满足韶关市</w:t>
                  </w:r>
                  <w:r>
                    <w:rPr>
                      <w:rFonts w:hint="default" w:ascii="Times New Roman" w:hAnsi="Times New Roman" w:eastAsia="宋体" w:cs="Times New Roman"/>
                      <w:color w:val="auto"/>
                      <w:sz w:val="21"/>
                      <w:szCs w:val="21"/>
                      <w:highlight w:val="none"/>
                      <w:vertAlign w:val="baseline"/>
                    </w:rPr>
                    <w:t>生态环境分区管控</w:t>
                  </w:r>
                  <w:r>
                    <w:rPr>
                      <w:rFonts w:hint="default" w:ascii="Times New Roman" w:hAnsi="Times New Roman" w:cs="Times New Roman"/>
                      <w:color w:val="auto"/>
                      <w:sz w:val="21"/>
                      <w:szCs w:val="21"/>
                      <w:highlight w:val="none"/>
                      <w:vertAlign w:val="baseline"/>
                      <w:lang w:val="en-US" w:eastAsia="zh-CN"/>
                    </w:rPr>
                    <w:t>要求。</w:t>
                  </w:r>
                </w:p>
              </w:tc>
              <w:tc>
                <w:tcPr>
                  <w:tcW w:w="577" w:type="dxa"/>
                  <w:tcMar>
                    <w:top w:w="0" w:type="dxa"/>
                    <w:left w:w="0" w:type="dxa"/>
                    <w:bottom w:w="0" w:type="dxa"/>
                    <w:right w:w="0" w:type="dxa"/>
                  </w:tcMar>
                  <w:vAlign w:val="center"/>
                </w:tcPr>
                <w:p w14:paraId="78B36296">
                  <w:pPr>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相符</w:t>
                  </w:r>
                </w:p>
              </w:tc>
            </w:tr>
            <w:tr w14:paraId="0A28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jc w:val="center"/>
              </w:trPr>
              <w:tc>
                <w:tcPr>
                  <w:tcW w:w="548" w:type="dxa"/>
                  <w:tcMar>
                    <w:top w:w="0" w:type="dxa"/>
                    <w:left w:w="0" w:type="dxa"/>
                    <w:bottom w:w="0" w:type="dxa"/>
                    <w:right w:w="0" w:type="dxa"/>
                  </w:tcMar>
                  <w:vAlign w:val="center"/>
                </w:tcPr>
                <w:p w14:paraId="3817642D">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环境风险管控</w:t>
                  </w:r>
                </w:p>
              </w:tc>
              <w:tc>
                <w:tcPr>
                  <w:tcW w:w="3555" w:type="dxa"/>
                  <w:tcMar>
                    <w:top w:w="0" w:type="dxa"/>
                    <w:left w:w="0" w:type="dxa"/>
                    <w:bottom w:w="0" w:type="dxa"/>
                    <w:right w:w="0" w:type="dxa"/>
                  </w:tcMar>
                  <w:vAlign w:val="center"/>
                </w:tcPr>
                <w:p w14:paraId="4BC125C0">
                  <w:pPr>
                    <w:numPr>
                      <w:ilvl w:val="0"/>
                      <w:numId w:val="0"/>
                    </w:numPr>
                    <w:spacing w:line="240" w:lineRule="auto"/>
                    <w:ind w:leftChars="0"/>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1、应建立企业、管委会、乐昌市三级环境风险防控体系，加强产业园及入区企业环境应急设施整合共享，建立有效的拦截、降污、导流、暂存等工程措施，防止泄漏物、消防废水等进入外环境。2、生产、使用、储存危险化学品或其他存在环境风险的入区项目应配套有效的风险防范措施，并根据国家及广东省环境应急预案管理的要求编制环境风险应急预案，防止因渗漏污染地下水、土壤，以及因事故废水直排污染地表水体。</w:t>
                  </w:r>
                </w:p>
                <w:p w14:paraId="37F7CA3B">
                  <w:pPr>
                    <w:numPr>
                      <w:ilvl w:val="0"/>
                      <w:numId w:val="0"/>
                    </w:numPr>
                    <w:spacing w:line="240" w:lineRule="auto"/>
                    <w:ind w:leftChars="0"/>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3、涉及生产废水排放企业需配套有效措施，防止事故废水直排污染地表水体，防止因渗漏污染地下水。</w:t>
                  </w:r>
                </w:p>
                <w:p w14:paraId="070A35BF">
                  <w:pPr>
                    <w:numPr>
                      <w:ilvl w:val="0"/>
                      <w:numId w:val="0"/>
                    </w:numPr>
                    <w:spacing w:line="240" w:lineRule="auto"/>
                    <w:ind w:leftChars="0"/>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4、建立开发区环境应急监测机制、健全环境质量监测、环境风险防控等环保管理制度。结合开发区实际情况适时建设智能化环保管理监控平台，监控区内重点污染企业的用能、排污等情况。</w:t>
                  </w:r>
                </w:p>
                <w:p w14:paraId="7B9A1A7D">
                  <w:pPr>
                    <w:numPr>
                      <w:ilvl w:val="0"/>
                      <w:numId w:val="0"/>
                    </w:numPr>
                    <w:spacing w:line="240" w:lineRule="auto"/>
                    <w:ind w:leftChars="0"/>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5、城东片区污水处理厂应设置有效容积不少于1248立方米的事故应急池，防止事故废水排入外环境，确保水环境安全。</w:t>
                  </w:r>
                </w:p>
                <w:p w14:paraId="37B2E800">
                  <w:pPr>
                    <w:numPr>
                      <w:ilvl w:val="0"/>
                      <w:numId w:val="0"/>
                    </w:numPr>
                    <w:spacing w:line="240" w:lineRule="auto"/>
                    <w:ind w:leftChars="0"/>
                    <w:jc w:val="both"/>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6、其它:应符合《韶关市人民政府关于印发韶关市“三线一单”生态环境分区管控方案的通知》</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韶府</w:t>
                  </w:r>
                  <w:r>
                    <w:rPr>
                      <w:rFonts w:hint="default" w:ascii="Times New Roman" w:hAnsi="Times New Roman" w:cs="Times New Roman"/>
                      <w:color w:val="auto"/>
                      <w:sz w:val="21"/>
                      <w:szCs w:val="21"/>
                      <w:highlight w:val="none"/>
                      <w:vertAlign w:val="baseline"/>
                      <w:lang w:val="en-US" w:eastAsia="zh-CN"/>
                    </w:rPr>
                    <w:t>〔2021〕</w:t>
                  </w:r>
                  <w:r>
                    <w:rPr>
                      <w:rFonts w:hint="default" w:ascii="Times New Roman" w:hAnsi="Times New Roman" w:eastAsia="宋体" w:cs="Times New Roman"/>
                      <w:color w:val="auto"/>
                      <w:sz w:val="21"/>
                      <w:szCs w:val="21"/>
                      <w:highlight w:val="none"/>
                      <w:vertAlign w:val="baseline"/>
                    </w:rPr>
                    <w:t>10号</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rPr>
                    <w:t>、《韶关市生态环境分区管控动态更新成果》及后续生态环境分区管控动态更新</w:t>
                  </w:r>
                  <w:r>
                    <w:rPr>
                      <w:rFonts w:hint="default" w:ascii="Times New Roman" w:hAnsi="Times New Roman" w:cs="Times New Roman"/>
                      <w:color w:val="auto"/>
                      <w:sz w:val="21"/>
                      <w:szCs w:val="21"/>
                      <w:highlight w:val="none"/>
                      <w:vertAlign w:val="baseline"/>
                      <w:lang w:eastAsia="zh-CN"/>
                    </w:rPr>
                    <w:t>要求。</w:t>
                  </w:r>
                </w:p>
              </w:tc>
              <w:tc>
                <w:tcPr>
                  <w:tcW w:w="1680" w:type="dxa"/>
                  <w:tcMar>
                    <w:top w:w="0" w:type="dxa"/>
                    <w:left w:w="0" w:type="dxa"/>
                    <w:bottom w:w="0" w:type="dxa"/>
                    <w:right w:w="0" w:type="dxa"/>
                  </w:tcMar>
                  <w:vAlign w:val="center"/>
                </w:tcPr>
                <w:p w14:paraId="6CC825E2">
                  <w:pPr>
                    <w:numPr>
                      <w:ilvl w:val="0"/>
                      <w:numId w:val="0"/>
                    </w:numPr>
                    <w:spacing w:line="240" w:lineRule="auto"/>
                    <w:ind w:left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本项目</w:t>
                  </w:r>
                  <w:r>
                    <w:rPr>
                      <w:rFonts w:hint="default" w:ascii="Times New Roman" w:hAnsi="Times New Roman" w:cs="Times New Roman"/>
                      <w:color w:val="auto"/>
                      <w:sz w:val="21"/>
                      <w:szCs w:val="21"/>
                      <w:highlight w:val="none"/>
                      <w:lang w:val="en-US" w:eastAsia="zh-CN"/>
                    </w:rPr>
                    <w:t>配套有效的拦截、导流、暂存如围堰等工程措施。2、配套应急池用于收集消防废水。</w:t>
                  </w:r>
                </w:p>
                <w:p w14:paraId="76C937C4">
                  <w:pPr>
                    <w:numPr>
                      <w:ilvl w:val="0"/>
                      <w:numId w:val="0"/>
                    </w:numPr>
                    <w:spacing w:line="240" w:lineRule="auto"/>
                    <w:ind w:leftChars="0"/>
                    <w:jc w:val="both"/>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本项目制定有效的事故风险防范和应急措施，为防范污染事故发生，并避免发生事故对周围环境造成污染，确保环境安全。项目符合环境风险防控要求。</w:t>
                  </w:r>
                </w:p>
                <w:p w14:paraId="124DD489">
                  <w:pPr>
                    <w:numPr>
                      <w:ilvl w:val="0"/>
                      <w:numId w:val="0"/>
                    </w:numPr>
                    <w:spacing w:line="240" w:lineRule="auto"/>
                    <w:ind w:left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4、不涉及。</w:t>
                  </w:r>
                </w:p>
                <w:p w14:paraId="114E6B42">
                  <w:pPr>
                    <w:numPr>
                      <w:ilvl w:val="0"/>
                      <w:numId w:val="0"/>
                    </w:numPr>
                    <w:spacing w:line="240" w:lineRule="auto"/>
                    <w:ind w:left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5、不涉及。</w:t>
                  </w:r>
                </w:p>
                <w:p w14:paraId="78EEED68">
                  <w:pPr>
                    <w:numPr>
                      <w:ilvl w:val="0"/>
                      <w:numId w:val="0"/>
                    </w:numPr>
                    <w:spacing w:line="240" w:lineRule="auto"/>
                    <w:ind w:leftChars="0"/>
                    <w:jc w:val="both"/>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pacing w:val="-1"/>
                      <w:sz w:val="21"/>
                      <w:szCs w:val="21"/>
                      <w:highlight w:val="none"/>
                      <w:lang w:val="en-US" w:eastAsia="zh-CN"/>
                    </w:rPr>
                    <w:t>满足韶关市</w:t>
                  </w:r>
                  <w:r>
                    <w:rPr>
                      <w:rFonts w:hint="default" w:ascii="Times New Roman" w:hAnsi="Times New Roman" w:eastAsia="宋体" w:cs="Times New Roman"/>
                      <w:color w:val="auto"/>
                      <w:sz w:val="21"/>
                      <w:szCs w:val="21"/>
                      <w:highlight w:val="none"/>
                      <w:vertAlign w:val="baseline"/>
                    </w:rPr>
                    <w:t>生态环境分区管控</w:t>
                  </w:r>
                  <w:r>
                    <w:rPr>
                      <w:rFonts w:hint="default" w:ascii="Times New Roman" w:hAnsi="Times New Roman" w:cs="Times New Roman"/>
                      <w:color w:val="auto"/>
                      <w:sz w:val="21"/>
                      <w:szCs w:val="21"/>
                      <w:highlight w:val="none"/>
                      <w:vertAlign w:val="baseline"/>
                      <w:lang w:val="en-US" w:eastAsia="zh-CN"/>
                    </w:rPr>
                    <w:t>要求。</w:t>
                  </w:r>
                </w:p>
              </w:tc>
              <w:tc>
                <w:tcPr>
                  <w:tcW w:w="577" w:type="dxa"/>
                  <w:tcMar>
                    <w:top w:w="0" w:type="dxa"/>
                    <w:left w:w="0" w:type="dxa"/>
                    <w:bottom w:w="0" w:type="dxa"/>
                    <w:right w:w="0" w:type="dxa"/>
                  </w:tcMar>
                  <w:vAlign w:val="center"/>
                </w:tcPr>
                <w:p w14:paraId="0C4A942B">
                  <w:pPr>
                    <w:numPr>
                      <w:ilvl w:val="0"/>
                      <w:numId w:val="0"/>
                    </w:numPr>
                    <w:spacing w:line="240" w:lineRule="auto"/>
                    <w:ind w:left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相符</w:t>
                  </w:r>
                </w:p>
              </w:tc>
            </w:tr>
            <w:tr w14:paraId="39749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jc w:val="center"/>
              </w:trPr>
              <w:tc>
                <w:tcPr>
                  <w:tcW w:w="548" w:type="dxa"/>
                  <w:tcMar>
                    <w:top w:w="0" w:type="dxa"/>
                    <w:left w:w="0" w:type="dxa"/>
                    <w:bottom w:w="0" w:type="dxa"/>
                    <w:right w:w="0" w:type="dxa"/>
                  </w:tcMar>
                  <w:vAlign w:val="center"/>
                </w:tcPr>
                <w:p w14:paraId="439080D0">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资源开发利用管理</w:t>
                  </w:r>
                </w:p>
              </w:tc>
              <w:tc>
                <w:tcPr>
                  <w:tcW w:w="3555" w:type="dxa"/>
                  <w:tcMar>
                    <w:top w:w="0" w:type="dxa"/>
                    <w:left w:w="0" w:type="dxa"/>
                    <w:bottom w:w="0" w:type="dxa"/>
                    <w:right w:w="0" w:type="dxa"/>
                  </w:tcMar>
                  <w:vAlign w:val="center"/>
                </w:tcPr>
                <w:p w14:paraId="337E4EAE">
                  <w:pPr>
                    <w:spacing w:line="240" w:lineRule="auto"/>
                    <w:jc w:val="both"/>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1、禁止使用高污染燃料，建议使用电能、天然气等清洁能源。</w:t>
                  </w:r>
                </w:p>
                <w:p w14:paraId="1B3AF765">
                  <w:pPr>
                    <w:spacing w:line="240" w:lineRule="auto"/>
                    <w:jc w:val="both"/>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2、贯彻落实“节水优先”方针，实行最严格水资源管理制度;</w:t>
                  </w:r>
                </w:p>
                <w:p w14:paraId="49E68D30">
                  <w:pPr>
                    <w:spacing w:line="240" w:lineRule="auto"/>
                    <w:jc w:val="both"/>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3、其它应符合《韶关市人民政府关于印发韶关市“三线一单”生态环境分区管控方案的通知》</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lang w:eastAsia="zh-CN"/>
                    </w:rPr>
                    <w:t>韶府</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lang w:eastAsia="zh-CN"/>
                    </w:rPr>
                    <w:t>2021</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lang w:eastAsia="zh-CN"/>
                    </w:rPr>
                    <w:t>10号</w:t>
                  </w:r>
                  <w:r>
                    <w:rPr>
                      <w:rFonts w:hint="eastAsia" w:ascii="Times New Roman" w:hAnsi="Times New Roman" w:eastAsia="宋体" w:cs="Times New Roman"/>
                      <w:color w:val="auto"/>
                      <w:sz w:val="21"/>
                      <w:szCs w:val="21"/>
                      <w:highlight w:val="none"/>
                      <w:vertAlign w:val="baseline"/>
                      <w:lang w:eastAsia="zh-CN"/>
                    </w:rPr>
                    <w:t>）</w:t>
                  </w:r>
                  <w:r>
                    <w:rPr>
                      <w:rFonts w:hint="default" w:ascii="Times New Roman" w:hAnsi="Times New Roman" w:eastAsia="宋体" w:cs="Times New Roman"/>
                      <w:color w:val="auto"/>
                      <w:sz w:val="21"/>
                      <w:szCs w:val="21"/>
                      <w:highlight w:val="none"/>
                      <w:vertAlign w:val="baseline"/>
                      <w:lang w:eastAsia="zh-CN"/>
                    </w:rPr>
                    <w:t>、《韶关市生态环境分区管控动态更新成果》及后续生态环境分区管控动态更新</w:t>
                  </w:r>
                  <w:r>
                    <w:rPr>
                      <w:rFonts w:hint="default" w:ascii="Times New Roman" w:hAnsi="Times New Roman" w:cs="Times New Roman"/>
                      <w:color w:val="auto"/>
                      <w:sz w:val="21"/>
                      <w:szCs w:val="21"/>
                      <w:highlight w:val="none"/>
                      <w:vertAlign w:val="baseline"/>
                      <w:lang w:eastAsia="zh-CN"/>
                    </w:rPr>
                    <w:t>要求。</w:t>
                  </w:r>
                </w:p>
              </w:tc>
              <w:tc>
                <w:tcPr>
                  <w:tcW w:w="1680" w:type="dxa"/>
                  <w:tcMar>
                    <w:top w:w="0" w:type="dxa"/>
                    <w:left w:w="0" w:type="dxa"/>
                    <w:bottom w:w="0" w:type="dxa"/>
                    <w:right w:w="0" w:type="dxa"/>
                  </w:tcMar>
                  <w:vAlign w:val="center"/>
                </w:tcPr>
                <w:p w14:paraId="65960D75">
                  <w:pPr>
                    <w:spacing w:line="240" w:lineRule="auto"/>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val="en-US" w:eastAsia="zh-CN"/>
                    </w:rPr>
                    <w:t>使用电能</w:t>
                  </w: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2、项目采用节水设备，实行严格的水资源管理制度。</w:t>
                  </w:r>
                </w:p>
                <w:p w14:paraId="6870C2AF">
                  <w:pPr>
                    <w:spacing w:line="240" w:lineRule="auto"/>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3、项目符合韶关市</w:t>
                  </w:r>
                  <w:r>
                    <w:rPr>
                      <w:rFonts w:hint="default" w:ascii="Times New Roman" w:hAnsi="Times New Roman" w:eastAsia="宋体" w:cs="Times New Roman"/>
                      <w:color w:val="auto"/>
                      <w:sz w:val="21"/>
                      <w:szCs w:val="21"/>
                      <w:highlight w:val="none"/>
                      <w:vertAlign w:val="baseline"/>
                      <w:lang w:eastAsia="zh-CN"/>
                    </w:rPr>
                    <w:t>生态环境分区管控</w:t>
                  </w:r>
                  <w:r>
                    <w:rPr>
                      <w:rFonts w:hint="default" w:ascii="Times New Roman" w:hAnsi="Times New Roman" w:cs="Times New Roman"/>
                      <w:color w:val="auto"/>
                      <w:sz w:val="21"/>
                      <w:szCs w:val="21"/>
                      <w:highlight w:val="none"/>
                      <w:vertAlign w:val="baseline"/>
                      <w:lang w:val="en-US" w:eastAsia="zh-CN"/>
                    </w:rPr>
                    <w:t>要求</w:t>
                  </w:r>
                </w:p>
              </w:tc>
              <w:tc>
                <w:tcPr>
                  <w:tcW w:w="577" w:type="dxa"/>
                  <w:tcMar>
                    <w:top w:w="0" w:type="dxa"/>
                    <w:left w:w="0" w:type="dxa"/>
                    <w:bottom w:w="0" w:type="dxa"/>
                    <w:right w:w="0" w:type="dxa"/>
                  </w:tcMar>
                  <w:vAlign w:val="center"/>
                </w:tcPr>
                <w:p w14:paraId="70EA2B3D">
                  <w:pPr>
                    <w:spacing w:line="240" w:lineRule="auto"/>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相符</w:t>
                  </w:r>
                </w:p>
              </w:tc>
            </w:tr>
          </w:tbl>
          <w:p w14:paraId="774251FA">
            <w:pPr>
              <w:pStyle w:val="126"/>
              <w:rPr>
                <w:rFonts w:hint="eastAsia" w:ascii="Times New Roman" w:hAnsi="Times New Roman" w:eastAsia="宋体" w:cs="Times New Roman"/>
                <w:color w:val="auto"/>
                <w:sz w:val="21"/>
                <w:szCs w:val="21"/>
                <w:highlight w:val="none"/>
                <w:lang w:val="en-US" w:eastAsia="zh-CN"/>
              </w:rPr>
            </w:pPr>
          </w:p>
          <w:p w14:paraId="6927B5D9">
            <w:pPr>
              <w:rPr>
                <w:rFonts w:hint="default"/>
                <w:lang w:val="en-US" w:eastAsia="zh-CN"/>
              </w:rPr>
            </w:pPr>
          </w:p>
          <w:p w14:paraId="539A822E">
            <w:pPr>
              <w:adjustRightInd w:val="0"/>
              <w:snapToGrid w:val="0"/>
              <w:spacing w:line="360" w:lineRule="auto"/>
              <w:jc w:val="left"/>
              <w:rPr>
                <w:rFonts w:ascii="Times New Roman" w:hAnsi="Times New Roman" w:eastAsia="宋体" w:cs="Times New Roman"/>
                <w:b/>
                <w:bCs/>
                <w:color w:val="000000" w:themeColor="text1"/>
                <w:kern w:val="0"/>
                <w:szCs w:val="21"/>
                <w14:textFill>
                  <w14:solidFill>
                    <w14:schemeClr w14:val="tx1"/>
                  </w14:solidFill>
                </w14:textFill>
              </w:rPr>
            </w:pPr>
          </w:p>
        </w:tc>
      </w:tr>
      <w:tr w14:paraId="2AE249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382" w:type="dxa"/>
            <w:tcBorders>
              <w:top w:val="single" w:color="auto" w:sz="4" w:space="0"/>
              <w:left w:val="single" w:color="auto" w:sz="8" w:space="0"/>
              <w:bottom w:val="single" w:color="auto" w:sz="8" w:space="0"/>
              <w:right w:val="single" w:color="auto" w:sz="4" w:space="0"/>
            </w:tcBorders>
            <w:tcMar>
              <w:left w:w="108" w:type="dxa"/>
              <w:right w:w="108" w:type="dxa"/>
            </w:tcMar>
            <w:vAlign w:val="center"/>
          </w:tcPr>
          <w:p w14:paraId="1602516C">
            <w:pPr>
              <w:autoSpaceDE w:val="0"/>
              <w:autoSpaceDN w:val="0"/>
              <w:adjustRightInd w:val="0"/>
              <w:snapToGrid w:val="0"/>
              <w:spacing w:line="360" w:lineRule="auto"/>
              <w:jc w:val="center"/>
              <w:rPr>
                <w:color w:val="000000" w:themeColor="text1"/>
                <w:kern w:val="0"/>
                <w:sz w:val="24"/>
                <w14:textFill>
                  <w14:solidFill>
                    <w14:schemeClr w14:val="tx1"/>
                  </w14:solidFill>
                </w14:textFill>
              </w:rPr>
            </w:pPr>
            <w:r>
              <w:rPr>
                <w:rFonts w:hint="eastAsia" w:ascii="Times New Roman" w:hAnsi="Times New Roman" w:eastAsia="宋体" w:cs="宋体"/>
                <w:color w:val="000000" w:themeColor="text1"/>
                <w:kern w:val="0"/>
                <w:sz w:val="24"/>
                <w:lang w:bidi="ar"/>
                <w14:textFill>
                  <w14:solidFill>
                    <w14:schemeClr w14:val="tx1"/>
                  </w14:solidFill>
                </w14:textFill>
              </w:rPr>
              <w:t>其他符合性分析</w:t>
            </w:r>
          </w:p>
        </w:tc>
        <w:tc>
          <w:tcPr>
            <w:tcW w:w="7368" w:type="dxa"/>
            <w:gridSpan w:val="3"/>
            <w:tcBorders>
              <w:top w:val="single" w:color="auto" w:sz="4" w:space="0"/>
              <w:left w:val="single" w:color="auto" w:sz="4" w:space="0"/>
              <w:bottom w:val="single" w:color="auto" w:sz="8" w:space="0"/>
              <w:right w:val="single" w:color="auto" w:sz="8" w:space="0"/>
            </w:tcBorders>
            <w:tcMar>
              <w:left w:w="108" w:type="dxa"/>
              <w:right w:w="108" w:type="dxa"/>
            </w:tcMar>
            <w:vAlign w:val="center"/>
          </w:tcPr>
          <w:p w14:paraId="1D7BBD6B">
            <w:pPr>
              <w:pStyle w:val="39"/>
              <w:widowControl w:val="0"/>
              <w:autoSpaceDE w:val="0"/>
              <w:autoSpaceDN w:val="0"/>
              <w:adjustRightInd w:val="0"/>
              <w:snapToGrid w:val="0"/>
              <w:spacing w:beforeAutospacing="0" w:afterAutospacing="0"/>
              <w:ind w:firstLine="482" w:firstLineChars="200"/>
              <w:jc w:val="both"/>
              <w:rPr>
                <w:rFonts w:hint="default" w:ascii="Times New Roman" w:hAnsi="Times New Roman"/>
                <w:b/>
                <w:color w:val="000000" w:themeColor="text1"/>
                <w:szCs w:val="24"/>
                <w14:textFill>
                  <w14:solidFill>
                    <w14:schemeClr w14:val="tx1"/>
                  </w14:solidFill>
                </w14:textFill>
              </w:rPr>
            </w:pPr>
            <w:r>
              <w:rPr>
                <w:rFonts w:hint="default" w:ascii="Times New Roman" w:hAnsi="Times New Roman"/>
                <w:b/>
                <w:color w:val="000000" w:themeColor="text1"/>
                <w:szCs w:val="24"/>
                <w14:textFill>
                  <w14:solidFill>
                    <w14:schemeClr w14:val="tx1"/>
                  </w14:solidFill>
                </w14:textFill>
              </w:rPr>
              <w:t>1</w:t>
            </w:r>
            <w:r>
              <w:rPr>
                <w:rFonts w:ascii="Times New Roman" w:hAnsi="Times New Roman"/>
                <w:b/>
                <w:color w:val="000000" w:themeColor="text1"/>
                <w:szCs w:val="24"/>
                <w14:textFill>
                  <w14:solidFill>
                    <w14:schemeClr w14:val="tx1"/>
                  </w14:solidFill>
                </w14:textFill>
              </w:rPr>
              <w:t>、建设</w:t>
            </w:r>
            <w:r>
              <w:rPr>
                <w:b/>
                <w:color w:val="000000" w:themeColor="text1"/>
                <w:szCs w:val="24"/>
                <w14:textFill>
                  <w14:solidFill>
                    <w14:schemeClr w14:val="tx1"/>
                  </w14:solidFill>
                </w14:textFill>
              </w:rPr>
              <w:t>项目与所在地</w:t>
            </w:r>
            <w:r>
              <w:rPr>
                <w:rFonts w:hint="eastAsia"/>
                <w:b/>
                <w:color w:val="000000" w:themeColor="text1"/>
                <w:szCs w:val="24"/>
                <w:lang w:val="en-US" w:eastAsia="zh-CN"/>
                <w14:textFill>
                  <w14:solidFill>
                    <w14:schemeClr w14:val="tx1"/>
                  </w14:solidFill>
                </w14:textFill>
              </w:rPr>
              <w:t>生态环境分区管控</w:t>
            </w:r>
            <w:r>
              <w:rPr>
                <w:b/>
                <w:color w:val="000000" w:themeColor="text1"/>
                <w:szCs w:val="24"/>
                <w14:textFill>
                  <w14:solidFill>
                    <w14:schemeClr w14:val="tx1"/>
                  </w14:solidFill>
                </w14:textFill>
              </w:rPr>
              <w:t>的</w:t>
            </w:r>
            <w:r>
              <w:rPr>
                <w:rFonts w:ascii="Times New Roman" w:hAnsi="Times New Roman"/>
                <w:b/>
                <w:color w:val="000000" w:themeColor="text1"/>
                <w:szCs w:val="24"/>
                <w14:textFill>
                  <w14:solidFill>
                    <w14:schemeClr w14:val="tx1"/>
                  </w14:solidFill>
                </w14:textFill>
              </w:rPr>
              <w:t>符合性</w:t>
            </w:r>
          </w:p>
          <w:p w14:paraId="2F1E7E73">
            <w:pPr>
              <w:pStyle w:val="39"/>
              <w:widowControl w:val="0"/>
              <w:autoSpaceDE w:val="0"/>
              <w:autoSpaceDN w:val="0"/>
              <w:adjustRightInd w:val="0"/>
              <w:snapToGrid w:val="0"/>
              <w:spacing w:beforeAutospacing="0" w:afterAutospacing="0" w:line="240" w:lineRule="auto"/>
              <w:jc w:val="center"/>
              <w:rPr>
                <w:rFonts w:hint="default"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表</w:t>
            </w:r>
            <w:r>
              <w:rPr>
                <w:rFonts w:hint="default" w:ascii="Times New Roman" w:hAnsi="Times New Roman"/>
                <w:b/>
                <w:bCs/>
                <w:color w:val="000000" w:themeColor="text1"/>
                <w:sz w:val="21"/>
                <w:szCs w:val="21"/>
                <w14:textFill>
                  <w14:solidFill>
                    <w14:schemeClr w14:val="tx1"/>
                  </w14:solidFill>
                </w14:textFill>
              </w:rPr>
              <w:t>1-2</w:t>
            </w:r>
            <w:r>
              <w:rPr>
                <w:rFonts w:ascii="Times New Roman" w:hAnsi="Times New Roman"/>
                <w:b/>
                <w:bCs/>
                <w:color w:val="000000" w:themeColor="text1"/>
                <w:sz w:val="21"/>
                <w:szCs w:val="21"/>
                <w14:textFill>
                  <w14:solidFill>
                    <w14:schemeClr w14:val="tx1"/>
                  </w14:solidFill>
                </w14:textFill>
              </w:rPr>
              <w:t>与《广东省人民政府关于印发广东省</w:t>
            </w:r>
            <w:r>
              <w:rPr>
                <w:rFonts w:hint="default" w:ascii="Times New Roman" w:hAnsi="Times New Roman"/>
                <w:b/>
                <w:bCs/>
                <w:color w:val="000000" w:themeColor="text1"/>
                <w:sz w:val="21"/>
                <w:szCs w:val="21"/>
                <w14:textFill>
                  <w14:solidFill>
                    <w14:schemeClr w14:val="tx1"/>
                  </w14:solidFill>
                </w14:textFill>
              </w:rPr>
              <w:t>“</w:t>
            </w:r>
            <w:r>
              <w:rPr>
                <w:rFonts w:ascii="Times New Roman" w:hAnsi="Times New Roman"/>
                <w:b/>
                <w:bCs/>
                <w:color w:val="000000" w:themeColor="text1"/>
                <w:sz w:val="21"/>
                <w:szCs w:val="21"/>
                <w14:textFill>
                  <w14:solidFill>
                    <w14:schemeClr w14:val="tx1"/>
                  </w14:solidFill>
                </w14:textFill>
              </w:rPr>
              <w:t>三线一单</w:t>
            </w:r>
            <w:r>
              <w:rPr>
                <w:rFonts w:hint="default" w:ascii="Times New Roman" w:hAnsi="Times New Roman"/>
                <w:b/>
                <w:bCs/>
                <w:color w:val="000000" w:themeColor="text1"/>
                <w:sz w:val="21"/>
                <w:szCs w:val="21"/>
                <w14:textFill>
                  <w14:solidFill>
                    <w14:schemeClr w14:val="tx1"/>
                  </w14:solidFill>
                </w14:textFill>
              </w:rPr>
              <w:t>”</w:t>
            </w:r>
            <w:r>
              <w:rPr>
                <w:rFonts w:ascii="Times New Roman" w:hAnsi="Times New Roman"/>
                <w:b/>
                <w:bCs/>
                <w:color w:val="000000" w:themeColor="text1"/>
                <w:sz w:val="21"/>
                <w:szCs w:val="21"/>
                <w14:textFill>
                  <w14:solidFill>
                    <w14:schemeClr w14:val="tx1"/>
                  </w14:solidFill>
                </w14:textFill>
              </w:rPr>
              <w:t>生态环境分区管控方案的通知》（粤府〔</w:t>
            </w:r>
            <w:r>
              <w:rPr>
                <w:rFonts w:hint="default" w:ascii="Times New Roman" w:hAnsi="Times New Roman"/>
                <w:b/>
                <w:bCs/>
                <w:color w:val="000000" w:themeColor="text1"/>
                <w:sz w:val="21"/>
                <w:szCs w:val="21"/>
                <w14:textFill>
                  <w14:solidFill>
                    <w14:schemeClr w14:val="tx1"/>
                  </w14:solidFill>
                </w14:textFill>
              </w:rPr>
              <w:t>2020</w:t>
            </w:r>
            <w:r>
              <w:rPr>
                <w:rFonts w:ascii="Times New Roman" w:hAnsi="Times New Roman"/>
                <w:b/>
                <w:bCs/>
                <w:color w:val="000000" w:themeColor="text1"/>
                <w:sz w:val="21"/>
                <w:szCs w:val="21"/>
                <w14:textFill>
                  <w14:solidFill>
                    <w14:schemeClr w14:val="tx1"/>
                  </w14:solidFill>
                </w14:textFill>
              </w:rPr>
              <w:t>〕</w:t>
            </w:r>
            <w:r>
              <w:rPr>
                <w:rFonts w:hint="default" w:ascii="Times New Roman" w:hAnsi="Times New Roman"/>
                <w:b/>
                <w:bCs/>
                <w:color w:val="000000" w:themeColor="text1"/>
                <w:sz w:val="21"/>
                <w:szCs w:val="21"/>
                <w14:textFill>
                  <w14:solidFill>
                    <w14:schemeClr w14:val="tx1"/>
                  </w14:solidFill>
                </w14:textFill>
              </w:rPr>
              <w:t>71</w:t>
            </w:r>
            <w:r>
              <w:rPr>
                <w:rFonts w:ascii="Times New Roman" w:hAnsi="Times New Roman"/>
                <w:b/>
                <w:bCs/>
                <w:color w:val="000000" w:themeColor="text1"/>
                <w:sz w:val="21"/>
                <w:szCs w:val="21"/>
                <w14:textFill>
                  <w14:solidFill>
                    <w14:schemeClr w14:val="tx1"/>
                  </w14:solidFill>
                </w14:textFill>
              </w:rPr>
              <w:t>号）</w:t>
            </w:r>
            <w:r>
              <w:rPr>
                <w:rFonts w:hint="eastAsia" w:ascii="Times New Roman" w:hAnsi="Times New Roman"/>
                <w:b/>
                <w:bCs/>
                <w:color w:val="000000" w:themeColor="text1"/>
                <w:sz w:val="21"/>
                <w:szCs w:val="21"/>
                <w14:textFill>
                  <w14:solidFill>
                    <w14:schemeClr w14:val="tx1"/>
                  </w14:solidFill>
                </w14:textFill>
              </w:rPr>
              <w:t>及广东省人民政府关于延长《广东省“三线一单”生态环境分区管控方案》有效期的通知（粤府函〔2025〕248号）相符性分析</w:t>
            </w:r>
            <w:r>
              <w:rPr>
                <w:rFonts w:ascii="Times New Roman" w:hAnsi="Times New Roman"/>
                <w:b/>
                <w:bCs/>
                <w:color w:val="000000" w:themeColor="text1"/>
                <w:sz w:val="21"/>
                <w:szCs w:val="21"/>
                <w14:textFill>
                  <w14:solidFill>
                    <w14:schemeClr w14:val="tx1"/>
                  </w14:solidFill>
                </w14:textFill>
              </w:rPr>
              <w:t>的相符性分析</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7"/>
              <w:gridCol w:w="2102"/>
              <w:gridCol w:w="593"/>
            </w:tblGrid>
            <w:tr w14:paraId="2F05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05" w:hRule="atLeast"/>
                <w:jc w:val="center"/>
              </w:trPr>
              <w:tc>
                <w:tcPr>
                  <w:tcW w:w="4001" w:type="dxa"/>
                  <w:tcBorders>
                    <w:top w:val="single" w:color="auto" w:sz="4" w:space="0"/>
                    <w:left w:val="single" w:color="auto" w:sz="4" w:space="0"/>
                    <w:bottom w:val="single" w:color="auto" w:sz="4" w:space="0"/>
                    <w:right w:val="single" w:color="auto" w:sz="4" w:space="0"/>
                  </w:tcBorders>
                  <w:vAlign w:val="center"/>
                </w:tcPr>
                <w:p w14:paraId="3FE5CDAE">
                  <w:pPr>
                    <w:pStyle w:val="66"/>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政策要求</w:t>
                  </w:r>
                </w:p>
              </w:tc>
              <w:tc>
                <w:tcPr>
                  <w:tcW w:w="1892" w:type="dxa"/>
                  <w:tcBorders>
                    <w:top w:val="single" w:color="auto" w:sz="4" w:space="0"/>
                    <w:left w:val="single" w:color="auto" w:sz="4" w:space="0"/>
                    <w:bottom w:val="single" w:color="auto" w:sz="4" w:space="0"/>
                    <w:right w:val="single" w:color="auto" w:sz="4" w:space="0"/>
                  </w:tcBorders>
                  <w:vAlign w:val="center"/>
                </w:tcPr>
                <w:p w14:paraId="6E10661F">
                  <w:pPr>
                    <w:pStyle w:val="66"/>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项目情况</w:t>
                  </w:r>
                </w:p>
              </w:tc>
              <w:tc>
                <w:tcPr>
                  <w:tcW w:w="534" w:type="dxa"/>
                  <w:tcBorders>
                    <w:top w:val="single" w:color="auto" w:sz="4" w:space="0"/>
                    <w:left w:val="single" w:color="auto" w:sz="4" w:space="0"/>
                    <w:bottom w:val="single" w:color="auto" w:sz="4" w:space="0"/>
                    <w:right w:val="single" w:color="auto" w:sz="4" w:space="0"/>
                  </w:tcBorders>
                  <w:vAlign w:val="center"/>
                </w:tcPr>
                <w:p w14:paraId="062AB245">
                  <w:pPr>
                    <w:pStyle w:val="66"/>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相符性</w:t>
                  </w:r>
                </w:p>
              </w:tc>
            </w:tr>
            <w:tr w14:paraId="09CE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27" w:type="dxa"/>
                  <w:gridSpan w:val="3"/>
                  <w:tcBorders>
                    <w:top w:val="single" w:color="auto" w:sz="4" w:space="0"/>
                    <w:left w:val="single" w:color="auto" w:sz="4" w:space="0"/>
                    <w:bottom w:val="single" w:color="auto" w:sz="4" w:space="0"/>
                    <w:right w:val="single" w:color="auto" w:sz="4" w:space="0"/>
                  </w:tcBorders>
                  <w:vAlign w:val="center"/>
                </w:tcPr>
                <w:p w14:paraId="083F91EE">
                  <w:pPr>
                    <w:autoSpaceDE w:val="0"/>
                    <w:autoSpaceDN w:val="0"/>
                    <w:adjustRightInd w:val="0"/>
                    <w:snapToGrid w:val="0"/>
                    <w:ind w:firstLine="420" w:firstLineChars="20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全省总体管控要求</w:t>
                  </w:r>
                </w:p>
              </w:tc>
            </w:tr>
            <w:tr w14:paraId="1D6C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5" w:hRule="atLeast"/>
                <w:jc w:val="center"/>
              </w:trPr>
              <w:tc>
                <w:tcPr>
                  <w:tcW w:w="4001" w:type="dxa"/>
                  <w:tcBorders>
                    <w:top w:val="single" w:color="auto" w:sz="4" w:space="0"/>
                    <w:left w:val="single" w:color="auto" w:sz="4" w:space="0"/>
                    <w:bottom w:val="single" w:color="auto" w:sz="4" w:space="0"/>
                    <w:right w:val="single" w:color="auto" w:sz="4" w:space="0"/>
                  </w:tcBorders>
                  <w:vAlign w:val="center"/>
                </w:tcPr>
                <w:p w14:paraId="43048E26">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区域布局管控要求。优先保护生态空间，保育生态功能。持续深入推进产业、能源、交通运输结构调整。按照“一核一带一区”发展格局，调整优化产业集群发展空间布局，推动城市功能定位与产业集群发展协同匹配。积极推进电子信息、绿色石化、汽车制造、智能家电等十大战略性支柱产业集群转型升级，加快培育半导体与集成电路、高端装备制造、新能源、数字创意等十大战略性新兴产业集群规模化、集约化发展，全面提升产业集群绿色发展水平。推动工业项目入园集聚发展，引导重大产业向沿海等环境容量充足地区布局，新建化学制浆、电镀、印染、鞣革等项目入园集中管理。依法依规关停落后产能，全面实施产业绿色化改造，培育壮大循环经济。环境质量不达标区域，新建项目需符合环境质量改善要求。加快推进天然气产供储销体系建设，全面实施燃煤锅炉、工业炉窑清洁能源改造和工业园区集中供热，积极促进用热企业向园区集聚。优化调整交通运输结构，大力发展“公转铁、公转水”和多式联运，积极推进公路、水路等交通运输燃料清洁化，逐步推广新能源物流车辆，积极推动设立“绿色物流”片区。</w:t>
                  </w:r>
                </w:p>
              </w:tc>
              <w:tc>
                <w:tcPr>
                  <w:tcW w:w="1892" w:type="dxa"/>
                  <w:tcBorders>
                    <w:top w:val="single" w:color="auto" w:sz="4" w:space="0"/>
                    <w:left w:val="single" w:color="auto" w:sz="4" w:space="0"/>
                    <w:bottom w:val="single" w:color="auto" w:sz="4" w:space="0"/>
                    <w:right w:val="single" w:color="auto" w:sz="4" w:space="0"/>
                  </w:tcBorders>
                  <w:vAlign w:val="center"/>
                </w:tcPr>
                <w:p w14:paraId="20CE270A">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主要从事橡胶脚轮制造，不涉及化学制浆、电镀、印染、鞣革等项目，本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位于广东省韶关市乐昌市乐昌产业转移工业园，生产过程使用能源主要为电能。</w:t>
                  </w:r>
                </w:p>
              </w:tc>
              <w:tc>
                <w:tcPr>
                  <w:tcW w:w="534" w:type="dxa"/>
                  <w:tcBorders>
                    <w:top w:val="single" w:color="auto" w:sz="4" w:space="0"/>
                    <w:left w:val="single" w:color="auto" w:sz="4" w:space="0"/>
                    <w:bottom w:val="single" w:color="auto" w:sz="4" w:space="0"/>
                    <w:right w:val="single" w:color="auto" w:sz="4" w:space="0"/>
                  </w:tcBorders>
                  <w:vAlign w:val="center"/>
                </w:tcPr>
                <w:p w14:paraId="1FBC7F4E">
                  <w:pPr>
                    <w:pStyle w:val="66"/>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相符</w:t>
                  </w:r>
                </w:p>
              </w:tc>
            </w:tr>
            <w:tr w14:paraId="6FD9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1" w:type="dxa"/>
                  <w:tcBorders>
                    <w:top w:val="single" w:color="auto" w:sz="4" w:space="0"/>
                    <w:left w:val="single" w:color="auto" w:sz="4" w:space="0"/>
                    <w:bottom w:val="single" w:color="auto" w:sz="4" w:space="0"/>
                    <w:right w:val="single" w:color="auto" w:sz="4" w:space="0"/>
                  </w:tcBorders>
                  <w:vAlign w:val="center"/>
                </w:tcPr>
                <w:p w14:paraId="68F25A6B">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能源资源利用要求。积极发展先进核电、海上风电、天然气发电等清洁能源，逐步提高可再生能源与低碳清洁能源比例，建立现代化能源体系。科学推进能源消费总量和强度“双控”，严格控制并逐步减少煤炭使用量，力争在全国范围内提前实现碳排放达峰。依法依规强化油品生产、流通、使用、贸易等全流程监管，减少直至杜绝非法劣质油品在全省流通和使用。贯彻落实“节水优先”方针，实行最严格水资源管理制度，把水资源作为刚性约束，以节约用水扩大发展空间。落实东江、西江、北江、韩江、鉴江等流域水资源分配方案，保障主要河流基本生态流量。强化自然岸线保护，优化岸线开发利用格局，建立岸线分类管控和长效管护机制，规范岸线开发秩序；除国家重大项目外，全面禁止围填海。落实单位土地面积投资强度、土地利用强度等建设用地控制性指标要求，提高土地利用效率。推动绿色矿山建设，提高矿产资源产出率。积极发展农业资源利用节约化、生产过程清洁化、废弃物利用资源化等生态循环农业模式。</w:t>
                  </w:r>
                </w:p>
              </w:tc>
              <w:tc>
                <w:tcPr>
                  <w:tcW w:w="1892" w:type="dxa"/>
                  <w:tcBorders>
                    <w:top w:val="single" w:color="auto" w:sz="4" w:space="0"/>
                    <w:left w:val="single" w:color="auto" w:sz="4" w:space="0"/>
                    <w:bottom w:val="single" w:color="auto" w:sz="4" w:space="0"/>
                    <w:right w:val="single" w:color="auto" w:sz="4" w:space="0"/>
                  </w:tcBorders>
                  <w:vAlign w:val="center"/>
                </w:tcPr>
                <w:p w14:paraId="3483BBF9">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生产设备使用能源为电能，不涉及煤炭的使用；本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主要用水为生活用水和生产用水；本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贯彻落实“节水优先”方案，实行最严格水资源管理制度。本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严格落实单位土地面积投资强度、土地利用强度等建设用地控制性指标要求，提高土地利用效率。</w:t>
                  </w:r>
                </w:p>
              </w:tc>
              <w:tc>
                <w:tcPr>
                  <w:tcW w:w="534" w:type="dxa"/>
                  <w:tcBorders>
                    <w:top w:val="single" w:color="auto" w:sz="4" w:space="0"/>
                    <w:left w:val="single" w:color="auto" w:sz="4" w:space="0"/>
                    <w:bottom w:val="single" w:color="auto" w:sz="4" w:space="0"/>
                    <w:right w:val="single" w:color="auto" w:sz="4" w:space="0"/>
                  </w:tcBorders>
                  <w:vAlign w:val="center"/>
                </w:tcPr>
                <w:p w14:paraId="3CCF1806">
                  <w:pPr>
                    <w:pStyle w:val="66"/>
                    <w:rPr>
                      <w:color w:val="000000" w:themeColor="text1"/>
                      <w:kern w:val="0"/>
                      <w14:textFill>
                        <w14:solidFill>
                          <w14:schemeClr w14:val="tx1"/>
                        </w14:solidFill>
                      </w14:textFill>
                    </w:rPr>
                  </w:pPr>
                  <w:r>
                    <w:rPr>
                      <w:color w:val="000000" w:themeColor="text1"/>
                      <w:kern w:val="0"/>
                      <w14:textFill>
                        <w14:solidFill>
                          <w14:schemeClr w14:val="tx1"/>
                        </w14:solidFill>
                      </w14:textFill>
                    </w:rPr>
                    <w:t>相符</w:t>
                  </w:r>
                </w:p>
              </w:tc>
            </w:tr>
            <w:tr w14:paraId="6E87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1" w:type="dxa"/>
                  <w:tcBorders>
                    <w:top w:val="single" w:color="auto" w:sz="4" w:space="0"/>
                    <w:left w:val="single" w:color="auto" w:sz="4" w:space="0"/>
                    <w:bottom w:val="single" w:color="auto" w:sz="4" w:space="0"/>
                    <w:right w:val="single" w:color="auto" w:sz="4" w:space="0"/>
                  </w:tcBorders>
                  <w:vAlign w:val="center"/>
                </w:tcPr>
                <w:p w14:paraId="03237D69">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污染物排放管控要求。实施重点污染物总量控制，重点污染物排放总量指标优先向重大发展平台、重点建设项目、重点工业园区、战略性产业集群倾斜。加快建立以排污许可制为核心的固定污染源监管制度，聚焦重点行业和重点区域，强化环境监管执法。超过重点污染</w:t>
                  </w:r>
                  <w:r>
                    <w:rPr>
                      <w:color w:val="000000" w:themeColor="text1"/>
                      <w:szCs w:val="21"/>
                      <w14:textFill>
                        <w14:solidFill>
                          <w14:schemeClr w14:val="tx1"/>
                        </w14:solidFill>
                      </w14:textFill>
                    </w:rPr>
                    <w:t>物排放总量控制指标或未完成环境质量改善目标的区域，新建、改建、扩建项目重点污染物实施减量替代。重金属污染重点防控区内，重点重金属排放总量只减不增；重金属污染物排放企业清洁生产逐步达到国际或国内先进水平。实施重点行业清洁生产改造，火电及钢铁行业企业大气污染物达到可核查、可监管的超低排放标准，水泥、石化、化工及有色金属冶炼等行业企业大气污染物达到特别排放限值要求。深入推进石化化工、溶剂使用及挥发性有机液体储运销的挥发性有机物减排，通过源头替代、过程控制和末端治理实施反应活性物质、有毒有害物质、恶臭物质的协同控制。严格落实船舶大气污染物排放控制区要求。优化调整供排水格局，禁止在地表水</w:t>
                  </w:r>
                  <w:r>
                    <w:rPr>
                      <w:rFonts w:ascii="Times New Roman" w:hAnsi="Times New Roman" w:eastAsia="微软雅黑" w:cs="Times New Roman"/>
                      <w:color w:val="000000" w:themeColor="text1"/>
                      <w:szCs w:val="21"/>
                      <w14:textFill>
                        <w14:solidFill>
                          <w14:schemeClr w14:val="tx1"/>
                        </w14:solidFill>
                      </w14:textFill>
                    </w:rPr>
                    <w:t>Ⅰ</w:t>
                  </w:r>
                  <w:r>
                    <w:rPr>
                      <w:rFonts w:ascii="Times New Roman" w:hAnsi="Times New Roman" w:cs="Times New Roman"/>
                      <w:color w:val="000000" w:themeColor="text1"/>
                      <w:szCs w:val="21"/>
                      <w14:textFill>
                        <w14:solidFill>
                          <w14:schemeClr w14:val="tx1"/>
                        </w14:solidFill>
                      </w14:textFill>
                    </w:rPr>
                    <w:t>、</w:t>
                  </w:r>
                  <w:r>
                    <w:rPr>
                      <w:rFonts w:ascii="Times New Roman" w:hAnsi="Times New Roman" w:eastAsia="微软雅黑" w:cs="Times New Roman"/>
                      <w:color w:val="000000" w:themeColor="text1"/>
                      <w:szCs w:val="21"/>
                      <w14:textFill>
                        <w14:solidFill>
                          <w14:schemeClr w14:val="tx1"/>
                        </w14:solidFill>
                      </w14:textFill>
                    </w:rPr>
                    <w:t>Ⅱ</w:t>
                  </w:r>
                  <w:r>
                    <w:rPr>
                      <w:color w:val="000000" w:themeColor="text1"/>
                      <w:szCs w:val="21"/>
                      <w14:textFill>
                        <w14:solidFill>
                          <w14:schemeClr w14:val="tx1"/>
                        </w14:solidFill>
                      </w14:textFill>
                    </w:rPr>
                    <w:t>类水域新建排污口，已建排污口不得增加污染物排放量。加大工业园区污染治理力度，加快完善污水集中处理设施及配套工程建设，建立健全配套管理政策和市场化运行机制，确保园区污水稳定达标排放。加快推进生活污水处理设施建设和提质增效，因地制宜治理农村面源污染，加强畜禽养殖废弃物资源化利用。强化陆海统筹，严控陆源污染物入海量。</w:t>
                  </w:r>
                </w:p>
              </w:tc>
              <w:tc>
                <w:tcPr>
                  <w:tcW w:w="1892" w:type="dxa"/>
                  <w:tcBorders>
                    <w:top w:val="single" w:color="auto" w:sz="4" w:space="0"/>
                    <w:left w:val="single" w:color="auto" w:sz="4" w:space="0"/>
                    <w:bottom w:val="single" w:color="auto" w:sz="4" w:space="0"/>
                    <w:right w:val="single" w:color="auto" w:sz="4" w:space="0"/>
                  </w:tcBorders>
                  <w:vAlign w:val="center"/>
                </w:tcPr>
                <w:p w14:paraId="038EC6A4">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主要从事橡胶</w:t>
                  </w:r>
                  <w:r>
                    <w:rPr>
                      <w:rFonts w:ascii="Times New Roman" w:hAnsi="Times New Roman" w:eastAsia="宋体" w:cs="Times New Roman"/>
                      <w:color w:val="000000" w:themeColor="text1"/>
                      <w:kern w:val="0"/>
                      <w:szCs w:val="21"/>
                      <w14:textFill>
                        <w14:solidFill>
                          <w14:schemeClr w14:val="tx1"/>
                        </w14:solidFill>
                      </w14:textFill>
                    </w:rPr>
                    <w:t>脚轮制造</w:t>
                  </w:r>
                  <w:r>
                    <w:rPr>
                      <w:rFonts w:hint="eastAsia" w:ascii="Times New Roman" w:hAnsi="Times New Roman" w:eastAsia="宋体" w:cs="Times New Roman"/>
                      <w:color w:val="000000" w:themeColor="text1"/>
                      <w:kern w:val="0"/>
                      <w:szCs w:val="21"/>
                      <w14:textFill>
                        <w14:solidFill>
                          <w14:schemeClr w14:val="tx1"/>
                        </w14:solidFill>
                      </w14:textFill>
                    </w:rPr>
                    <w:t>，</w:t>
                  </w:r>
                  <w:r>
                    <w:rPr>
                      <w:rFonts w:ascii="Times New Roman" w:hAnsi="Times New Roman" w:eastAsia="宋体" w:cs="Times New Roman"/>
                      <w:color w:val="000000" w:themeColor="text1"/>
                      <w:kern w:val="0"/>
                      <w:szCs w:val="21"/>
                      <w14:textFill>
                        <w14:solidFill>
                          <w14:schemeClr w14:val="tx1"/>
                        </w14:solidFill>
                      </w14:textFill>
                    </w:rPr>
                    <w:t>不属于水泥、石化、化工及有色金属冶炼等行业企业；本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ascii="Times New Roman" w:hAnsi="Times New Roman" w:eastAsia="宋体" w:cs="Times New Roman"/>
                      <w:color w:val="000000" w:themeColor="text1"/>
                      <w:kern w:val="0"/>
                      <w:szCs w:val="21"/>
                      <w14:textFill>
                        <w14:solidFill>
                          <w14:schemeClr w14:val="tx1"/>
                        </w14:solidFill>
                      </w14:textFill>
                    </w:rPr>
                    <w:t>不属于重金属重点防控区内，不涉及重金属污染物排放；</w:t>
                  </w: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ascii="Times New Roman" w:hAnsi="Times New Roman" w:eastAsia="宋体" w:cs="Times New Roman"/>
                      <w:color w:val="000000" w:themeColor="text1"/>
                      <w:kern w:val="0"/>
                      <w:szCs w:val="21"/>
                      <w14:textFill>
                        <w14:solidFill>
                          <w14:schemeClr w14:val="tx1"/>
                        </w14:solidFill>
                      </w14:textFill>
                    </w:rPr>
                    <w:t>生产过程不产生重点污染物</w:t>
                  </w:r>
                  <w:r>
                    <w:rPr>
                      <w:rFonts w:hint="eastAsia" w:ascii="Times New Roman" w:hAnsi="Times New Roman" w:eastAsia="宋体" w:cs="Times New Roman"/>
                      <w:color w:val="000000" w:themeColor="text1"/>
                      <w:kern w:val="0"/>
                      <w:szCs w:val="21"/>
                      <w14:textFill>
                        <w14:solidFill>
                          <w14:schemeClr w14:val="tx1"/>
                        </w14:solidFill>
                      </w14:textFill>
                    </w:rPr>
                    <w:t>，主要用水为生活用水和</w:t>
                  </w:r>
                  <w:r>
                    <w:rPr>
                      <w:rFonts w:ascii="Times New Roman" w:hAnsi="Times New Roman" w:eastAsia="宋体" w:cs="Times New Roman"/>
                      <w:color w:val="000000" w:themeColor="text1"/>
                      <w:kern w:val="0"/>
                      <w:szCs w:val="21"/>
                      <w14:textFill>
                        <w14:solidFill>
                          <w14:schemeClr w14:val="tx1"/>
                        </w14:solidFill>
                      </w14:textFill>
                    </w:rPr>
                    <w:t>生产用水</w:t>
                  </w:r>
                  <w:r>
                    <w:rPr>
                      <w:rFonts w:hint="eastAsia" w:ascii="Times New Roman" w:hAnsi="Times New Roman" w:eastAsia="宋体" w:cs="Times New Roman"/>
                      <w:color w:val="000000" w:themeColor="text1"/>
                      <w:kern w:val="0"/>
                      <w:szCs w:val="21"/>
                      <w14:textFill>
                        <w14:solidFill>
                          <w14:schemeClr w14:val="tx1"/>
                        </w14:solidFill>
                      </w14:textFill>
                    </w:rPr>
                    <w:t>，生产</w:t>
                  </w:r>
                  <w:r>
                    <w:rPr>
                      <w:rFonts w:ascii="Times New Roman" w:hAnsi="Times New Roman" w:eastAsia="宋体" w:cs="Times New Roman"/>
                      <w:color w:val="000000" w:themeColor="text1"/>
                      <w:kern w:val="0"/>
                      <w:szCs w:val="21"/>
                      <w14:textFill>
                        <w14:solidFill>
                          <w14:schemeClr w14:val="tx1"/>
                        </w14:solidFill>
                      </w14:textFill>
                    </w:rPr>
                    <w:t>废水为间接冷却更换水，</w:t>
                  </w:r>
                  <w:r>
                    <w:rPr>
                      <w:rFonts w:hint="eastAsia" w:ascii="Times New Roman" w:hAnsi="Times New Roman" w:eastAsia="宋体" w:cs="Times New Roman"/>
                      <w:color w:val="000000" w:themeColor="text1"/>
                      <w:kern w:val="0"/>
                      <w:szCs w:val="21"/>
                      <w14:textFill>
                        <w14:solidFill>
                          <w14:schemeClr w14:val="tx1"/>
                        </w14:solidFill>
                      </w14:textFill>
                    </w:rPr>
                    <w:t>生活污水经三级化粪池预处理后汇同间接冷却更换水接入园区污水管网，排入园区污水处理厂处理。</w:t>
                  </w:r>
                </w:p>
              </w:tc>
              <w:tc>
                <w:tcPr>
                  <w:tcW w:w="534" w:type="dxa"/>
                  <w:tcBorders>
                    <w:top w:val="single" w:color="auto" w:sz="4" w:space="0"/>
                    <w:left w:val="single" w:color="auto" w:sz="4" w:space="0"/>
                    <w:bottom w:val="single" w:color="auto" w:sz="4" w:space="0"/>
                    <w:right w:val="single" w:color="auto" w:sz="4" w:space="0"/>
                  </w:tcBorders>
                  <w:vAlign w:val="center"/>
                </w:tcPr>
                <w:p w14:paraId="17673C7A">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r w14:paraId="5BA5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1" w:type="dxa"/>
                  <w:tcBorders>
                    <w:top w:val="single" w:color="auto" w:sz="4" w:space="0"/>
                    <w:left w:val="single" w:color="auto" w:sz="4" w:space="0"/>
                    <w:bottom w:val="single" w:color="auto" w:sz="4" w:space="0"/>
                    <w:right w:val="single" w:color="auto" w:sz="4" w:space="0"/>
                  </w:tcBorders>
                  <w:vAlign w:val="center"/>
                </w:tcPr>
                <w:p w14:paraId="6C279A5D">
                  <w:pPr>
                    <w:autoSpaceDE w:val="0"/>
                    <w:autoSpaceDN w:val="0"/>
                    <w:adjustRightInd w:val="0"/>
                    <w:snapToGrid w:val="0"/>
                    <w:ind w:firstLine="420" w:firstLineChars="200"/>
                    <w:rPr>
                      <w:rFonts w:ascii="Times New Roman" w:hAnsi="Times New Roman" w:eastAsia="宋体" w:cs="Times New Roman"/>
                      <w:color w:val="000000" w:themeColor="text1"/>
                      <w:kern w:val="0"/>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环境风险防控要求。</w:t>
                  </w:r>
                  <w:r>
                    <w:rPr>
                      <w:rFonts w:hint="eastAsia" w:ascii="Times New Roman" w:hAnsi="Times New Roman" w:eastAsia="宋体" w:cs="Times New Roman"/>
                      <w:color w:val="000000" w:themeColor="text1"/>
                      <w:kern w:val="0"/>
                      <w:szCs w:val="21"/>
                      <w14:textFill>
                        <w14:solidFill>
                          <w14:schemeClr w14:val="tx1"/>
                        </w14:solidFill>
                      </w14:textFill>
                    </w:rPr>
                    <w:t>加强东江、西江、北江和韩江等供水通道干流沿岸以及饮用水水源地、备用水源环境风险防控，强化地表水、地下水和土壤污染风险协同防控，建立完善突发环境事件应急管理体系。重点加强环境</w:t>
                  </w:r>
                  <w:r>
                    <w:rPr>
                      <w:rFonts w:ascii="Times New Roman" w:hAnsi="Times New Roman" w:eastAsia="宋体" w:cs="Times New Roman"/>
                      <w:color w:val="000000" w:themeColor="text1"/>
                      <w:kern w:val="0"/>
                      <w14:textFill>
                        <w14:solidFill>
                          <w14:schemeClr w14:val="tx1"/>
                        </w14:solidFill>
                      </w14:textFill>
                    </w:rPr>
                    <w:t>风险分级分类管理，建立全省环境风险源在线监控预警系统，强化化工企业、涉重金属行业、工业园区和尾矿库等重点环境风险源的环境风险防控。实施农用地分类管理，依法划定特定农产品禁止生产区域，规范受污染建设用地地块再开发。全力避免因各类安全事故（事件）引发的次生环境风险事故（事件）。</w:t>
                  </w:r>
                </w:p>
              </w:tc>
              <w:tc>
                <w:tcPr>
                  <w:tcW w:w="1892" w:type="dxa"/>
                  <w:tcBorders>
                    <w:top w:val="single" w:color="auto" w:sz="4" w:space="0"/>
                    <w:left w:val="single" w:color="auto" w:sz="4" w:space="0"/>
                    <w:bottom w:val="single" w:color="auto" w:sz="4" w:space="0"/>
                    <w:right w:val="single" w:color="auto" w:sz="4" w:space="0"/>
                  </w:tcBorders>
                  <w:vAlign w:val="center"/>
                </w:tcPr>
                <w:p w14:paraId="4659C42A">
                  <w:pPr>
                    <w:pStyle w:val="299"/>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不涉及饮用水源保护区（附图</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w:t>
                  </w:r>
                </w:p>
                <w:p w14:paraId="7CC76C20">
                  <w:pPr>
                    <w:pStyle w:val="299"/>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主要从事</w:t>
                  </w:r>
                  <w:r>
                    <w:rPr>
                      <w:color w:val="000000" w:themeColor="text1"/>
                      <w14:textFill>
                        <w14:solidFill>
                          <w14:schemeClr w14:val="tx1"/>
                        </w14:solidFill>
                      </w14:textFill>
                    </w:rPr>
                    <w:t>橡胶脚轮制造</w:t>
                  </w:r>
                  <w:r>
                    <w:rPr>
                      <w:rFonts w:hint="eastAsia"/>
                      <w:color w:val="000000" w:themeColor="text1"/>
                      <w14:textFill>
                        <w14:solidFill>
                          <w14:schemeClr w14:val="tx1"/>
                        </w14:solidFill>
                      </w14:textFill>
                    </w:rPr>
                    <w:t>，不属于化工企业、涉重金属行业、工业园区和尾矿库等重点环境风险源。</w:t>
                  </w:r>
                </w:p>
              </w:tc>
              <w:tc>
                <w:tcPr>
                  <w:tcW w:w="534" w:type="dxa"/>
                  <w:tcBorders>
                    <w:top w:val="single" w:color="auto" w:sz="4" w:space="0"/>
                    <w:left w:val="single" w:color="auto" w:sz="4" w:space="0"/>
                    <w:bottom w:val="single" w:color="auto" w:sz="4" w:space="0"/>
                    <w:right w:val="single" w:color="auto" w:sz="4" w:space="0"/>
                  </w:tcBorders>
                  <w:vAlign w:val="center"/>
                </w:tcPr>
                <w:p w14:paraId="098C04E9">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r w14:paraId="4F22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27" w:type="dxa"/>
                  <w:gridSpan w:val="3"/>
                  <w:tcBorders>
                    <w:top w:val="single" w:color="auto" w:sz="4" w:space="0"/>
                    <w:left w:val="single" w:color="auto" w:sz="4" w:space="0"/>
                    <w:bottom w:val="single" w:color="auto" w:sz="4" w:space="0"/>
                    <w:right w:val="single" w:color="auto" w:sz="4" w:space="0"/>
                  </w:tcBorders>
                  <w:vAlign w:val="center"/>
                </w:tcPr>
                <w:p w14:paraId="65001497">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“一核一带一区”区域管控要求</w:t>
                  </w:r>
                </w:p>
              </w:tc>
            </w:tr>
            <w:tr w14:paraId="4773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1" w:type="dxa"/>
                  <w:tcBorders>
                    <w:top w:val="single" w:color="auto" w:sz="4" w:space="0"/>
                    <w:left w:val="single" w:color="auto" w:sz="4" w:space="0"/>
                    <w:bottom w:val="single" w:color="auto" w:sz="4" w:space="0"/>
                    <w:right w:val="single" w:color="auto" w:sz="4" w:space="0"/>
                  </w:tcBorders>
                  <w:vAlign w:val="center"/>
                </w:tcPr>
                <w:p w14:paraId="04CC2F64">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布局区域管控要求。</w:t>
                  </w:r>
                  <w:r>
                    <w:rPr>
                      <w:rFonts w:ascii="Times New Roman" w:hAnsi="Times New Roman" w:eastAsia="宋体" w:cs="Times New Roman"/>
                      <w:color w:val="000000" w:themeColor="text1"/>
                      <w:kern w:val="0"/>
                      <w14:textFill>
                        <w14:solidFill>
                          <w14:schemeClr w14:val="tx1"/>
                        </w14:solidFill>
                      </w14:textFill>
                    </w:rPr>
                    <w:t>大力强化生态保护和建设，严格控制开发强度。重点加强南岭山地保护，推进广东南岭国家公园建设，保护生态系统完整性与生物多样性，构建和巩固北部生态屏障。引导工业项目科学布局，新建项目原则上入园管理，推动现有工业项目集中进园。推动绿色钢铁、有色金属、建筑材料等先进材料产业集群向规模化、绿色化、高端化转型发展，打造特色优势产业集群，积极推动中高时延大数据中心项目布局落地。科学布局现代农业产业平台，打造现代农业与食品产业集群。严格控制涉重金属及有毒有害污染物排放的项目建设，新建、改建、扩建涉重金属重点行业的项目应明确重金属污染物总量来源。逐步扩大高污染燃料禁燃区范围。</w:t>
                  </w:r>
                </w:p>
              </w:tc>
              <w:tc>
                <w:tcPr>
                  <w:tcW w:w="1892" w:type="dxa"/>
                  <w:tcBorders>
                    <w:top w:val="single" w:color="auto" w:sz="4" w:space="0"/>
                    <w:left w:val="single" w:color="auto" w:sz="4" w:space="0"/>
                    <w:bottom w:val="single" w:color="auto" w:sz="4" w:space="0"/>
                    <w:right w:val="single" w:color="auto" w:sz="4" w:space="0"/>
                  </w:tcBorders>
                  <w:vAlign w:val="center"/>
                </w:tcPr>
                <w:p w14:paraId="2842B2EC">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所在区域属于北部生态发展区，本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主要从事橡胶</w:t>
                  </w:r>
                  <w:r>
                    <w:rPr>
                      <w:rFonts w:ascii="Times New Roman" w:hAnsi="Times New Roman" w:eastAsia="宋体" w:cs="Times New Roman"/>
                      <w:color w:val="000000" w:themeColor="text1"/>
                      <w:kern w:val="0"/>
                      <w:szCs w:val="21"/>
                      <w14:textFill>
                        <w14:solidFill>
                          <w14:schemeClr w14:val="tx1"/>
                        </w14:solidFill>
                      </w14:textFill>
                    </w:rPr>
                    <w:t>脚轮制造</w:t>
                  </w: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不涉及重金属及有毒有害污染物排放。本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积极配合入园管理，选址于乐昌市产业转移工业园。</w:t>
                  </w:r>
                </w:p>
              </w:tc>
              <w:tc>
                <w:tcPr>
                  <w:tcW w:w="534" w:type="dxa"/>
                  <w:tcBorders>
                    <w:top w:val="single" w:color="auto" w:sz="4" w:space="0"/>
                    <w:left w:val="single" w:color="auto" w:sz="4" w:space="0"/>
                    <w:bottom w:val="single" w:color="auto" w:sz="4" w:space="0"/>
                    <w:right w:val="single" w:color="auto" w:sz="4" w:space="0"/>
                  </w:tcBorders>
                  <w:vAlign w:val="center"/>
                </w:tcPr>
                <w:p w14:paraId="21D6C5ED">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r w14:paraId="4876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1" w:type="dxa"/>
                  <w:tcBorders>
                    <w:top w:val="single" w:color="auto" w:sz="4" w:space="0"/>
                    <w:left w:val="single" w:color="auto" w:sz="4" w:space="0"/>
                    <w:bottom w:val="single" w:color="auto" w:sz="4" w:space="0"/>
                    <w:right w:val="single" w:color="auto" w:sz="4" w:space="0"/>
                  </w:tcBorders>
                  <w:vAlign w:val="center"/>
                </w:tcPr>
                <w:p w14:paraId="44438EA3">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能源资源利用要求。</w:t>
                  </w:r>
                  <w:r>
                    <w:rPr>
                      <w:rFonts w:hint="eastAsia" w:ascii="Times New Roman" w:hAnsi="Times New Roman" w:eastAsia="宋体" w:cs="Times New Roman"/>
                      <w:color w:val="000000" w:themeColor="text1"/>
                      <w:kern w:val="0"/>
                      <w14:textFill>
                        <w14:solidFill>
                          <w14:schemeClr w14:val="tx1"/>
                        </w14:solidFill>
                      </w14:textFill>
                    </w:rPr>
                    <w:t>进一步优化调整能源结构，鼓励使用天然气及可再生能源。县级及以上城市建成区，禁止新建每小时35蒸吨以下燃煤锅炉。原则上不再新建小水电以及除国家和省规划外的风电项目，对不符合生态环境要求的小水电进行清理整改。严格落实东江、北江、韩江流域等重要控制断面生态流量保障目标。推动矿产资源开发合理布局和节约集约利用，提高矿产资源开发项目准入门槛，严格执行开采总量指标管控，加快淘汰落后采选工艺，提高资源产出率。</w:t>
                  </w:r>
                </w:p>
              </w:tc>
              <w:tc>
                <w:tcPr>
                  <w:tcW w:w="1892" w:type="dxa"/>
                  <w:tcBorders>
                    <w:top w:val="single" w:color="auto" w:sz="4" w:space="0"/>
                    <w:left w:val="single" w:color="auto" w:sz="4" w:space="0"/>
                    <w:bottom w:val="single" w:color="auto" w:sz="4" w:space="0"/>
                    <w:right w:val="single" w:color="auto" w:sz="4" w:space="0"/>
                  </w:tcBorders>
                  <w:vAlign w:val="center"/>
                </w:tcPr>
                <w:p w14:paraId="6EC3E0A6">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生产设备使用能源为电能。不涉及燃煤锅炉使用；本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主要从事橡胶</w:t>
                  </w:r>
                  <w:r>
                    <w:rPr>
                      <w:rFonts w:ascii="Times New Roman" w:hAnsi="Times New Roman" w:eastAsia="宋体" w:cs="Times New Roman"/>
                      <w:color w:val="000000" w:themeColor="text1"/>
                      <w:kern w:val="0"/>
                      <w:szCs w:val="21"/>
                      <w14:textFill>
                        <w14:solidFill>
                          <w14:schemeClr w14:val="tx1"/>
                        </w14:solidFill>
                      </w14:textFill>
                    </w:rPr>
                    <w:t>脚轮制造</w:t>
                  </w:r>
                  <w:r>
                    <w:rPr>
                      <w:rFonts w:hint="eastAsia" w:ascii="Times New Roman" w:hAnsi="Times New Roman" w:eastAsia="宋体" w:cs="Times New Roman"/>
                      <w:color w:val="000000" w:themeColor="text1"/>
                      <w:kern w:val="0"/>
                      <w:szCs w:val="21"/>
                      <w14:textFill>
                        <w14:solidFill>
                          <w14:schemeClr w14:val="tx1"/>
                        </w14:solidFill>
                      </w14:textFill>
                    </w:rPr>
                    <w:t>，不属于小水电、风电项目及矿产资源开发项目</w:t>
                  </w:r>
                  <w:r>
                    <w:rPr>
                      <w:rFonts w:ascii="Times New Roman" w:hAnsi="Times New Roman" w:eastAsia="宋体" w:cs="Times New Roman"/>
                      <w:color w:val="000000" w:themeColor="text1"/>
                      <w:kern w:val="0"/>
                      <w:szCs w:val="21"/>
                      <w14:textFill>
                        <w14:solidFill>
                          <w14:schemeClr w14:val="tx1"/>
                        </w14:solidFill>
                      </w14:textFill>
                    </w:rPr>
                    <w:t>。</w:t>
                  </w:r>
                </w:p>
              </w:tc>
              <w:tc>
                <w:tcPr>
                  <w:tcW w:w="534" w:type="dxa"/>
                  <w:tcBorders>
                    <w:top w:val="single" w:color="auto" w:sz="4" w:space="0"/>
                    <w:left w:val="single" w:color="auto" w:sz="4" w:space="0"/>
                    <w:bottom w:val="single" w:color="auto" w:sz="4" w:space="0"/>
                    <w:right w:val="single" w:color="auto" w:sz="4" w:space="0"/>
                  </w:tcBorders>
                  <w:vAlign w:val="center"/>
                </w:tcPr>
                <w:p w14:paraId="6B8E2D8C">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r w14:paraId="2D26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1" w:type="dxa"/>
                  <w:tcBorders>
                    <w:top w:val="single" w:color="auto" w:sz="4" w:space="0"/>
                    <w:left w:val="single" w:color="auto" w:sz="4" w:space="0"/>
                    <w:bottom w:val="single" w:color="auto" w:sz="4" w:space="0"/>
                    <w:right w:val="single" w:color="auto" w:sz="4" w:space="0"/>
                  </w:tcBorders>
                  <w:vAlign w:val="center"/>
                </w:tcPr>
                <w:p w14:paraId="7D92466B">
                  <w:pPr>
                    <w:autoSpaceDE w:val="0"/>
                    <w:autoSpaceDN w:val="0"/>
                    <w:adjustRightInd w:val="0"/>
                    <w:snapToGrid w:val="0"/>
                    <w:ind w:firstLine="420" w:firstLineChars="200"/>
                    <w:rPr>
                      <w:rFonts w:ascii="Times New Roman" w:hAnsi="Times New Roman" w:eastAsia="宋体" w:cs="Times New Roman"/>
                      <w:color w:val="000000" w:themeColor="text1"/>
                      <w:kern w:val="0"/>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污染物排放管控要求。</w:t>
                  </w:r>
                  <w:r>
                    <w:rPr>
                      <w:rFonts w:ascii="Times New Roman" w:hAnsi="Times New Roman" w:eastAsia="宋体" w:cs="Times New Roman"/>
                      <w:color w:val="000000" w:themeColor="text1"/>
                      <w:kern w:val="0"/>
                      <w14:textFill>
                        <w14:solidFill>
                          <w14:schemeClr w14:val="tx1"/>
                        </w14:solidFill>
                      </w14:textFill>
                    </w:rPr>
                    <w:t>在可核查、可监管的基础上，新建项目原则上实施氮氧化物等量替代，挥发性有机物两倍削减量替代。</w:t>
                  </w:r>
                  <w:r>
                    <w:rPr>
                      <w:rFonts w:hint="eastAsia" w:ascii="Times New Roman" w:hAnsi="Times New Roman" w:eastAsia="宋体" w:cs="Times New Roman"/>
                      <w:color w:val="000000" w:themeColor="text1"/>
                      <w:kern w:val="0"/>
                      <w14:textFill>
                        <w14:solidFill>
                          <w14:schemeClr w14:val="tx1"/>
                        </w14:solidFill>
                      </w14:textFill>
                    </w:rPr>
                    <w:t>北江流域严格实行重点重金属污染物减量替代。加快镇级生活污水处理设施及配套管网建设，因地制宜建设农村生活污水处理设施。加强养殖污染防治，推动养殖尾水达标排放或资源化利用。加快推进钢铁、陶瓷、水泥等重点行业提标改造（或“煤改气”改造）。加快矿山改造升级，逐步达到绿色矿山建设要求，凡口铅锌矿及其周边、大宝山矿及其周边等区域严格执行部分重金属水污染物特别排放限值的相关规定。</w:t>
                  </w:r>
                </w:p>
                <w:p w14:paraId="6FA47E7D">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p>
              </w:tc>
              <w:tc>
                <w:tcPr>
                  <w:tcW w:w="1892" w:type="dxa"/>
                  <w:tcBorders>
                    <w:top w:val="single" w:color="auto" w:sz="4" w:space="0"/>
                    <w:left w:val="single" w:color="auto" w:sz="4" w:space="0"/>
                    <w:bottom w:val="single" w:color="auto" w:sz="4" w:space="0"/>
                    <w:right w:val="single" w:color="auto" w:sz="4" w:space="0"/>
                  </w:tcBorders>
                  <w:vAlign w:val="center"/>
                </w:tcPr>
                <w:p w14:paraId="149578EC">
                  <w:pPr>
                    <w:autoSpaceDE w:val="0"/>
                    <w:autoSpaceDN w:val="0"/>
                    <w:adjustRightInd w:val="0"/>
                    <w:snapToGrid w:val="0"/>
                    <w:ind w:firstLine="42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主要从事橡胶</w:t>
                  </w:r>
                  <w:r>
                    <w:rPr>
                      <w:rFonts w:ascii="Times New Roman" w:hAnsi="Times New Roman" w:eastAsia="宋体" w:cs="Times New Roman"/>
                      <w:color w:val="000000" w:themeColor="text1"/>
                      <w:kern w:val="0"/>
                      <w:szCs w:val="21"/>
                      <w14:textFill>
                        <w14:solidFill>
                          <w14:schemeClr w14:val="tx1"/>
                        </w14:solidFill>
                      </w14:textFill>
                    </w:rPr>
                    <w:t>脚轮制造</w:t>
                  </w:r>
                  <w:r>
                    <w:rPr>
                      <w:rFonts w:hint="eastAsia" w:ascii="Times New Roman" w:hAnsi="Times New Roman" w:eastAsia="宋体" w:cs="Times New Roman"/>
                      <w:color w:val="000000" w:themeColor="text1"/>
                      <w:kern w:val="0"/>
                      <w:szCs w:val="21"/>
                      <w14:textFill>
                        <w14:solidFill>
                          <w14:schemeClr w14:val="tx1"/>
                        </w14:solidFill>
                      </w14:textFill>
                    </w:rPr>
                    <w:t>，不属于钢铁、陶瓷、水泥等重点行业，本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生产过</w:t>
                  </w:r>
                  <w:r>
                    <w:rPr>
                      <w:rFonts w:hint="eastAsia" w:ascii="Times New Roman" w:hAnsi="Times New Roman" w:eastAsia="宋体" w:cs="Times New Roman"/>
                      <w:color w:val="000000" w:themeColor="text1"/>
                      <w:kern w:val="0"/>
                      <w:szCs w:val="21"/>
                      <w:lang w:eastAsia="zh-CN"/>
                      <w14:textFill>
                        <w14:solidFill>
                          <w14:schemeClr w14:val="tx1"/>
                        </w14:solidFill>
                      </w14:textFill>
                    </w:rPr>
                    <w:t>程中</w:t>
                  </w:r>
                  <w:r>
                    <w:rPr>
                      <w:rFonts w:hint="eastAsia" w:ascii="Times New Roman" w:hAnsi="Times New Roman" w:eastAsia="宋体" w:cs="Times New Roman"/>
                      <w:color w:val="000000" w:themeColor="text1"/>
                      <w:kern w:val="0"/>
                      <w:szCs w:val="21"/>
                      <w14:textFill>
                        <w14:solidFill>
                          <w14:schemeClr w14:val="tx1"/>
                        </w14:solidFill>
                      </w14:textFill>
                    </w:rPr>
                    <w:t>产生的挥发性有机物实行等量替代</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，项目原环评批复《乐昌市广东启轮金属制品有限公司年产脚轮100万个新建项目》（韶环乐审</w:t>
                  </w:r>
                  <w:r>
                    <w:rPr>
                      <w:rFonts w:hint="default" w:ascii="Times New Roman" w:hAnsi="Times New Roman" w:cs="Times New Roman"/>
                      <w:color w:val="auto"/>
                      <w:sz w:val="21"/>
                      <w:szCs w:val="21"/>
                      <w:highlight w:val="none"/>
                    </w:rPr>
                    <w:t>〔202</w:t>
                  </w:r>
                  <w:r>
                    <w:rPr>
                      <w:rFonts w:hint="eastAsia"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w:t>
                  </w:r>
                  <w:r>
                    <w:rPr>
                      <w:rFonts w:hint="eastAsia" w:ascii="Times New Roman" w:hAnsi="Times New Roman" w:eastAsia="宋体" w:cs="Times New Roman"/>
                      <w:color w:val="000000" w:themeColor="text1"/>
                      <w:kern w:val="0"/>
                      <w:szCs w:val="21"/>
                      <w:lang w:eastAsia="zh-CN"/>
                      <w14:textFill>
                        <w14:solidFill>
                          <w14:schemeClr w14:val="tx1"/>
                        </w14:solidFill>
                      </w14:textFill>
                    </w:rPr>
                    <w:t>22号）及《广东启轮金属制品有限公司年产脚轮100万个新建项目环境影响补充论证报告》中已有1.226t/aVOCs控制指标量，用于替代本次VOCs的量。</w:t>
                  </w: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主要用水为生活用水和生产用水，生产废水为间接冷却更换水，生活污水经三级化粪池处理后汇同间接冷却更换水接入园区污水管网排入园区污水处理厂处理。</w:t>
                  </w:r>
                </w:p>
              </w:tc>
              <w:tc>
                <w:tcPr>
                  <w:tcW w:w="534" w:type="dxa"/>
                  <w:tcBorders>
                    <w:top w:val="single" w:color="auto" w:sz="4" w:space="0"/>
                    <w:left w:val="single" w:color="auto" w:sz="4" w:space="0"/>
                    <w:bottom w:val="single" w:color="auto" w:sz="4" w:space="0"/>
                    <w:right w:val="single" w:color="auto" w:sz="4" w:space="0"/>
                  </w:tcBorders>
                  <w:vAlign w:val="center"/>
                </w:tcPr>
                <w:p w14:paraId="454CC4C9">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r w14:paraId="1D4C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1" w:type="dxa"/>
                  <w:tcBorders>
                    <w:top w:val="single" w:color="auto" w:sz="4" w:space="0"/>
                    <w:left w:val="single" w:color="auto" w:sz="4" w:space="0"/>
                    <w:bottom w:val="single" w:color="auto" w:sz="4" w:space="0"/>
                    <w:right w:val="single" w:color="auto" w:sz="4" w:space="0"/>
                  </w:tcBorders>
                  <w:vAlign w:val="center"/>
                </w:tcPr>
                <w:p w14:paraId="2A747E0A">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环境风险防控要求。</w:t>
                  </w:r>
                  <w:r>
                    <w:rPr>
                      <w:rFonts w:hint="eastAsia" w:ascii="Times New Roman" w:hAnsi="Times New Roman" w:eastAsia="宋体" w:cs="Times New Roman"/>
                      <w:color w:val="000000" w:themeColor="text1"/>
                      <w:kern w:val="0"/>
                      <w:szCs w:val="21"/>
                      <w14:textFill>
                        <w14:solidFill>
                          <w14:schemeClr w14:val="tx1"/>
                        </w14:solidFill>
                      </w14:textFill>
                    </w:rPr>
                    <w:t>强化流域上游生态保护与水源涵养功能，建立完善突发环境事件应急管理体系，保障饮用水安全。加快落实受污染农用地的安全利用与严格管控措施，防范农产品重金属含量超标风险。加强尾矿库的环境风险排查与防范。加强金属矿采选、金属冶炼企业的重金属污染风险防控。强化选矿废水治理设施的升级改造，选矿废水原则上回用不外排。</w:t>
                  </w:r>
                </w:p>
              </w:tc>
              <w:tc>
                <w:tcPr>
                  <w:tcW w:w="1892" w:type="dxa"/>
                  <w:tcBorders>
                    <w:top w:val="single" w:color="auto" w:sz="4" w:space="0"/>
                    <w:left w:val="single" w:color="auto" w:sz="4" w:space="0"/>
                    <w:bottom w:val="single" w:color="auto" w:sz="4" w:space="0"/>
                    <w:right w:val="single" w:color="auto" w:sz="4" w:space="0"/>
                  </w:tcBorders>
                  <w:vAlign w:val="center"/>
                </w:tcPr>
                <w:p w14:paraId="52140446">
                  <w:pPr>
                    <w:autoSpaceDE w:val="0"/>
                    <w:autoSpaceDN w:val="0"/>
                    <w:adjustRightInd w:val="0"/>
                    <w:snapToGrid w:val="0"/>
                    <w:ind w:firstLine="42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主要从事橡胶</w:t>
                  </w:r>
                  <w:r>
                    <w:rPr>
                      <w:rFonts w:ascii="Times New Roman" w:hAnsi="Times New Roman" w:eastAsia="宋体" w:cs="Times New Roman"/>
                      <w:color w:val="000000" w:themeColor="text1"/>
                      <w:kern w:val="0"/>
                      <w:szCs w:val="21"/>
                      <w14:textFill>
                        <w14:solidFill>
                          <w14:schemeClr w14:val="tx1"/>
                        </w14:solidFill>
                      </w14:textFill>
                    </w:rPr>
                    <w:t>脚轮制造</w:t>
                  </w:r>
                  <w:r>
                    <w:rPr>
                      <w:rFonts w:hint="eastAsia" w:ascii="Times New Roman" w:hAnsi="Times New Roman" w:eastAsia="宋体" w:cs="Times New Roman"/>
                      <w:color w:val="000000" w:themeColor="text1"/>
                      <w:kern w:val="0"/>
                      <w:szCs w:val="21"/>
                      <w14:textFill>
                        <w14:solidFill>
                          <w14:schemeClr w14:val="tx1"/>
                        </w14:solidFill>
                      </w14:textFill>
                    </w:rPr>
                    <w:t>，不属于尾矿库、金属矿采选、金属冶炼企业。本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生产过程将完善突发环境事件应急管理体系。</w:t>
                  </w:r>
                </w:p>
              </w:tc>
              <w:tc>
                <w:tcPr>
                  <w:tcW w:w="534" w:type="dxa"/>
                  <w:tcBorders>
                    <w:top w:val="single" w:color="auto" w:sz="4" w:space="0"/>
                    <w:left w:val="single" w:color="auto" w:sz="4" w:space="0"/>
                    <w:bottom w:val="single" w:color="auto" w:sz="4" w:space="0"/>
                    <w:right w:val="single" w:color="auto" w:sz="4" w:space="0"/>
                  </w:tcBorders>
                  <w:vAlign w:val="center"/>
                </w:tcPr>
                <w:p w14:paraId="64F4C592">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r w14:paraId="58FA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27" w:type="dxa"/>
                  <w:gridSpan w:val="3"/>
                  <w:tcBorders>
                    <w:top w:val="single" w:color="auto" w:sz="4" w:space="0"/>
                    <w:left w:val="single" w:color="auto" w:sz="4" w:space="0"/>
                    <w:bottom w:val="single" w:color="auto" w:sz="4" w:space="0"/>
                    <w:right w:val="single" w:color="auto" w:sz="4" w:space="0"/>
                  </w:tcBorders>
                  <w:vAlign w:val="center"/>
                </w:tcPr>
                <w:p w14:paraId="18ADA75D">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环境管控单元总体管控要求</w:t>
                  </w:r>
                </w:p>
              </w:tc>
            </w:tr>
            <w:tr w14:paraId="02B6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1" w:type="dxa"/>
                  <w:tcBorders>
                    <w:top w:val="single" w:color="auto" w:sz="4" w:space="0"/>
                    <w:left w:val="single" w:color="auto" w:sz="4" w:space="0"/>
                    <w:bottom w:val="single" w:color="auto" w:sz="4" w:space="0"/>
                    <w:right w:val="single" w:color="auto" w:sz="4" w:space="0"/>
                  </w:tcBorders>
                  <w:vAlign w:val="center"/>
                </w:tcPr>
                <w:p w14:paraId="155714FD">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重点管控单元要求“以推动产业转型升级、强化污染减排、提升资源利用效率为重点，加快解决资源环境负荷大、局部区域生态环境质量差、生态环境风险高等问题。”</w:t>
                  </w:r>
                </w:p>
                <w:p w14:paraId="48CCF2FE">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省级以上工业园区重点管控单元。依法开展园区规划环评，严格落实规划环评管理要求，开展环境质量跟踪监测，发布环境管理状况公告，制定并实施园区突发环境事件应急预案，定期开展环境安全隐患排查，提升风险防控及应急处置能力。周边1公里范围内涉及生态保护红线、自然保护地、饮用水水源地等生态环境敏感区域的园区，应优化产业布局，控制开发强度，优先引进无污染或轻污染的产业和项目，防止侵占生态空间。纳污水体水质超标的园区，应实施污水深度处理，新建、改建、扩建项目应实行重点污染物排放等量或减量替代。造纸、电镀、印染、鞣革等专业园区或基地应不断提升工艺水平，提高水回用率，逐步削减污染物排放总量；石化园区加快绿色智能升级改造，强化环保投入和管理，构建高效、清洁、低碳、循环的绿色制造体系。</w:t>
                  </w:r>
                </w:p>
                <w:p w14:paraId="7992E63E">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水环境质量超标类重点管控单元。加强山水林田湖草系统治理，开展江河、湖泊、水库、湿地保护与修复，提升流域生态环境承载力。严格控制耗水量大、污染物排放强度高的行业发展，新建、改建、扩建项目实施重点水污染物减量替代。”</w:t>
                  </w:r>
                </w:p>
                <w:p w14:paraId="1397CEEA">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大气环境受体敏感类重点管控单元。严格限制新建钢铁、燃煤燃油火电、石化、储油库等项目，产生和排放有毒有害大气污染物项目，以及使用溶剂型油墨、涂料、清洗剂、胶黏剂等高挥发性有机物原辅材料的项目；鼓励现有该类项目逐步搬迁退出。”</w:t>
                  </w:r>
                </w:p>
              </w:tc>
              <w:tc>
                <w:tcPr>
                  <w:tcW w:w="1892" w:type="dxa"/>
                  <w:tcBorders>
                    <w:top w:val="single" w:color="auto" w:sz="4" w:space="0"/>
                    <w:left w:val="single" w:color="auto" w:sz="4" w:space="0"/>
                    <w:bottom w:val="single" w:color="auto" w:sz="4" w:space="0"/>
                    <w:right w:val="single" w:color="auto" w:sz="4" w:space="0"/>
                  </w:tcBorders>
                  <w:vAlign w:val="center"/>
                </w:tcPr>
                <w:p w14:paraId="41E99A2F">
                  <w:pPr>
                    <w:autoSpaceDE w:val="0"/>
                    <w:autoSpaceDN w:val="0"/>
                    <w:adjustRightInd w:val="0"/>
                    <w:snapToGrid w:val="0"/>
                    <w:ind w:firstLine="42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根据“广东省环境管控单元图”（见附图</w:t>
                  </w:r>
                  <w:r>
                    <w:rPr>
                      <w:rFonts w:ascii="Times New Roman" w:hAnsi="Times New Roman" w:eastAsia="宋体" w:cs="Times New Roman"/>
                      <w:color w:val="000000" w:themeColor="text1"/>
                      <w:kern w:val="0"/>
                      <w:szCs w:val="21"/>
                      <w14:textFill>
                        <w14:solidFill>
                          <w14:schemeClr w14:val="tx1"/>
                        </w14:solidFill>
                      </w14:textFill>
                    </w:rPr>
                    <w:t>5</w:t>
                  </w: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位于重点管控单元，本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位于乐昌市产业转移工业园内，不属于造纸、电镀、印染、鞣革等专业园区，园区已依法开展园区规划环评，制定并实施了园区突发环境事件应急预案；本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不涉及水环境质量超标类重点管控单元；本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位于大气环境受体敏感类重点管控单元，但</w:t>
                  </w:r>
                  <w:r>
                    <w:rPr>
                      <w:rFonts w:ascii="Times New Roman" w:hAnsi="Times New Roman" w:eastAsia="宋体" w:cs="Times New Roman"/>
                      <w:color w:val="000000" w:themeColor="text1"/>
                      <w:kern w:val="0"/>
                      <w:szCs w:val="21"/>
                      <w14:textFill>
                        <w14:solidFill>
                          <w14:schemeClr w14:val="tx1"/>
                        </w14:solidFill>
                      </w14:textFill>
                    </w:rPr>
                    <w:t>不属于</w:t>
                  </w:r>
                  <w:r>
                    <w:rPr>
                      <w:rFonts w:hint="eastAsia" w:ascii="Times New Roman" w:hAnsi="Times New Roman" w:eastAsia="宋体" w:cs="Times New Roman"/>
                      <w:color w:val="000000" w:themeColor="text1"/>
                      <w:kern w:val="0"/>
                      <w:szCs w:val="21"/>
                      <w14:textFill>
                        <w14:solidFill>
                          <w14:schemeClr w14:val="tx1"/>
                        </w14:solidFill>
                      </w14:textFill>
                    </w:rPr>
                    <w:t>钢铁、燃煤燃油火电、石化、储油库等项目，产生和排放有毒有害大气污染物项目；本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使用涂料、清洗剂不属于高挥发性有机物原辅材料的项目。</w:t>
                  </w:r>
                </w:p>
              </w:tc>
              <w:tc>
                <w:tcPr>
                  <w:tcW w:w="534" w:type="dxa"/>
                  <w:tcBorders>
                    <w:top w:val="single" w:color="auto" w:sz="4" w:space="0"/>
                    <w:left w:val="single" w:color="auto" w:sz="4" w:space="0"/>
                    <w:bottom w:val="single" w:color="auto" w:sz="4" w:space="0"/>
                    <w:right w:val="single" w:color="auto" w:sz="4" w:space="0"/>
                  </w:tcBorders>
                  <w:vAlign w:val="center"/>
                </w:tcPr>
                <w:p w14:paraId="39CCD93D">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bl>
          <w:p w14:paraId="3770DF36">
            <w:pPr>
              <w:pStyle w:val="39"/>
              <w:widowControl w:val="0"/>
              <w:autoSpaceDE w:val="0"/>
              <w:autoSpaceDN w:val="0"/>
              <w:adjustRightInd w:val="0"/>
              <w:snapToGrid w:val="0"/>
              <w:spacing w:beforeAutospacing="0" w:afterAutospacing="0" w:line="240" w:lineRule="auto"/>
              <w:jc w:val="center"/>
              <w:rPr>
                <w:rFonts w:hint="default"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表</w:t>
            </w:r>
            <w:r>
              <w:rPr>
                <w:rFonts w:hint="default" w:ascii="Times New Roman" w:hAnsi="Times New Roman"/>
                <w:b/>
                <w:bCs/>
                <w:color w:val="000000" w:themeColor="text1"/>
                <w:sz w:val="21"/>
                <w:szCs w:val="21"/>
                <w14:textFill>
                  <w14:solidFill>
                    <w14:schemeClr w14:val="tx1"/>
                  </w14:solidFill>
                </w14:textFill>
              </w:rPr>
              <w:t>1-2</w:t>
            </w:r>
            <w:r>
              <w:rPr>
                <w:rFonts w:ascii="Times New Roman" w:hAnsi="Times New Roman"/>
                <w:b/>
                <w:bCs/>
                <w:color w:val="000000" w:themeColor="text1"/>
                <w:sz w:val="21"/>
                <w:szCs w:val="21"/>
                <w14:textFill>
                  <w14:solidFill>
                    <w14:schemeClr w14:val="tx1"/>
                  </w14:solidFill>
                </w14:textFill>
              </w:rPr>
              <w:t>与《韶关市人民政府关于印发韶关市</w:t>
            </w:r>
            <w:r>
              <w:rPr>
                <w:rFonts w:hint="default" w:ascii="Times New Roman" w:hAnsi="Times New Roman"/>
                <w:b/>
                <w:bCs/>
                <w:color w:val="000000" w:themeColor="text1"/>
                <w:sz w:val="21"/>
                <w:szCs w:val="21"/>
                <w14:textFill>
                  <w14:solidFill>
                    <w14:schemeClr w14:val="tx1"/>
                  </w14:solidFill>
                </w14:textFill>
              </w:rPr>
              <w:t>“</w:t>
            </w:r>
            <w:r>
              <w:rPr>
                <w:rFonts w:ascii="Times New Roman" w:hAnsi="Times New Roman"/>
                <w:b/>
                <w:bCs/>
                <w:color w:val="000000" w:themeColor="text1"/>
                <w:sz w:val="21"/>
                <w:szCs w:val="21"/>
                <w14:textFill>
                  <w14:solidFill>
                    <w14:schemeClr w14:val="tx1"/>
                  </w14:solidFill>
                </w14:textFill>
              </w:rPr>
              <w:t>三线一单</w:t>
            </w:r>
            <w:r>
              <w:rPr>
                <w:rFonts w:hint="default" w:ascii="Times New Roman" w:hAnsi="Times New Roman"/>
                <w:b/>
                <w:bCs/>
                <w:color w:val="000000" w:themeColor="text1"/>
                <w:sz w:val="21"/>
                <w:szCs w:val="21"/>
                <w14:textFill>
                  <w14:solidFill>
                    <w14:schemeClr w14:val="tx1"/>
                  </w14:solidFill>
                </w14:textFill>
              </w:rPr>
              <w:t>”</w:t>
            </w:r>
            <w:r>
              <w:rPr>
                <w:rFonts w:ascii="Times New Roman" w:hAnsi="Times New Roman"/>
                <w:b/>
                <w:bCs/>
                <w:color w:val="000000" w:themeColor="text1"/>
                <w:sz w:val="21"/>
                <w:szCs w:val="21"/>
                <w14:textFill>
                  <w14:solidFill>
                    <w14:schemeClr w14:val="tx1"/>
                  </w14:solidFill>
                </w14:textFill>
              </w:rPr>
              <w:t>生态环境分区管控方案的通知》（韶府〔</w:t>
            </w:r>
            <w:r>
              <w:rPr>
                <w:rFonts w:hint="default" w:ascii="Times New Roman" w:hAnsi="Times New Roman"/>
                <w:b/>
                <w:bCs/>
                <w:color w:val="000000" w:themeColor="text1"/>
                <w:sz w:val="21"/>
                <w:szCs w:val="21"/>
                <w14:textFill>
                  <w14:solidFill>
                    <w14:schemeClr w14:val="tx1"/>
                  </w14:solidFill>
                </w14:textFill>
              </w:rPr>
              <w:t>2021</w:t>
            </w:r>
            <w:r>
              <w:rPr>
                <w:rFonts w:ascii="Times New Roman" w:hAnsi="Times New Roman"/>
                <w:b/>
                <w:bCs/>
                <w:color w:val="000000" w:themeColor="text1"/>
                <w:sz w:val="21"/>
                <w:szCs w:val="21"/>
                <w14:textFill>
                  <w14:solidFill>
                    <w14:schemeClr w14:val="tx1"/>
                  </w14:solidFill>
                </w14:textFill>
              </w:rPr>
              <w:t>〕</w:t>
            </w:r>
            <w:r>
              <w:rPr>
                <w:rFonts w:hint="default" w:ascii="Times New Roman" w:hAnsi="Times New Roman"/>
                <w:b/>
                <w:bCs/>
                <w:color w:val="000000" w:themeColor="text1"/>
                <w:sz w:val="21"/>
                <w:szCs w:val="21"/>
                <w14:textFill>
                  <w14:solidFill>
                    <w14:schemeClr w14:val="tx1"/>
                  </w14:solidFill>
                </w14:textFill>
              </w:rPr>
              <w:t>10</w:t>
            </w:r>
            <w:r>
              <w:rPr>
                <w:rFonts w:ascii="Times New Roman" w:hAnsi="Times New Roman"/>
                <w:b/>
                <w:bCs/>
                <w:color w:val="000000" w:themeColor="text1"/>
                <w:sz w:val="21"/>
                <w:szCs w:val="21"/>
                <w14:textFill>
                  <w14:solidFill>
                    <w14:schemeClr w14:val="tx1"/>
                  </w14:solidFill>
                </w14:textFill>
              </w:rPr>
              <w:t>号）的相符性分析</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6"/>
              <w:gridCol w:w="2743"/>
              <w:gridCol w:w="593"/>
            </w:tblGrid>
            <w:tr w14:paraId="04F8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80" w:type="dxa"/>
                  <w:tcBorders>
                    <w:top w:val="single" w:color="auto" w:sz="4" w:space="0"/>
                    <w:left w:val="single" w:color="auto" w:sz="4" w:space="0"/>
                    <w:bottom w:val="single" w:color="auto" w:sz="4" w:space="0"/>
                    <w:right w:val="single" w:color="auto" w:sz="4" w:space="0"/>
                  </w:tcBorders>
                  <w:vAlign w:val="center"/>
                </w:tcPr>
                <w:p w14:paraId="002FF476">
                  <w:pPr>
                    <w:pStyle w:val="66"/>
                    <w:rPr>
                      <w:color w:val="000000" w:themeColor="text1"/>
                      <w:kern w:val="0"/>
                      <w14:textFill>
                        <w14:solidFill>
                          <w14:schemeClr w14:val="tx1"/>
                        </w14:solidFill>
                      </w14:textFill>
                    </w:rPr>
                  </w:pPr>
                  <w:r>
                    <w:rPr>
                      <w:color w:val="000000" w:themeColor="text1"/>
                      <w:kern w:val="0"/>
                      <w14:textFill>
                        <w14:solidFill>
                          <w14:schemeClr w14:val="tx1"/>
                        </w14:solidFill>
                      </w14:textFill>
                    </w:rPr>
                    <w:t>政策要求</w:t>
                  </w:r>
                </w:p>
              </w:tc>
              <w:tc>
                <w:tcPr>
                  <w:tcW w:w="2652" w:type="dxa"/>
                  <w:tcBorders>
                    <w:top w:val="single" w:color="auto" w:sz="4" w:space="0"/>
                    <w:left w:val="single" w:color="auto" w:sz="4" w:space="0"/>
                    <w:bottom w:val="single" w:color="auto" w:sz="4" w:space="0"/>
                    <w:right w:val="single" w:color="auto" w:sz="4" w:space="0"/>
                  </w:tcBorders>
                  <w:vAlign w:val="center"/>
                </w:tcPr>
                <w:p w14:paraId="4AC2152E">
                  <w:pPr>
                    <w:pStyle w:val="66"/>
                    <w:rPr>
                      <w:color w:val="000000" w:themeColor="text1"/>
                      <w:kern w:val="0"/>
                      <w14:textFill>
                        <w14:solidFill>
                          <w14:schemeClr w14:val="tx1"/>
                        </w14:solidFill>
                      </w14:textFill>
                    </w:rPr>
                  </w:pPr>
                  <w:r>
                    <w:rPr>
                      <w:color w:val="000000" w:themeColor="text1"/>
                      <w:kern w:val="0"/>
                      <w14:textFill>
                        <w14:solidFill>
                          <w14:schemeClr w14:val="tx1"/>
                        </w14:solidFill>
                      </w14:textFill>
                    </w:rPr>
                    <w:t>项目情况</w:t>
                  </w:r>
                </w:p>
              </w:tc>
              <w:tc>
                <w:tcPr>
                  <w:tcW w:w="573" w:type="dxa"/>
                  <w:tcBorders>
                    <w:top w:val="single" w:color="auto" w:sz="4" w:space="0"/>
                    <w:left w:val="single" w:color="auto" w:sz="4" w:space="0"/>
                    <w:bottom w:val="single" w:color="auto" w:sz="4" w:space="0"/>
                    <w:right w:val="single" w:color="auto" w:sz="4" w:space="0"/>
                  </w:tcBorders>
                  <w:vAlign w:val="center"/>
                </w:tcPr>
                <w:p w14:paraId="12B3560A">
                  <w:pPr>
                    <w:pStyle w:val="66"/>
                    <w:rPr>
                      <w:color w:val="000000" w:themeColor="text1"/>
                      <w:kern w:val="0"/>
                      <w14:textFill>
                        <w14:solidFill>
                          <w14:schemeClr w14:val="tx1"/>
                        </w14:solidFill>
                      </w14:textFill>
                    </w:rPr>
                  </w:pPr>
                  <w:r>
                    <w:rPr>
                      <w:color w:val="000000" w:themeColor="text1"/>
                      <w:kern w:val="0"/>
                      <w14:textFill>
                        <w14:solidFill>
                          <w14:schemeClr w14:val="tx1"/>
                        </w14:solidFill>
                      </w14:textFill>
                    </w:rPr>
                    <w:t>相符性</w:t>
                  </w:r>
                </w:p>
              </w:tc>
            </w:tr>
            <w:tr w14:paraId="733B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80" w:type="dxa"/>
                  <w:tcBorders>
                    <w:top w:val="single" w:color="auto" w:sz="4" w:space="0"/>
                    <w:left w:val="single" w:color="auto" w:sz="4" w:space="0"/>
                    <w:bottom w:val="single" w:color="auto" w:sz="4" w:space="0"/>
                    <w:right w:val="single" w:color="auto" w:sz="4" w:space="0"/>
                  </w:tcBorders>
                  <w:vAlign w:val="center"/>
                </w:tcPr>
                <w:p w14:paraId="4AA20AA3">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（1）区域布局管控要求</w:t>
                  </w:r>
                </w:p>
                <w:p w14:paraId="457EE29C">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1-1.【产业/鼓励引导类】重点发展现代轻工产业（消费电子等）、先进装备制造业等产业，优先引进无污染物或轻污染项目。</w:t>
                  </w:r>
                </w:p>
                <w:p w14:paraId="2FC85AE2">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1-2.【产业/禁止类】园区禁止引入专业电镀、化学制浆、鞣革等水污染物排放量大或排放一类污染物、持久性有机污染物的项目</w:t>
                  </w:r>
                </w:p>
                <w:p w14:paraId="34534C45">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1-3.【产业/限制类】严格限制不符合园区发展定位的项目入驻</w:t>
                  </w:r>
                </w:p>
                <w:p w14:paraId="7AA1C76F">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1-4.【产业/综合类】居民区、学校等环境敏感点邻近地块优先布局废气排放量小、工业噪声影响小的产业。</w:t>
                  </w:r>
                </w:p>
                <w:p w14:paraId="2B6CDB65">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p>
              </w:tc>
              <w:tc>
                <w:tcPr>
                  <w:tcW w:w="2652" w:type="dxa"/>
                  <w:tcBorders>
                    <w:top w:val="single" w:color="auto" w:sz="4" w:space="0"/>
                    <w:left w:val="single" w:color="auto" w:sz="4" w:space="0"/>
                    <w:bottom w:val="single" w:color="auto" w:sz="4" w:space="0"/>
                    <w:right w:val="single" w:color="auto" w:sz="4" w:space="0"/>
                  </w:tcBorders>
                  <w:vAlign w:val="center"/>
                </w:tcPr>
                <w:p w14:paraId="0A298517">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位于乐昌经济开发区重点管控单元，环境管控单元编码：ZH440</w:t>
                  </w:r>
                  <w:r>
                    <w:rPr>
                      <w:rFonts w:ascii="Times New Roman" w:hAnsi="Times New Roman" w:eastAsia="宋体" w:cs="Times New Roman"/>
                      <w:color w:val="000000" w:themeColor="text1"/>
                      <w:kern w:val="0"/>
                      <w:szCs w:val="21"/>
                      <w14:textFill>
                        <w14:solidFill>
                          <w14:schemeClr w14:val="tx1"/>
                        </w14:solidFill>
                      </w14:textFill>
                    </w:rPr>
                    <w:t>28120003。</w:t>
                  </w:r>
                  <w:r>
                    <w:rPr>
                      <w:rFonts w:hint="eastAsia" w:ascii="Times New Roman" w:hAnsi="Times New Roman" w:eastAsia="宋体" w:cs="Times New Roman"/>
                      <w:color w:val="000000" w:themeColor="text1"/>
                      <w:kern w:val="0"/>
                      <w:szCs w:val="21"/>
                      <w14:textFill>
                        <w14:solidFill>
                          <w14:schemeClr w14:val="tx1"/>
                        </w14:solidFill>
                      </w14:textFill>
                    </w:rPr>
                    <w:t>（</w:t>
                  </w:r>
                  <w:r>
                    <w:rPr>
                      <w:rFonts w:ascii="Times New Roman" w:hAnsi="Times New Roman" w:eastAsia="宋体" w:cs="Times New Roman"/>
                      <w:color w:val="000000" w:themeColor="text1"/>
                      <w:kern w:val="0"/>
                      <w:szCs w:val="21"/>
                      <w14:textFill>
                        <w14:solidFill>
                          <w14:schemeClr w14:val="tx1"/>
                        </w14:solidFill>
                      </w14:textFill>
                    </w:rPr>
                    <w:t>详见附图5</w:t>
                  </w:r>
                  <w:r>
                    <w:rPr>
                      <w:rFonts w:hint="eastAsia" w:ascii="Times New Roman" w:hAnsi="Times New Roman" w:eastAsia="宋体" w:cs="Times New Roman"/>
                      <w:color w:val="000000" w:themeColor="text1"/>
                      <w:kern w:val="0"/>
                      <w:szCs w:val="21"/>
                      <w14:textFill>
                        <w14:solidFill>
                          <w14:schemeClr w14:val="tx1"/>
                        </w14:solidFill>
                      </w14:textFill>
                    </w:rPr>
                    <w:t>）。</w:t>
                  </w:r>
                </w:p>
                <w:p w14:paraId="75E37D32">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1-1</w:t>
                  </w: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主要从事脚轮制造</w:t>
                  </w:r>
                  <w:r>
                    <w:rPr>
                      <w:rFonts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ascii="Times New Roman" w:hAnsi="Times New Roman" w:eastAsia="宋体" w:cs="Times New Roman"/>
                      <w:color w:val="000000" w:themeColor="text1"/>
                      <w:kern w:val="0"/>
                      <w:szCs w:val="21"/>
                      <w14:textFill>
                        <w14:solidFill>
                          <w14:schemeClr w14:val="tx1"/>
                        </w14:solidFill>
                      </w14:textFill>
                    </w:rPr>
                    <w:t>产生的制孔工序产生的颗粒物经集气罩收集后通过布袋除尘器处理后汇同经布袋除尘器处理后的抛丸废气由排气筒</w:t>
                  </w:r>
                  <w:r>
                    <w:rPr>
                      <w:rFonts w:hint="eastAsia" w:ascii="Times New Roman" w:hAnsi="Times New Roman" w:eastAsia="宋体" w:cs="Times New Roman"/>
                      <w:color w:val="000000" w:themeColor="text1"/>
                      <w:kern w:val="0"/>
                      <w:szCs w:val="21"/>
                      <w14:textFill>
                        <w14:solidFill>
                          <w14:schemeClr w14:val="tx1"/>
                        </w14:solidFill>
                      </w14:textFill>
                    </w:rPr>
                    <w:t>D</w:t>
                  </w:r>
                  <w:r>
                    <w:rPr>
                      <w:rFonts w:ascii="Times New Roman" w:hAnsi="Times New Roman" w:eastAsia="宋体" w:cs="Times New Roman"/>
                      <w:color w:val="000000" w:themeColor="text1"/>
                      <w:kern w:val="0"/>
                      <w:szCs w:val="21"/>
                      <w14:textFill>
                        <w14:solidFill>
                          <w14:schemeClr w14:val="tx1"/>
                        </w14:solidFill>
                      </w14:textFill>
                    </w:rPr>
                    <w:t>A004排放，可达标排放；喷漆产生的废气经干式过滤棉预处理后汇同刷胶、浇注、烘干、脱模工序产生的</w:t>
                  </w:r>
                  <w:r>
                    <w:rPr>
                      <w:rFonts w:hint="eastAsia" w:ascii="Times New Roman" w:hAnsi="Times New Roman" w:eastAsia="宋体" w:cs="Times New Roman"/>
                      <w:color w:val="000000" w:themeColor="text1"/>
                      <w:kern w:val="0"/>
                      <w:szCs w:val="21"/>
                      <w14:textFill>
                        <w14:solidFill>
                          <w14:schemeClr w14:val="tx1"/>
                        </w14:solidFill>
                      </w14:textFill>
                    </w:rPr>
                    <w:t>有机</w:t>
                  </w:r>
                  <w:r>
                    <w:rPr>
                      <w:rFonts w:ascii="Times New Roman" w:hAnsi="Times New Roman" w:eastAsia="宋体" w:cs="Times New Roman"/>
                      <w:color w:val="000000" w:themeColor="text1"/>
                      <w:kern w:val="0"/>
                      <w:szCs w:val="21"/>
                      <w14:textFill>
                        <w14:solidFill>
                          <w14:schemeClr w14:val="tx1"/>
                        </w14:solidFill>
                      </w14:textFill>
                    </w:rPr>
                    <w:t>废气经过</w:t>
                  </w: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二级活性炭</w:t>
                  </w:r>
                  <w:r>
                    <w:rPr>
                      <w:rFonts w:ascii="Times New Roman" w:hAnsi="Times New Roman" w:eastAsia="宋体" w:cs="Times New Roman"/>
                      <w:color w:val="000000" w:themeColor="text1"/>
                      <w:kern w:val="0"/>
                      <w:szCs w:val="21"/>
                      <w14:textFill>
                        <w14:solidFill>
                          <w14:schemeClr w14:val="tx1"/>
                        </w14:solidFill>
                      </w14:textFill>
                    </w:rPr>
                    <w:t>处理装置处理后由</w:t>
                  </w:r>
                  <w:r>
                    <w:rPr>
                      <w:rFonts w:hint="eastAsia" w:ascii="Times New Roman" w:hAnsi="Times New Roman" w:eastAsia="宋体" w:cs="Times New Roman"/>
                      <w:color w:val="000000" w:themeColor="text1"/>
                      <w:kern w:val="0"/>
                      <w:szCs w:val="21"/>
                      <w14:textFill>
                        <w14:solidFill>
                          <w14:schemeClr w14:val="tx1"/>
                        </w14:solidFill>
                      </w14:textFill>
                    </w:rPr>
                    <w:t>1</w:t>
                  </w:r>
                  <w:r>
                    <w:rPr>
                      <w:rFonts w:ascii="Times New Roman" w:hAnsi="Times New Roman" w:eastAsia="宋体" w:cs="Times New Roman"/>
                      <w:color w:val="000000" w:themeColor="text1"/>
                      <w:kern w:val="0"/>
                      <w:szCs w:val="21"/>
                      <w14:textFill>
                        <w14:solidFill>
                          <w14:schemeClr w14:val="tx1"/>
                        </w14:solidFill>
                      </w14:textFill>
                    </w:rPr>
                    <w:t>5m高排气筒</w:t>
                  </w:r>
                  <w:r>
                    <w:rPr>
                      <w:rFonts w:hint="eastAsia" w:ascii="Times New Roman" w:hAnsi="Times New Roman" w:eastAsia="宋体" w:cs="Times New Roman"/>
                      <w:color w:val="000000" w:themeColor="text1"/>
                      <w:kern w:val="0"/>
                      <w:szCs w:val="21"/>
                      <w14:textFill>
                        <w14:solidFill>
                          <w14:schemeClr w14:val="tx1"/>
                        </w14:solidFill>
                      </w14:textFill>
                    </w:rPr>
                    <w:t>D</w:t>
                  </w:r>
                  <w:r>
                    <w:rPr>
                      <w:rFonts w:ascii="Times New Roman" w:hAnsi="Times New Roman" w:eastAsia="宋体" w:cs="Times New Roman"/>
                      <w:color w:val="000000" w:themeColor="text1"/>
                      <w:kern w:val="0"/>
                      <w:szCs w:val="21"/>
                      <w14:textFill>
                        <w14:solidFill>
                          <w14:schemeClr w14:val="tx1"/>
                        </w14:solidFill>
                      </w14:textFill>
                    </w:rPr>
                    <w:t>A005排放，</w:t>
                  </w:r>
                  <w:r>
                    <w:rPr>
                      <w:rFonts w:hint="eastAsia" w:ascii="Times New Roman" w:hAnsi="Times New Roman" w:eastAsia="宋体" w:cs="Times New Roman"/>
                      <w:color w:val="000000" w:themeColor="text1"/>
                      <w:kern w:val="0"/>
                      <w:szCs w:val="21"/>
                      <w14:textFill>
                        <w14:solidFill>
                          <w14:schemeClr w14:val="tx1"/>
                        </w14:solidFill>
                      </w14:textFill>
                    </w:rPr>
                    <w:t>可</w:t>
                  </w:r>
                  <w:r>
                    <w:rPr>
                      <w:rFonts w:ascii="Times New Roman" w:hAnsi="Times New Roman" w:eastAsia="宋体" w:cs="Times New Roman"/>
                      <w:color w:val="000000" w:themeColor="text1"/>
                      <w:kern w:val="0"/>
                      <w:szCs w:val="21"/>
                      <w14:textFill>
                        <w14:solidFill>
                          <w14:schemeClr w14:val="tx1"/>
                        </w14:solidFill>
                      </w14:textFill>
                    </w:rPr>
                    <w:t>达标排放，对周围环境影响不大。</w:t>
                  </w:r>
                </w:p>
                <w:p w14:paraId="3346F00F">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1-2本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ascii="Times New Roman" w:hAnsi="Times New Roman" w:eastAsia="宋体" w:cs="Times New Roman"/>
                      <w:color w:val="000000" w:themeColor="text1"/>
                      <w:kern w:val="0"/>
                      <w:szCs w:val="21"/>
                      <w14:textFill>
                        <w14:solidFill>
                          <w14:schemeClr w14:val="tx1"/>
                        </w14:solidFill>
                      </w14:textFill>
                    </w:rPr>
                    <w:t>主要从事橡胶脚轮制造，</w:t>
                  </w:r>
                  <w:r>
                    <w:rPr>
                      <w:rFonts w:hint="eastAsia" w:ascii="Times New Roman" w:hAnsi="Times New Roman" w:eastAsia="宋体" w:cs="Times New Roman"/>
                      <w:color w:val="000000" w:themeColor="text1"/>
                      <w:kern w:val="0"/>
                      <w:szCs w:val="21"/>
                      <w14:textFill>
                        <w14:solidFill>
                          <w14:schemeClr w14:val="tx1"/>
                        </w14:solidFill>
                      </w14:textFill>
                    </w:rPr>
                    <w:t>不涉及专业电镀、化学制浆、鞣革等水污染物排放量大或排放一类污染物、持久性有机污染物的项目。</w:t>
                  </w:r>
                </w:p>
                <w:p w14:paraId="437443E5">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1</w:t>
                  </w:r>
                  <w:r>
                    <w:rPr>
                      <w:rFonts w:ascii="Times New Roman" w:hAnsi="Times New Roman" w:eastAsia="宋体" w:cs="Times New Roman"/>
                      <w:color w:val="000000" w:themeColor="text1"/>
                      <w:kern w:val="0"/>
                      <w:szCs w:val="21"/>
                      <w14:textFill>
                        <w14:solidFill>
                          <w14:schemeClr w14:val="tx1"/>
                        </w14:solidFill>
                      </w14:textFill>
                    </w:rPr>
                    <w:t>-3本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满足国家和地方相关产业政策，不排放一类污染物和有毒有害物质，不向河流排放含汞、砷、镉、铬、铅等重金属污染物和持久性有机污染物，不属于园区禁止项目，符合园区准入条件。</w:t>
                  </w:r>
                </w:p>
                <w:p w14:paraId="5E5D76DD">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1</w:t>
                  </w:r>
                  <w:r>
                    <w:rPr>
                      <w:rFonts w:ascii="Times New Roman" w:hAnsi="Times New Roman" w:eastAsia="宋体" w:cs="Times New Roman"/>
                      <w:color w:val="000000" w:themeColor="text1"/>
                      <w:kern w:val="0"/>
                      <w:szCs w:val="21"/>
                      <w14:textFill>
                        <w14:solidFill>
                          <w14:schemeClr w14:val="tx1"/>
                        </w14:solidFill>
                      </w14:textFill>
                    </w:rPr>
                    <w:t>-</w:t>
                  </w:r>
                  <w:r>
                    <w:rPr>
                      <w:rFonts w:hint="eastAsia" w:ascii="Times New Roman" w:hAnsi="Times New Roman" w:eastAsia="宋体" w:cs="Times New Roman"/>
                      <w:color w:val="000000" w:themeColor="text1"/>
                      <w:kern w:val="0"/>
                      <w:szCs w:val="21"/>
                      <w14:textFill>
                        <w14:solidFill>
                          <w14:schemeClr w14:val="tx1"/>
                        </w14:solidFill>
                      </w14:textFill>
                    </w:rPr>
                    <w:t>4：本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位于广东省韶关市乐昌市乐昌产业转移工业园环园东路，属于广东乐昌经济开发区范围，</w:t>
                  </w:r>
                  <w:r>
                    <w:rPr>
                      <w:rFonts w:ascii="Times New Roman" w:hAnsi="Times New Roman" w:eastAsia="宋体" w:cs="Times New Roman"/>
                      <w:color w:val="000000" w:themeColor="text1"/>
                      <w:kern w:val="0"/>
                      <w:szCs w:val="21"/>
                      <w14:textFill>
                        <w14:solidFill>
                          <w14:schemeClr w14:val="tx1"/>
                        </w14:solidFill>
                      </w14:textFill>
                    </w:rPr>
                    <w:t>王屋村距离厂界</w:t>
                  </w:r>
                  <w:r>
                    <w:rPr>
                      <w:rFonts w:hint="eastAsia" w:ascii="Times New Roman" w:hAnsi="Times New Roman" w:eastAsia="宋体" w:cs="Times New Roman"/>
                      <w:color w:val="000000" w:themeColor="text1"/>
                      <w:kern w:val="0"/>
                      <w:szCs w:val="21"/>
                      <w14:textFill>
                        <w14:solidFill>
                          <w14:schemeClr w14:val="tx1"/>
                        </w14:solidFill>
                      </w14:textFill>
                    </w:rPr>
                    <w:t>1</w:t>
                  </w:r>
                  <w:r>
                    <w:rPr>
                      <w:rFonts w:ascii="Times New Roman" w:hAnsi="Times New Roman" w:eastAsia="宋体" w:cs="Times New Roman"/>
                      <w:color w:val="000000" w:themeColor="text1"/>
                      <w:kern w:val="0"/>
                      <w:szCs w:val="21"/>
                      <w14:textFill>
                        <w14:solidFill>
                          <w14:schemeClr w14:val="tx1"/>
                        </w14:solidFill>
                      </w14:textFill>
                    </w:rPr>
                    <w:t>20米。</w:t>
                  </w:r>
                </w:p>
              </w:tc>
              <w:tc>
                <w:tcPr>
                  <w:tcW w:w="573" w:type="dxa"/>
                  <w:tcBorders>
                    <w:top w:val="single" w:color="auto" w:sz="4" w:space="0"/>
                    <w:left w:val="single" w:color="auto" w:sz="4" w:space="0"/>
                    <w:bottom w:val="single" w:color="auto" w:sz="4" w:space="0"/>
                    <w:right w:val="single" w:color="auto" w:sz="4" w:space="0"/>
                  </w:tcBorders>
                  <w:vAlign w:val="center"/>
                </w:tcPr>
                <w:p w14:paraId="42A5F1D9">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r w14:paraId="23FB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80" w:type="dxa"/>
                  <w:tcBorders>
                    <w:top w:val="single" w:color="auto" w:sz="4" w:space="0"/>
                    <w:left w:val="single" w:color="auto" w:sz="4" w:space="0"/>
                    <w:bottom w:val="single" w:color="auto" w:sz="4" w:space="0"/>
                    <w:right w:val="single" w:color="auto" w:sz="4" w:space="0"/>
                  </w:tcBorders>
                  <w:vAlign w:val="center"/>
                </w:tcPr>
                <w:p w14:paraId="5CC4578B">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（2）能源资源利用要求</w:t>
                  </w:r>
                </w:p>
                <w:p w14:paraId="735F5552">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2-1.【能源/鼓励引导类】园区内能源结构应以电能、燃气等清洁能源为主</w:t>
                  </w:r>
                </w:p>
                <w:p w14:paraId="2B592539">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2-2.【水资源/综合类】提高园区水资源利用效率，加快中水回用系统建设。</w:t>
                  </w:r>
                </w:p>
                <w:p w14:paraId="15F5CE0E">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2-3 【其他/综合类】有行业清洁生产标准的新引进项目清洁生产水平须达到本行业国内先进水平。</w:t>
                  </w:r>
                </w:p>
              </w:tc>
              <w:tc>
                <w:tcPr>
                  <w:tcW w:w="2652" w:type="dxa"/>
                  <w:tcBorders>
                    <w:top w:val="single" w:color="auto" w:sz="4" w:space="0"/>
                    <w:left w:val="single" w:color="auto" w:sz="4" w:space="0"/>
                    <w:bottom w:val="single" w:color="auto" w:sz="4" w:space="0"/>
                    <w:right w:val="single" w:color="auto" w:sz="4" w:space="0"/>
                  </w:tcBorders>
                  <w:vAlign w:val="center"/>
                </w:tcPr>
                <w:p w14:paraId="11EEBA78">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2</w:t>
                  </w:r>
                  <w:r>
                    <w:rPr>
                      <w:rFonts w:ascii="Times New Roman" w:hAnsi="Times New Roman" w:eastAsia="宋体" w:cs="Times New Roman"/>
                      <w:color w:val="000000" w:themeColor="text1"/>
                      <w:kern w:val="0"/>
                      <w:szCs w:val="21"/>
                      <w14:textFill>
                        <w14:solidFill>
                          <w14:schemeClr w14:val="tx1"/>
                        </w14:solidFill>
                      </w14:textFill>
                    </w:rPr>
                    <w:t>-</w:t>
                  </w:r>
                  <w:r>
                    <w:rPr>
                      <w:rFonts w:hint="eastAsia" w:ascii="Times New Roman" w:hAnsi="Times New Roman" w:eastAsia="宋体" w:cs="Times New Roman"/>
                      <w:color w:val="000000" w:themeColor="text1"/>
                      <w:kern w:val="0"/>
                      <w:szCs w:val="21"/>
                      <w14:textFill>
                        <w14:solidFill>
                          <w14:schemeClr w14:val="tx1"/>
                        </w14:solidFill>
                      </w14:textFill>
                    </w:rPr>
                    <w:t>1：本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生产过程中能耗为电能，属于清洁能源。</w:t>
                  </w:r>
                </w:p>
                <w:p w14:paraId="0E7436BC">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2</w:t>
                  </w:r>
                  <w:r>
                    <w:rPr>
                      <w:rFonts w:ascii="Times New Roman" w:hAnsi="Times New Roman" w:eastAsia="宋体" w:cs="Times New Roman"/>
                      <w:color w:val="000000" w:themeColor="text1"/>
                      <w:kern w:val="0"/>
                      <w:szCs w:val="21"/>
                      <w14:textFill>
                        <w14:solidFill>
                          <w14:schemeClr w14:val="tx1"/>
                        </w14:solidFill>
                      </w14:textFill>
                    </w:rPr>
                    <w:t>-</w:t>
                  </w:r>
                  <w:r>
                    <w:rPr>
                      <w:rFonts w:hint="eastAsia" w:ascii="Times New Roman" w:hAnsi="Times New Roman" w:eastAsia="宋体" w:cs="Times New Roman"/>
                      <w:color w:val="000000" w:themeColor="text1"/>
                      <w:kern w:val="0"/>
                      <w:szCs w:val="21"/>
                      <w14:textFill>
                        <w14:solidFill>
                          <w14:schemeClr w14:val="tx1"/>
                        </w14:solidFill>
                      </w14:textFill>
                    </w:rPr>
                    <w:t>2：本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水资源利用效率高，用水量少。</w:t>
                  </w:r>
                </w:p>
                <w:p w14:paraId="1B64730F">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2-3：本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无行业清洁生产标准</w:t>
                  </w:r>
                  <w:r>
                    <w:rPr>
                      <w:rFonts w:ascii="Times New Roman" w:hAnsi="Times New Roman" w:eastAsia="宋体" w:cs="Times New Roman"/>
                      <w:color w:val="000000" w:themeColor="text1"/>
                      <w:kern w:val="0"/>
                      <w:szCs w:val="21"/>
                      <w14:textFill>
                        <w14:solidFill>
                          <w14:schemeClr w14:val="tx1"/>
                        </w14:solidFill>
                      </w14:textFill>
                    </w:rPr>
                    <w:t>。</w:t>
                  </w:r>
                </w:p>
              </w:tc>
              <w:tc>
                <w:tcPr>
                  <w:tcW w:w="573" w:type="dxa"/>
                  <w:tcBorders>
                    <w:top w:val="single" w:color="auto" w:sz="4" w:space="0"/>
                    <w:left w:val="single" w:color="auto" w:sz="4" w:space="0"/>
                    <w:bottom w:val="single" w:color="auto" w:sz="4" w:space="0"/>
                    <w:right w:val="single" w:color="auto" w:sz="4" w:space="0"/>
                  </w:tcBorders>
                  <w:vAlign w:val="center"/>
                </w:tcPr>
                <w:p w14:paraId="779ED918">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r w14:paraId="4E20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80" w:type="dxa"/>
                  <w:tcBorders>
                    <w:top w:val="single" w:color="auto" w:sz="4" w:space="0"/>
                    <w:left w:val="single" w:color="auto" w:sz="4" w:space="0"/>
                    <w:bottom w:val="single" w:color="auto" w:sz="4" w:space="0"/>
                    <w:right w:val="single" w:color="auto" w:sz="4" w:space="0"/>
                  </w:tcBorders>
                  <w:vAlign w:val="center"/>
                </w:tcPr>
                <w:p w14:paraId="7BF7939E">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（3）污染物排放管控要求</w:t>
                  </w:r>
                </w:p>
                <w:p w14:paraId="63E71952">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3-1.【水、大气/限制类】园区各项污染物排放总量不得突破园区规划环评核定的污染物排放总量管控要求。</w:t>
                  </w:r>
                </w:p>
                <w:p w14:paraId="33C3419F">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3-2.【水/限制类】实行重点重金属污染物（铅、砷、汞、镉、铬）等量替代。严格控制涉重金属及有毒有害污染物排放的项目建设，新建、改建、扩建涉重金属重点行业的项目应明确重金属污染物总量来源。</w:t>
                  </w:r>
                </w:p>
                <w:p w14:paraId="64B93AA4">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3-3.【大气/限制类】新建项目原则上实施氮氧化物、挥发性有机物排放量等量替代。</w:t>
                  </w:r>
                </w:p>
                <w:p w14:paraId="310B832A">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3-4.【其它/鼓励引导类】支持危险废物专业收集转运和利用处置单位建设区域性收集网点和贮存设施。</w:t>
                  </w:r>
                </w:p>
              </w:tc>
              <w:tc>
                <w:tcPr>
                  <w:tcW w:w="2652" w:type="dxa"/>
                  <w:tcBorders>
                    <w:top w:val="single" w:color="auto" w:sz="4" w:space="0"/>
                    <w:left w:val="single" w:color="auto" w:sz="4" w:space="0"/>
                    <w:bottom w:val="single" w:color="auto" w:sz="4" w:space="0"/>
                    <w:right w:val="single" w:color="auto" w:sz="4" w:space="0"/>
                  </w:tcBorders>
                  <w:vAlign w:val="center"/>
                </w:tcPr>
                <w:p w14:paraId="21B3B714">
                  <w:pPr>
                    <w:pStyle w:val="299"/>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1：本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生产过程中产生颗粒物、非甲烷总烃，本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非甲烷总烃排放量为</w:t>
                  </w:r>
                  <w:r>
                    <w:rPr>
                      <w:rFonts w:hint="eastAsia"/>
                      <w:color w:val="000000" w:themeColor="text1"/>
                      <w:lang w:val="en-US" w:eastAsia="zh-CN"/>
                      <w14:textFill>
                        <w14:solidFill>
                          <w14:schemeClr w14:val="tx1"/>
                        </w14:solidFill>
                      </w14:textFill>
                    </w:rPr>
                    <w:t>1.226</w:t>
                  </w:r>
                  <w:r>
                    <w:rPr>
                      <w:color w:val="000000" w:themeColor="text1"/>
                      <w14:textFill>
                        <w14:solidFill>
                          <w14:schemeClr w14:val="tx1"/>
                        </w14:solidFill>
                      </w14:textFill>
                    </w:rPr>
                    <w:t>t/a，</w:t>
                  </w:r>
                  <w:r>
                    <w:rPr>
                      <w:rFonts w:hint="eastAsia"/>
                      <w:color w:val="000000" w:themeColor="text1"/>
                      <w14:textFill>
                        <w14:solidFill>
                          <w14:schemeClr w14:val="tx1"/>
                        </w14:solidFill>
                      </w14:textFill>
                    </w:rPr>
                    <w:t>排放总量没有突破园区规划环评核定的污染物排放总量。</w:t>
                  </w:r>
                </w:p>
                <w:p w14:paraId="0683456C">
                  <w:pPr>
                    <w:pStyle w:val="299"/>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2：本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不属于涉重金属及有毒有害污染物排放的项目。</w:t>
                  </w:r>
                </w:p>
                <w:p w14:paraId="750AFAD3">
                  <w:pPr>
                    <w:pStyle w:val="299"/>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-3：本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生产过程中不产生氮氧化物，产生的挥发性有机物排放量实施等量替代。</w:t>
                  </w:r>
                </w:p>
                <w:p w14:paraId="41457281">
                  <w:pPr>
                    <w:pStyle w:val="299"/>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-4：本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产生的危险废物交由有危险废物处理资质的单位回收处理。</w:t>
                  </w:r>
                </w:p>
              </w:tc>
              <w:tc>
                <w:tcPr>
                  <w:tcW w:w="573" w:type="dxa"/>
                  <w:tcBorders>
                    <w:top w:val="single" w:color="auto" w:sz="4" w:space="0"/>
                    <w:left w:val="single" w:color="auto" w:sz="4" w:space="0"/>
                    <w:bottom w:val="single" w:color="auto" w:sz="4" w:space="0"/>
                    <w:right w:val="single" w:color="auto" w:sz="4" w:space="0"/>
                  </w:tcBorders>
                  <w:vAlign w:val="center"/>
                </w:tcPr>
                <w:p w14:paraId="20469076">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r w14:paraId="1163A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80" w:type="dxa"/>
                  <w:tcBorders>
                    <w:top w:val="single" w:color="auto" w:sz="4" w:space="0"/>
                    <w:left w:val="single" w:color="auto" w:sz="4" w:space="0"/>
                    <w:bottom w:val="single" w:color="auto" w:sz="4" w:space="0"/>
                    <w:right w:val="single" w:color="auto" w:sz="4" w:space="0"/>
                  </w:tcBorders>
                  <w:vAlign w:val="center"/>
                </w:tcPr>
                <w:p w14:paraId="5C09D63A">
                  <w:pPr>
                    <w:autoSpaceDE w:val="0"/>
                    <w:autoSpaceDN w:val="0"/>
                    <w:adjustRightInd w:val="0"/>
                    <w:snapToGrid w:val="0"/>
                    <w:ind w:firstLine="420" w:firstLineChars="200"/>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（4）环境风险防控要求</w:t>
                  </w:r>
                </w:p>
                <w:p w14:paraId="006C60D1">
                  <w:pPr>
                    <w:autoSpaceDE w:val="0"/>
                    <w:autoSpaceDN w:val="0"/>
                    <w:adjustRightInd w:val="0"/>
                    <w:snapToGrid w:val="0"/>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染处理厂设置足够容积的事故应急池，纳污水体设置水质监控断面，发现问题，及时采取限制废水排放等措施。</w:t>
                  </w:r>
                </w:p>
              </w:tc>
              <w:tc>
                <w:tcPr>
                  <w:tcW w:w="2652" w:type="dxa"/>
                  <w:tcBorders>
                    <w:top w:val="single" w:color="auto" w:sz="4" w:space="0"/>
                    <w:left w:val="single" w:color="auto" w:sz="4" w:space="0"/>
                    <w:bottom w:val="single" w:color="auto" w:sz="4" w:space="0"/>
                    <w:right w:val="single" w:color="auto" w:sz="4" w:space="0"/>
                  </w:tcBorders>
                  <w:vAlign w:val="center"/>
                </w:tcPr>
                <w:p w14:paraId="58CADB0F">
                  <w:pPr>
                    <w:pStyle w:val="299"/>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1：本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位于广东乐昌经济开发区内，广东乐昌经济开发区已完善相关环保手续，并制定了事故风险防范和应急措施，能够满足项目环境风险防控的要求。</w:t>
                  </w:r>
                </w:p>
              </w:tc>
              <w:tc>
                <w:tcPr>
                  <w:tcW w:w="573" w:type="dxa"/>
                  <w:tcBorders>
                    <w:top w:val="single" w:color="auto" w:sz="4" w:space="0"/>
                    <w:left w:val="single" w:color="auto" w:sz="4" w:space="0"/>
                    <w:bottom w:val="single" w:color="auto" w:sz="4" w:space="0"/>
                    <w:right w:val="single" w:color="auto" w:sz="4" w:space="0"/>
                  </w:tcBorders>
                  <w:vAlign w:val="center"/>
                </w:tcPr>
                <w:p w14:paraId="7942C3EF">
                  <w:pPr>
                    <w:pStyle w:val="39"/>
                    <w:widowControl w:val="0"/>
                    <w:adjustRightInd w:val="0"/>
                    <w:snapToGrid w:val="0"/>
                    <w:spacing w:beforeAutospacing="0" w:afterAutospacing="0" w:line="240" w:lineRule="auto"/>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相符</w:t>
                  </w:r>
                </w:p>
              </w:tc>
            </w:tr>
          </w:tbl>
          <w:p w14:paraId="37D5BED8">
            <w:pPr>
              <w:autoSpaceDE w:val="0"/>
              <w:autoSpaceDN w:val="0"/>
              <w:adjustRightInd w:val="0"/>
              <w:snapToGrid w:val="0"/>
              <w:spacing w:line="360" w:lineRule="auto"/>
              <w:rPr>
                <w:rFonts w:ascii="Times New Roman" w:hAnsi="Times New Roman" w:eastAsia="宋体" w:cs="Times New Roman"/>
                <w:b/>
                <w:color w:val="000000" w:themeColor="text1"/>
                <w:kern w:val="0"/>
                <w:sz w:val="24"/>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2</w:t>
            </w:r>
            <w:r>
              <w:rPr>
                <w:rFonts w:hint="eastAsia" w:ascii="Times New Roman" w:hAnsi="Times New Roman" w:eastAsia="宋体" w:cs="Times New Roman"/>
                <w:b/>
                <w:color w:val="000000" w:themeColor="text1"/>
                <w:kern w:val="0"/>
                <w:sz w:val="24"/>
                <w14:textFill>
                  <w14:solidFill>
                    <w14:schemeClr w14:val="tx1"/>
                  </w14:solidFill>
                </w14:textFill>
              </w:rPr>
              <w:t>、产业政策相符性分析</w:t>
            </w:r>
          </w:p>
          <w:p w14:paraId="1E073924">
            <w:pPr>
              <w:autoSpaceDE w:val="0"/>
              <w:autoSpaceDN w:val="0"/>
              <w:adjustRightInd w:val="0"/>
              <w:snapToGri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kern w:val="0"/>
                <w:sz w:val="24"/>
                <w14:textFill>
                  <w14:solidFill>
                    <w14:schemeClr w14:val="tx1"/>
                  </w14:solidFill>
                </w14:textFill>
              </w:rPr>
              <w:t>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主要从事橡胶脚轮制造，符合《产业结构调整指导目录（</w:t>
            </w:r>
            <w:r>
              <w:rPr>
                <w:rFonts w:ascii="Times New Roman" w:hAnsi="Times New Roman" w:eastAsia="宋体" w:cs="Times New Roman"/>
                <w:color w:val="000000" w:themeColor="text1"/>
                <w:kern w:val="0"/>
                <w:sz w:val="24"/>
                <w14:textFill>
                  <w14:solidFill>
                    <w14:schemeClr w14:val="tx1"/>
                  </w14:solidFill>
                </w14:textFill>
              </w:rPr>
              <w:t>2024</w:t>
            </w:r>
            <w:r>
              <w:rPr>
                <w:rFonts w:hint="eastAsia" w:ascii="Times New Roman" w:hAnsi="Times New Roman" w:eastAsia="宋体" w:cs="Times New Roman"/>
                <w:color w:val="000000" w:themeColor="text1"/>
                <w:kern w:val="0"/>
                <w:sz w:val="24"/>
                <w14:textFill>
                  <w14:solidFill>
                    <w14:schemeClr w14:val="tx1"/>
                  </w14:solidFill>
                </w14:textFill>
              </w:rPr>
              <w:t>年本）》、《市场准入负面清单（</w:t>
            </w:r>
            <w:r>
              <w:rPr>
                <w:rFonts w:ascii="Times New Roman" w:hAnsi="Times New Roman" w:eastAsia="宋体" w:cs="Times New Roman"/>
                <w:color w:val="000000" w:themeColor="text1"/>
                <w:kern w:val="0"/>
                <w:sz w:val="24"/>
                <w14:textFill>
                  <w14:solidFill>
                    <w14:schemeClr w14:val="tx1"/>
                  </w14:solidFill>
                </w14:textFill>
              </w:rPr>
              <w:t>2025</w:t>
            </w:r>
            <w:r>
              <w:rPr>
                <w:rFonts w:hint="eastAsia" w:ascii="Times New Roman" w:hAnsi="Times New Roman" w:eastAsia="宋体" w:cs="Times New Roman"/>
                <w:color w:val="000000" w:themeColor="text1"/>
                <w:kern w:val="0"/>
                <w:sz w:val="24"/>
                <w14:textFill>
                  <w14:solidFill>
                    <w14:schemeClr w14:val="tx1"/>
                  </w14:solidFill>
                </w14:textFill>
              </w:rPr>
              <w:t>年版）》等，不属于《产业结构调整指导目录</w:t>
            </w:r>
            <w:r>
              <w:rPr>
                <w:rFonts w:hint="eastAsia" w:ascii="Times New Roman" w:hAnsi="Times New Roman" w:eastAsia="宋体" w:cs="Times New Roman"/>
                <w:color w:val="000000" w:themeColor="text1"/>
                <w:kern w:val="0"/>
                <w:sz w:val="24"/>
                <w:lang w:eastAsia="zh-CN"/>
                <w14:textFill>
                  <w14:solidFill>
                    <w14:schemeClr w14:val="tx1"/>
                  </w14:solidFill>
                </w14:textFill>
              </w:rPr>
              <w:t>（</w:t>
            </w:r>
            <w:r>
              <w:rPr>
                <w:rFonts w:hint="eastAsia" w:ascii="Times New Roman" w:hAnsi="Times New Roman" w:eastAsia="宋体" w:cs="Times New Roman"/>
                <w:color w:val="000000" w:themeColor="text1"/>
                <w:kern w:val="0"/>
                <w:sz w:val="24"/>
                <w14:textFill>
                  <w14:solidFill>
                    <w14:schemeClr w14:val="tx1"/>
                  </w14:solidFill>
                </w14:textFill>
              </w:rPr>
              <w:t>2024年本</w:t>
            </w:r>
            <w:r>
              <w:rPr>
                <w:rFonts w:hint="eastAsia" w:ascii="Times New Roman" w:hAnsi="Times New Roman" w:eastAsia="宋体" w:cs="Times New Roman"/>
                <w:color w:val="000000" w:themeColor="text1"/>
                <w:kern w:val="0"/>
                <w:sz w:val="24"/>
                <w:lang w:eastAsia="zh-CN"/>
                <w14:textFill>
                  <w14:solidFill>
                    <w14:schemeClr w14:val="tx1"/>
                  </w14:solidFill>
                </w14:textFill>
              </w:rPr>
              <w:t>）</w:t>
            </w:r>
            <w:r>
              <w:rPr>
                <w:rFonts w:hint="eastAsia" w:ascii="Times New Roman" w:hAnsi="Times New Roman" w:eastAsia="宋体" w:cs="Times New Roman"/>
                <w:color w:val="000000" w:themeColor="text1"/>
                <w:kern w:val="0"/>
                <w:sz w:val="24"/>
                <w14:textFill>
                  <w14:solidFill>
                    <w14:schemeClr w14:val="tx1"/>
                  </w14:solidFill>
                </w14:textFill>
              </w:rPr>
              <w:t>》（中华人民共和国国家发展和改革委员会令2023年第7号）中限制类和淘汰类项目，属于允许类建设项目。</w:t>
            </w:r>
          </w:p>
          <w:p w14:paraId="1627D74C">
            <w:pPr>
              <w:autoSpaceDE w:val="0"/>
              <w:autoSpaceDN w:val="0"/>
              <w:adjustRightInd w:val="0"/>
              <w:snapToGri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kern w:val="0"/>
                <w:sz w:val="24"/>
                <w14:textFill>
                  <w14:solidFill>
                    <w14:schemeClr w14:val="tx1"/>
                  </w14:solidFill>
                </w14:textFill>
              </w:rPr>
              <w:t>根据《市场准入负面清单》（202</w:t>
            </w:r>
            <w:r>
              <w:rPr>
                <w:rFonts w:ascii="Times New Roman" w:hAnsi="Times New Roman" w:eastAsia="宋体" w:cs="Times New Roman"/>
                <w:color w:val="000000" w:themeColor="text1"/>
                <w:kern w:val="0"/>
                <w:sz w:val="24"/>
                <w14:textFill>
                  <w14:solidFill>
                    <w14:schemeClr w14:val="tx1"/>
                  </w14:solidFill>
                </w14:textFill>
              </w:rPr>
              <w:t>5</w:t>
            </w:r>
            <w:r>
              <w:rPr>
                <w:rFonts w:hint="eastAsia" w:ascii="Times New Roman" w:hAnsi="Times New Roman" w:eastAsia="宋体" w:cs="Times New Roman"/>
                <w:color w:val="000000" w:themeColor="text1"/>
                <w:kern w:val="0"/>
                <w:sz w:val="24"/>
                <w14:textFill>
                  <w14:solidFill>
                    <w14:schemeClr w14:val="tx1"/>
                  </w14:solidFill>
                </w14:textFill>
              </w:rPr>
              <w:t>版），本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未列入负面清单管理的企业投资项目，属于允许建设项目项目的建设符合相关的产业政策。</w:t>
            </w:r>
          </w:p>
          <w:p w14:paraId="117B4173">
            <w:pPr>
              <w:autoSpaceDE w:val="0"/>
              <w:autoSpaceDN w:val="0"/>
              <w:adjustRightInd w:val="0"/>
              <w:snapToGri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根据《广东省国家重点生态功能产业准入负面清单（实行）》</w:t>
            </w:r>
            <w:r>
              <w:rPr>
                <w:rFonts w:hint="eastAsia" w:ascii="Times New Roman" w:hAnsi="Times New Roman" w:eastAsia="宋体" w:cs="Times New Roman"/>
                <w:color w:val="000000" w:themeColor="text1"/>
                <w:kern w:val="0"/>
                <w:sz w:val="24"/>
                <w14:textFill>
                  <w14:solidFill>
                    <w14:schemeClr w14:val="tx1"/>
                  </w14:solidFill>
                </w14:textFill>
              </w:rPr>
              <w:t>【粤发改规划〔201</w:t>
            </w:r>
            <w:r>
              <w:rPr>
                <w:rFonts w:ascii="Times New Roman" w:hAnsi="Times New Roman" w:eastAsia="宋体" w:cs="Times New Roman"/>
                <w:color w:val="000000" w:themeColor="text1"/>
                <w:kern w:val="0"/>
                <w:sz w:val="24"/>
                <w14:textFill>
                  <w14:solidFill>
                    <w14:schemeClr w14:val="tx1"/>
                  </w14:solidFill>
                </w14:textFill>
              </w:rPr>
              <w:t>7</w:t>
            </w:r>
            <w:r>
              <w:rPr>
                <w:rFonts w:hint="eastAsia" w:ascii="Times New Roman" w:hAnsi="Times New Roman" w:eastAsia="宋体" w:cs="Times New Roman"/>
                <w:color w:val="000000" w:themeColor="text1"/>
                <w:kern w:val="0"/>
                <w:sz w:val="24"/>
                <w14:textFill>
                  <w14:solidFill>
                    <w14:schemeClr w14:val="tx1"/>
                  </w14:solidFill>
                </w14:textFill>
              </w:rPr>
              <w:t>〕3</w:t>
            </w:r>
            <w:r>
              <w:rPr>
                <w:rFonts w:ascii="Times New Roman" w:hAnsi="Times New Roman" w:eastAsia="宋体" w:cs="Times New Roman"/>
                <w:color w:val="000000" w:themeColor="text1"/>
                <w:kern w:val="0"/>
                <w:sz w:val="24"/>
                <w14:textFill>
                  <w14:solidFill>
                    <w14:schemeClr w14:val="tx1"/>
                  </w14:solidFill>
                </w14:textFill>
              </w:rPr>
              <w:t>31</w:t>
            </w:r>
            <w:r>
              <w:rPr>
                <w:rFonts w:hint="eastAsia" w:ascii="Times New Roman" w:hAnsi="Times New Roman" w:eastAsia="宋体" w:cs="Times New Roman"/>
                <w:color w:val="000000" w:themeColor="text1"/>
                <w:kern w:val="0"/>
                <w:sz w:val="24"/>
                <w14:textFill>
                  <w14:solidFill>
                    <w14:schemeClr w14:val="tx1"/>
                  </w14:solidFill>
                </w14:textFill>
              </w:rPr>
              <w:t>号】，本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主要从事橡胶脚轮制造，不属于《广东省国家重点生态功能产业准入负面清单（实行）》【粤发改规划〔2017〕331号】里的产业。</w:t>
            </w:r>
          </w:p>
          <w:p w14:paraId="408A8D27">
            <w:pPr>
              <w:autoSpaceDE w:val="0"/>
              <w:autoSpaceDN w:val="0"/>
              <w:adjustRightInd w:val="0"/>
              <w:snapToGrid w:val="0"/>
              <w:spacing w:line="360" w:lineRule="auto"/>
              <w:rPr>
                <w:rFonts w:ascii="Times New Roman" w:hAnsi="Times New Roman" w:eastAsia="宋体" w:cs="Times New Roman"/>
                <w:b/>
                <w:color w:val="000000" w:themeColor="text1"/>
                <w:kern w:val="0"/>
                <w:sz w:val="24"/>
                <w14:textFill>
                  <w14:solidFill>
                    <w14:schemeClr w14:val="tx1"/>
                  </w14:solidFill>
                </w14:textFill>
              </w:rPr>
            </w:pPr>
            <w:r>
              <w:rPr>
                <w:rFonts w:hint="eastAsia" w:ascii="Times New Roman" w:hAnsi="Times New Roman" w:eastAsia="宋体" w:cs="Times New Roman"/>
                <w:b/>
                <w:color w:val="000000" w:themeColor="text1"/>
                <w:kern w:val="0"/>
                <w:sz w:val="24"/>
                <w14:textFill>
                  <w14:solidFill>
                    <w14:schemeClr w14:val="tx1"/>
                  </w14:solidFill>
                </w14:textFill>
              </w:rPr>
              <w:t>3、与相关生态环境保护法律法规、政策规划相符性</w:t>
            </w:r>
          </w:p>
          <w:p w14:paraId="1E55E9BC">
            <w:pPr>
              <w:autoSpaceDE w:val="0"/>
              <w:autoSpaceDN w:val="0"/>
              <w:adjustRightInd w:val="0"/>
              <w:snapToGrid w:val="0"/>
              <w:jc w:val="center"/>
              <w:rPr>
                <w:rFonts w:ascii="Times New Roman" w:hAnsi="Times New Roman" w:eastAsia="宋体" w:cs="Times New Roman"/>
                <w:b/>
                <w:color w:val="000000" w:themeColor="text1"/>
                <w:kern w:val="0"/>
                <w:szCs w:val="21"/>
                <w14:textFill>
                  <w14:solidFill>
                    <w14:schemeClr w14:val="tx1"/>
                  </w14:solidFill>
                </w14:textFill>
              </w:rPr>
            </w:pPr>
            <w:r>
              <w:rPr>
                <w:rFonts w:hint="eastAsia" w:ascii="Times New Roman" w:hAnsi="Times New Roman" w:eastAsia="宋体" w:cs="Times New Roman"/>
                <w:b/>
                <w:color w:val="000000" w:themeColor="text1"/>
                <w:kern w:val="0"/>
                <w:szCs w:val="21"/>
                <w14:textFill>
                  <w14:solidFill>
                    <w14:schemeClr w14:val="tx1"/>
                  </w14:solidFill>
                </w14:textFill>
              </w:rPr>
              <w:t>表1-</w:t>
            </w:r>
            <w:r>
              <w:rPr>
                <w:rFonts w:ascii="Times New Roman" w:hAnsi="Times New Roman" w:eastAsia="宋体" w:cs="Times New Roman"/>
                <w:b/>
                <w:color w:val="000000" w:themeColor="text1"/>
                <w:kern w:val="0"/>
                <w:szCs w:val="21"/>
                <w14:textFill>
                  <w14:solidFill>
                    <w14:schemeClr w14:val="tx1"/>
                  </w14:solidFill>
                </w14:textFill>
              </w:rPr>
              <w:t>3</w:t>
            </w:r>
            <w:r>
              <w:rPr>
                <w:rFonts w:hint="eastAsia" w:ascii="Times New Roman" w:hAnsi="Times New Roman" w:eastAsia="宋体" w:cs="Times New Roman"/>
                <w:b/>
                <w:color w:val="000000" w:themeColor="text1"/>
                <w:kern w:val="0"/>
                <w:szCs w:val="21"/>
                <w14:textFill>
                  <w14:solidFill>
                    <w14:schemeClr w14:val="tx1"/>
                  </w14:solidFill>
                </w14:textFill>
              </w:rPr>
              <w:t xml:space="preserve"> 与相关法律法规、政策规划相符性分析</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5"/>
              <w:gridCol w:w="3117"/>
              <w:gridCol w:w="440"/>
            </w:tblGrid>
            <w:tr w14:paraId="1698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0" w:type="pct"/>
                  <w:vAlign w:val="center"/>
                </w:tcPr>
                <w:p w14:paraId="60F49F98">
                  <w:pPr>
                    <w:contextualSpacing/>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相关要求</w:t>
                  </w:r>
                </w:p>
              </w:tc>
              <w:tc>
                <w:tcPr>
                  <w:tcW w:w="2182" w:type="pct"/>
                  <w:vAlign w:val="center"/>
                </w:tcPr>
                <w:p w14:paraId="239B834E">
                  <w:pPr>
                    <w:contextualSpacing/>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项目情况</w:t>
                  </w:r>
                </w:p>
              </w:tc>
              <w:tc>
                <w:tcPr>
                  <w:tcW w:w="308" w:type="pct"/>
                  <w:vAlign w:val="center"/>
                </w:tcPr>
                <w:p w14:paraId="20090F32">
                  <w:pPr>
                    <w:contextualSpacing/>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相符性</w:t>
                  </w:r>
                </w:p>
              </w:tc>
            </w:tr>
            <w:tr w14:paraId="74D1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3"/>
                  <w:vAlign w:val="center"/>
                </w:tcPr>
                <w:p w14:paraId="7A0D8C72">
                  <w:pPr>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《广东省水污染防治条例（</w:t>
                  </w:r>
                  <w:r>
                    <w:rPr>
                      <w:rFonts w:hint="eastAsia" w:ascii="Times New Roman" w:hAnsi="Times New Roman" w:eastAsia="宋体" w:cs="Times New Roman"/>
                      <w:color w:val="000000" w:themeColor="text1"/>
                      <w:kern w:val="0"/>
                      <w:szCs w:val="21"/>
                      <w14:textFill>
                        <w14:solidFill>
                          <w14:schemeClr w14:val="tx1"/>
                        </w14:solidFill>
                      </w14:textFill>
                    </w:rPr>
                    <w:t>2021</w:t>
                  </w:r>
                  <w:r>
                    <w:rPr>
                      <w:rFonts w:hint="eastAsia"/>
                      <w:color w:val="000000" w:themeColor="text1"/>
                      <w:szCs w:val="21"/>
                      <w14:textFill>
                        <w14:solidFill>
                          <w14:schemeClr w14:val="tx1"/>
                        </w14:solidFill>
                      </w14:textFill>
                    </w:rPr>
                    <w:t>修正）》（粤人常〔</w:t>
                  </w:r>
                  <w:r>
                    <w:rPr>
                      <w:rFonts w:hint="eastAsia" w:ascii="Times New Roman" w:hAnsi="Times New Roman" w:eastAsia="宋体" w:cs="Times New Roman"/>
                      <w:color w:val="000000" w:themeColor="text1"/>
                      <w:kern w:val="0"/>
                      <w:szCs w:val="21"/>
                      <w14:textFill>
                        <w14:solidFill>
                          <w14:schemeClr w14:val="tx1"/>
                        </w14:solidFill>
                      </w14:textFill>
                    </w:rPr>
                    <w:t>2021〕92</w:t>
                  </w:r>
                  <w:r>
                    <w:rPr>
                      <w:rFonts w:hint="eastAsia"/>
                      <w:color w:val="000000" w:themeColor="text1"/>
                      <w:szCs w:val="21"/>
                      <w14:textFill>
                        <w14:solidFill>
                          <w14:schemeClr w14:val="tx1"/>
                        </w14:solidFill>
                      </w14:textFill>
                    </w:rPr>
                    <w:t>号）</w:t>
                  </w:r>
                </w:p>
              </w:tc>
            </w:tr>
            <w:tr w14:paraId="2701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0" w:type="pct"/>
                  <w:vAlign w:val="center"/>
                </w:tcPr>
                <w:p w14:paraId="317796E1">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第二十八条规定：排放工业废水的企业应当采取有效措施，收集和处理产生的全部生产废水，防止污染水环境。未依法领取污水排入排水管网许可证的，不得直接向生活污水管网与处理系统排放工业废水。含有毒有害水污染物的工业废水应当分类收集和处理，不得稀释排放。</w:t>
                  </w:r>
                </w:p>
              </w:tc>
              <w:tc>
                <w:tcPr>
                  <w:tcW w:w="2182" w:type="pct"/>
                  <w:vAlign w:val="center"/>
                </w:tcPr>
                <w:p w14:paraId="53E3FE31">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项目</w:t>
                  </w:r>
                  <w:r>
                    <w:rPr>
                      <w:rFonts w:hint="eastAsia"/>
                      <w:color w:val="000000" w:themeColor="text1"/>
                      <w:szCs w:val="21"/>
                      <w14:textFill>
                        <w14:solidFill>
                          <w14:schemeClr w14:val="tx1"/>
                        </w14:solidFill>
                      </w14:textFill>
                    </w:rPr>
                    <w:t>用水为生活用水和生产用水，生产废水为间接冷却更换水，不涉及有毒有害水污染物的工业废水产生及排放。</w:t>
                  </w:r>
                </w:p>
              </w:tc>
              <w:tc>
                <w:tcPr>
                  <w:tcW w:w="308" w:type="pct"/>
                  <w:vAlign w:val="center"/>
                </w:tcPr>
                <w:p w14:paraId="6C9B9070">
                  <w:pPr>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相符</w:t>
                  </w:r>
                </w:p>
              </w:tc>
            </w:tr>
            <w:tr w14:paraId="7A89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3"/>
                  <w:vAlign w:val="center"/>
                </w:tcPr>
                <w:p w14:paraId="6FA07A85">
                  <w:pPr>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《韶关市生态环境保护“十四五”规划》（韶府办〔</w:t>
                  </w:r>
                  <w:r>
                    <w:rPr>
                      <w:rFonts w:hint="eastAsia" w:ascii="Times New Roman" w:hAnsi="Times New Roman" w:eastAsia="宋体" w:cs="Times New Roman"/>
                      <w:color w:val="000000" w:themeColor="text1"/>
                      <w:kern w:val="0"/>
                      <w:szCs w:val="21"/>
                      <w14:textFill>
                        <w14:solidFill>
                          <w14:schemeClr w14:val="tx1"/>
                        </w14:solidFill>
                      </w14:textFill>
                    </w:rPr>
                    <w:t>2022〕1号</w:t>
                  </w:r>
                  <w:r>
                    <w:rPr>
                      <w:rFonts w:hint="eastAsia"/>
                      <w:color w:val="000000" w:themeColor="text1"/>
                      <w:szCs w:val="21"/>
                      <w14:textFill>
                        <w14:solidFill>
                          <w14:schemeClr w14:val="tx1"/>
                        </w14:solidFill>
                      </w14:textFill>
                    </w:rPr>
                    <w:t>）</w:t>
                  </w:r>
                </w:p>
              </w:tc>
            </w:tr>
            <w:tr w14:paraId="1690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0" w:type="pct"/>
                  <w:vAlign w:val="center"/>
                </w:tcPr>
                <w:p w14:paraId="7F20D89D">
                  <w:pPr>
                    <w:contextualSpacing/>
                    <w:rPr>
                      <w:color w:val="000000" w:themeColor="text1"/>
                      <w:szCs w:val="21"/>
                      <w14:textFill>
                        <w14:solidFill>
                          <w14:schemeClr w14:val="tx1"/>
                        </w14:solidFill>
                      </w14:textFill>
                    </w:rPr>
                  </w:pPr>
                  <w:r>
                    <w:rPr>
                      <w:color w:val="000000" w:themeColor="text1"/>
                      <w:szCs w:val="21"/>
                      <w14:textFill>
                        <w14:solidFill>
                          <w14:schemeClr w14:val="tx1"/>
                        </w14:solidFill>
                      </w14:textFill>
                    </w:rPr>
                    <w:t>强化纺织、造纸、农副食品加工、化工、电镀等污染物排放量大行业的综合治理，引导和鼓励企业采用先进生产工艺和设备，实现节水减排。</w:t>
                  </w:r>
                </w:p>
              </w:tc>
              <w:tc>
                <w:tcPr>
                  <w:tcW w:w="2182" w:type="pct"/>
                  <w:vAlign w:val="center"/>
                </w:tcPr>
                <w:p w14:paraId="2A22FA25">
                  <w:pPr>
                    <w:autoSpaceDE w:val="0"/>
                    <w:autoSpaceDN w:val="0"/>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项目</w:t>
                  </w:r>
                  <w:r>
                    <w:rPr>
                      <w:rFonts w:hint="eastAsia"/>
                      <w:color w:val="000000" w:themeColor="text1"/>
                      <w:kern w:val="0"/>
                      <w:szCs w:val="18"/>
                      <w14:textFill>
                        <w14:solidFill>
                          <w14:schemeClr w14:val="tx1"/>
                        </w14:solidFill>
                      </w14:textFill>
                    </w:rPr>
                    <w:t>主要从事橡胶脚轮制造</w:t>
                  </w:r>
                  <w:r>
                    <w:rPr>
                      <w:rFonts w:hint="eastAsia"/>
                      <w:color w:val="000000" w:themeColor="text1"/>
                      <w:szCs w:val="21"/>
                      <w14:textFill>
                        <w14:solidFill>
                          <w14:schemeClr w14:val="tx1"/>
                        </w14:solidFill>
                      </w14:textFill>
                    </w:rPr>
                    <w:t>，不属于</w:t>
                  </w:r>
                  <w:r>
                    <w:rPr>
                      <w:color w:val="000000" w:themeColor="text1"/>
                      <w:szCs w:val="21"/>
                      <w14:textFill>
                        <w14:solidFill>
                          <w14:schemeClr w14:val="tx1"/>
                        </w14:solidFill>
                      </w14:textFill>
                    </w:rPr>
                    <w:t>纺织、造纸、</w:t>
                  </w:r>
                  <w:r>
                    <w:rPr>
                      <w:rFonts w:hint="eastAsia"/>
                      <w:color w:val="000000" w:themeColor="text1"/>
                      <w:szCs w:val="21"/>
                      <w14:textFill>
                        <w14:solidFill>
                          <w14:schemeClr w14:val="tx1"/>
                        </w14:solidFill>
                      </w14:textFill>
                    </w:rPr>
                    <w:t>农副食品加工、</w:t>
                  </w:r>
                  <w:r>
                    <w:rPr>
                      <w:color w:val="000000" w:themeColor="text1"/>
                      <w:szCs w:val="21"/>
                      <w14:textFill>
                        <w14:solidFill>
                          <w14:schemeClr w14:val="tx1"/>
                        </w14:solidFill>
                      </w14:textFill>
                    </w:rPr>
                    <w:t>化工、电镀等污染物排放量大</w:t>
                  </w:r>
                  <w:r>
                    <w:rPr>
                      <w:rFonts w:hint="eastAsia"/>
                      <w:color w:val="000000" w:themeColor="text1"/>
                      <w:szCs w:val="21"/>
                      <w14:textFill>
                        <w14:solidFill>
                          <w14:schemeClr w14:val="tx1"/>
                        </w14:solidFill>
                      </w14:textFill>
                    </w:rPr>
                    <w:t>行业。</w:t>
                  </w:r>
                </w:p>
              </w:tc>
              <w:tc>
                <w:tcPr>
                  <w:tcW w:w="308" w:type="pct"/>
                  <w:vAlign w:val="center"/>
                </w:tcPr>
                <w:p w14:paraId="1AE321B4">
                  <w:pPr>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相符</w:t>
                  </w:r>
                </w:p>
              </w:tc>
            </w:tr>
            <w:tr w14:paraId="09FD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0" w:type="pct"/>
                  <w:vAlign w:val="center"/>
                </w:tcPr>
                <w:p w14:paraId="498BFBE5">
                  <w:pPr>
                    <w:contextualSpacing/>
                    <w:rPr>
                      <w:color w:val="000000" w:themeColor="text1"/>
                      <w:szCs w:val="21"/>
                      <w14:textFill>
                        <w14:solidFill>
                          <w14:schemeClr w14:val="tx1"/>
                        </w14:solidFill>
                      </w14:textFill>
                    </w:rPr>
                  </w:pPr>
                  <w:r>
                    <w:rPr>
                      <w:color w:val="000000" w:themeColor="text1"/>
                      <w:szCs w:val="21"/>
                      <w14:textFill>
                        <w14:solidFill>
                          <w14:schemeClr w14:val="tx1"/>
                        </w14:solidFill>
                      </w14:textFill>
                    </w:rPr>
                    <w:t>督促工业固体废物产生单位建立健全工业固体废物产生、收集、贮存、运输、利用、处置全过程的污染环境防治责任制度，建立工业固体废物管理台账。构建危险废物全过程监管体系，推动危险废物环境管理信息化建设和应用。加强危险废物产生、转移联单、综合利用、安全处置等环节的监管，严格执行危废申报登记制度及危废转移联单（电子联单）制度，防止危废非法转移或处置不当。</w:t>
                  </w:r>
                </w:p>
              </w:tc>
              <w:tc>
                <w:tcPr>
                  <w:tcW w:w="2182" w:type="pct"/>
                  <w:vAlign w:val="center"/>
                </w:tcPr>
                <w:p w14:paraId="1A4B559D">
                  <w:pPr>
                    <w:autoSpaceDE w:val="0"/>
                    <w:autoSpaceDN w:val="0"/>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项目</w:t>
                  </w:r>
                  <w:r>
                    <w:rPr>
                      <w:rFonts w:hint="eastAsia"/>
                      <w:color w:val="000000" w:themeColor="text1"/>
                      <w:szCs w:val="21"/>
                      <w14:textFill>
                        <w14:solidFill>
                          <w14:schemeClr w14:val="tx1"/>
                        </w14:solidFill>
                      </w14:textFill>
                    </w:rPr>
                    <w:t>建成后，建设单位按要求</w:t>
                  </w:r>
                  <w:r>
                    <w:rPr>
                      <w:color w:val="000000" w:themeColor="text1"/>
                      <w:szCs w:val="21"/>
                      <w14:textFill>
                        <w14:solidFill>
                          <w14:schemeClr w14:val="tx1"/>
                        </w14:solidFill>
                      </w14:textFill>
                    </w:rPr>
                    <w:t>建立健全工业固体废物产生、收集、贮存、运输、利用、处置全过程的污染环境防治责任制度，建立工业固体废物管理台账。</w:t>
                  </w:r>
                </w:p>
                <w:p w14:paraId="57201E35">
                  <w:pPr>
                    <w:autoSpaceDE w:val="0"/>
                    <w:autoSpaceDN w:val="0"/>
                    <w:contextualSpacing/>
                    <w:rPr>
                      <w:color w:val="000000" w:themeColor="text1"/>
                      <w:szCs w:val="21"/>
                      <w14:textFill>
                        <w14:solidFill>
                          <w14:schemeClr w14:val="tx1"/>
                        </w14:solidFill>
                      </w14:textFill>
                    </w:rPr>
                  </w:pPr>
                </w:p>
              </w:tc>
              <w:tc>
                <w:tcPr>
                  <w:tcW w:w="308" w:type="pct"/>
                  <w:vAlign w:val="center"/>
                </w:tcPr>
                <w:p w14:paraId="0633BD9C">
                  <w:pPr>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相符</w:t>
                  </w:r>
                </w:p>
              </w:tc>
            </w:tr>
            <w:tr w14:paraId="424A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0" w:type="pct"/>
                  <w:vAlign w:val="center"/>
                </w:tcPr>
                <w:p w14:paraId="67006475">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严格土壤环境准入管控。严格落实“三线一单”硬约束，建立土壤及地下水环境准入负面清单。结合土壤、地下水等环境风险状况，合理确定区域功能定位、空间布局和建设项目选址，严禁在优先保护类耕地集中区、敏感区周边新建、扩建排放重金属污染物和持久性有机污染物的建设项目。</w:t>
                  </w:r>
                </w:p>
              </w:tc>
              <w:tc>
                <w:tcPr>
                  <w:tcW w:w="2182" w:type="pct"/>
                  <w:vAlign w:val="center"/>
                </w:tcPr>
                <w:p w14:paraId="151AC2EF">
                  <w:pPr>
                    <w:autoSpaceDE w:val="0"/>
                    <w:autoSpaceDN w:val="0"/>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项目</w:t>
                  </w:r>
                  <w:r>
                    <w:rPr>
                      <w:rFonts w:hint="eastAsia"/>
                      <w:color w:val="000000" w:themeColor="text1"/>
                      <w:szCs w:val="21"/>
                      <w14:textFill>
                        <w14:solidFill>
                          <w14:schemeClr w14:val="tx1"/>
                        </w14:solidFill>
                      </w14:textFill>
                    </w:rPr>
                    <w:t>选址于乐昌产业转移工业园</w:t>
                  </w:r>
                  <w:r>
                    <w:rPr>
                      <w:rFonts w:hint="eastAsia" w:ascii="Times New Roman" w:hAnsi="Times New Roman" w:eastAsia="宋体" w:cs="Times New Roman"/>
                      <w:color w:val="000000" w:themeColor="text1"/>
                      <w:kern w:val="0"/>
                      <w:szCs w:val="21"/>
                      <w14:textFill>
                        <w14:solidFill>
                          <w14:schemeClr w14:val="tx1"/>
                        </w14:solidFill>
                      </w14:textFill>
                    </w:rPr>
                    <w:t>，属于工业用地（详</w:t>
                  </w:r>
                  <w:r>
                    <w:rPr>
                      <w:rFonts w:hint="eastAsia"/>
                      <w:color w:val="000000" w:themeColor="text1"/>
                      <w:szCs w:val="21"/>
                      <w14:textFill>
                        <w14:solidFill>
                          <w14:schemeClr w14:val="tx1"/>
                        </w14:solidFill>
                      </w14:textFill>
                    </w:rPr>
                    <w:t>见附图</w:t>
                  </w:r>
                  <w:r>
                    <w:rPr>
                      <w:rFonts w:ascii="Times New Roman" w:hAnsi="Times New Roman" w:eastAsia="宋体" w:cs="Times New Roman"/>
                      <w:color w:val="000000" w:themeColor="text1"/>
                      <w:kern w:val="0"/>
                      <w:szCs w:val="21"/>
                      <w14:textFill>
                        <w14:solidFill>
                          <w14:schemeClr w14:val="tx1"/>
                        </w14:solidFill>
                      </w14:textFill>
                    </w:rPr>
                    <w:t>6</w:t>
                  </w:r>
                  <w:r>
                    <w:rPr>
                      <w:rFonts w:hint="eastAsia" w:ascii="Times New Roman" w:hAnsi="Times New Roman" w:eastAsia="宋体" w:cs="Times New Roman"/>
                      <w:color w:val="000000" w:themeColor="text1"/>
                      <w:kern w:val="0"/>
                      <w:szCs w:val="21"/>
                      <w14:textFill>
                        <w14:solidFill>
                          <w14:schemeClr w14:val="tx1"/>
                        </w14:solidFill>
                      </w14:textFill>
                    </w:rPr>
                    <w:t>）。本</w:t>
                  </w:r>
                  <w:r>
                    <w:rPr>
                      <w:rFonts w:hint="eastAsia" w:ascii="Times New Roman" w:hAnsi="Times New Roman" w:eastAsia="宋体" w:cs="Times New Roman"/>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color w:val="000000" w:themeColor="text1"/>
                      <w:kern w:val="0"/>
                      <w:szCs w:val="21"/>
                      <w14:textFill>
                        <w14:solidFill>
                          <w14:schemeClr w14:val="tx1"/>
                        </w14:solidFill>
                      </w14:textFill>
                    </w:rPr>
                    <w:t>位于乐昌经济开发区</w:t>
                  </w:r>
                  <w:r>
                    <w:rPr>
                      <w:rFonts w:hint="eastAsia"/>
                      <w:color w:val="000000" w:themeColor="text1"/>
                      <w:szCs w:val="21"/>
                      <w14:textFill>
                        <w14:solidFill>
                          <w14:schemeClr w14:val="tx1"/>
                        </w14:solidFill>
                      </w14:textFill>
                    </w:rPr>
                    <w:t>重点管控单元，不涉及重金属污染物和永久性有机污染物的建设项目。</w:t>
                  </w:r>
                </w:p>
              </w:tc>
              <w:tc>
                <w:tcPr>
                  <w:tcW w:w="308" w:type="pct"/>
                  <w:vAlign w:val="center"/>
                </w:tcPr>
                <w:p w14:paraId="3EB509EA">
                  <w:pPr>
                    <w:contextualSpacing/>
                    <w:jc w:val="center"/>
                    <w:rPr>
                      <w:color w:val="000000" w:themeColor="text1"/>
                      <w:szCs w:val="21"/>
                      <w14:textFill>
                        <w14:solidFill>
                          <w14:schemeClr w14:val="tx1"/>
                        </w14:solidFill>
                      </w14:textFill>
                    </w:rPr>
                  </w:pPr>
                </w:p>
              </w:tc>
            </w:tr>
            <w:tr w14:paraId="2B0D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3"/>
                  <w:vAlign w:val="center"/>
                </w:tcPr>
                <w:p w14:paraId="32C42D63">
                  <w:pPr>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《乐昌市生态环境保护“十四五”规划》（乐府办〔</w:t>
                  </w:r>
                  <w:r>
                    <w:rPr>
                      <w:rFonts w:hint="eastAsia" w:ascii="Times New Roman" w:hAnsi="Times New Roman" w:eastAsia="宋体" w:cs="Times New Roman"/>
                      <w:color w:val="000000" w:themeColor="text1"/>
                      <w:kern w:val="0"/>
                      <w:szCs w:val="21"/>
                      <w14:textFill>
                        <w14:solidFill>
                          <w14:schemeClr w14:val="tx1"/>
                        </w14:solidFill>
                      </w14:textFill>
                    </w:rPr>
                    <w:t>2022〕1</w:t>
                  </w:r>
                  <w:r>
                    <w:rPr>
                      <w:rFonts w:ascii="Times New Roman" w:hAnsi="Times New Roman" w:eastAsia="宋体" w:cs="Times New Roman"/>
                      <w:color w:val="000000" w:themeColor="text1"/>
                      <w:kern w:val="0"/>
                      <w:szCs w:val="21"/>
                      <w14:textFill>
                        <w14:solidFill>
                          <w14:schemeClr w14:val="tx1"/>
                        </w14:solidFill>
                      </w14:textFill>
                    </w:rPr>
                    <w:t>6</w:t>
                  </w:r>
                  <w:r>
                    <w:rPr>
                      <w:rFonts w:hint="eastAsia"/>
                      <w:color w:val="000000" w:themeColor="text1"/>
                      <w:szCs w:val="21"/>
                      <w14:textFill>
                        <w14:solidFill>
                          <w14:schemeClr w14:val="tx1"/>
                        </w14:solidFill>
                      </w14:textFill>
                    </w:rPr>
                    <w:t>号）</w:t>
                  </w:r>
                </w:p>
              </w:tc>
            </w:tr>
            <w:tr w14:paraId="4740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0" w:type="pct"/>
                  <w:vAlign w:val="center"/>
                </w:tcPr>
                <w:p w14:paraId="4FEB4CC1">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提高工业污水集中处理能力。大力推动工业项目入园集聚发展，加强园区污水处理设施建设与改造。经批准设立的工业集聚区应当按照规定建成污水集中处理设施并安装水污染物排放自动监测设备。未完成污水集中处理设施建设的，暂停审批和核准其增加水污染物排放的建设项目。推行废</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污</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水输送明管化，加强园区雨污分流、清污分流，禁止雨污混排，推进乐昌产业转移工业园开展“污水零直排区”创建，到</w:t>
                  </w:r>
                  <w:r>
                    <w:rPr>
                      <w:rFonts w:hint="default" w:ascii="Times New Roman" w:hAnsi="Times New Roman" w:cs="Times New Roman"/>
                      <w:color w:val="000000" w:themeColor="text1"/>
                      <w:szCs w:val="21"/>
                      <w14:textFill>
                        <w14:solidFill>
                          <w14:schemeClr w14:val="tx1"/>
                        </w14:solidFill>
                      </w14:textFill>
                    </w:rPr>
                    <w:t>2025</w:t>
                  </w:r>
                  <w:r>
                    <w:rPr>
                      <w:rFonts w:hint="eastAsia"/>
                      <w:color w:val="000000" w:themeColor="text1"/>
                      <w:szCs w:val="21"/>
                      <w14:textFill>
                        <w14:solidFill>
                          <w14:schemeClr w14:val="tx1"/>
                        </w14:solidFill>
                      </w14:textFill>
                    </w:rPr>
                    <w:t>年，乐昌产业转移工业园确保实现污水全收集全处理。</w:t>
                  </w:r>
                </w:p>
              </w:tc>
              <w:tc>
                <w:tcPr>
                  <w:tcW w:w="2182" w:type="pct"/>
                  <w:vAlign w:val="center"/>
                </w:tcPr>
                <w:p w14:paraId="10EC70CB">
                  <w:pPr>
                    <w:autoSpaceDE w:val="0"/>
                    <w:autoSpaceDN w:val="0"/>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项目</w:t>
                  </w:r>
                  <w:r>
                    <w:rPr>
                      <w:rFonts w:hint="eastAsia"/>
                      <w:color w:val="000000" w:themeColor="text1"/>
                      <w:szCs w:val="21"/>
                      <w14:textFill>
                        <w14:solidFill>
                          <w14:schemeClr w14:val="tx1"/>
                        </w14:solidFill>
                      </w14:textFill>
                    </w:rPr>
                    <w:t>实行雨污分流制，外排废水主要为生活污水和生产废水，生产废水为间接冷却更换水，生活污水经化粪池预处理后汇同间接冷却更换水排入园区污水处理厂处理。</w:t>
                  </w:r>
                </w:p>
              </w:tc>
              <w:tc>
                <w:tcPr>
                  <w:tcW w:w="308" w:type="pct"/>
                  <w:vAlign w:val="center"/>
                </w:tcPr>
                <w:p w14:paraId="59AFC5B4">
                  <w:pPr>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相符</w:t>
                  </w:r>
                </w:p>
              </w:tc>
            </w:tr>
            <w:tr w14:paraId="684F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0" w:type="pct"/>
                  <w:vAlign w:val="center"/>
                </w:tcPr>
                <w:p w14:paraId="1073CD84">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支持和鼓励进行固体废弃物的回收和再生利用，促进资源的循环利用。推行工业固体废物重点产生企业清洁生产审计，促进企业加强技术改进、降低能耗和物耗，减少固体废物产生，促进废物在企业内部的循环使用和综合</w:t>
                  </w:r>
                </w:p>
              </w:tc>
              <w:tc>
                <w:tcPr>
                  <w:tcW w:w="2182" w:type="pct"/>
                  <w:vAlign w:val="center"/>
                </w:tcPr>
                <w:p w14:paraId="45A005F6">
                  <w:pPr>
                    <w:autoSpaceDE w:val="0"/>
                    <w:autoSpaceDN w:val="0"/>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项目</w:t>
                  </w:r>
                  <w:r>
                    <w:rPr>
                      <w:rFonts w:hint="eastAsia"/>
                      <w:color w:val="000000" w:themeColor="text1"/>
                      <w:szCs w:val="21"/>
                      <w14:textFill>
                        <w14:solidFill>
                          <w14:schemeClr w14:val="tx1"/>
                        </w14:solidFill>
                      </w14:textFill>
                    </w:rPr>
                    <w:t>产生的废金属边角料、废树脂等一般</w:t>
                  </w:r>
                  <w:r>
                    <w:rPr>
                      <w:color w:val="000000" w:themeColor="text1"/>
                      <w:szCs w:val="21"/>
                      <w14:textFill>
                        <w14:solidFill>
                          <w14:schemeClr w14:val="tx1"/>
                        </w14:solidFill>
                      </w14:textFill>
                    </w:rPr>
                    <w:t>工业</w:t>
                  </w:r>
                  <w:r>
                    <w:rPr>
                      <w:rFonts w:hint="eastAsia"/>
                      <w:color w:val="000000" w:themeColor="text1"/>
                      <w:szCs w:val="21"/>
                      <w14:textFill>
                        <w14:solidFill>
                          <w14:schemeClr w14:val="tx1"/>
                        </w14:solidFill>
                      </w14:textFill>
                    </w:rPr>
                    <w:t>固体废物交由回收单位进行回收，促进资源的循环利用；废</w:t>
                  </w:r>
                  <w:r>
                    <w:rPr>
                      <w:color w:val="000000" w:themeColor="text1"/>
                      <w:szCs w:val="21"/>
                      <w14:textFill>
                        <w14:solidFill>
                          <w14:schemeClr w14:val="tx1"/>
                        </w14:solidFill>
                      </w14:textFill>
                    </w:rPr>
                    <w:t>机油、废机油桶、废含油抹布及</w:t>
                  </w:r>
                  <w:r>
                    <w:rPr>
                      <w:rFonts w:hint="eastAsia"/>
                      <w:color w:val="000000" w:themeColor="text1"/>
                      <w:szCs w:val="21"/>
                      <w14:textFill>
                        <w14:solidFill>
                          <w14:schemeClr w14:val="tx1"/>
                        </w14:solidFill>
                      </w14:textFill>
                    </w:rPr>
                    <w:t>手套</w:t>
                  </w:r>
                  <w:r>
                    <w:rPr>
                      <w:color w:val="000000" w:themeColor="text1"/>
                      <w:szCs w:val="21"/>
                      <w14:textFill>
                        <w14:solidFill>
                          <w14:schemeClr w14:val="tx1"/>
                        </w14:solidFill>
                      </w14:textFill>
                    </w:rPr>
                    <w:t>等</w:t>
                  </w:r>
                  <w:r>
                    <w:rPr>
                      <w:rFonts w:hint="eastAsia"/>
                      <w:color w:val="000000" w:themeColor="text1"/>
                      <w:szCs w:val="21"/>
                      <w14:textFill>
                        <w14:solidFill>
                          <w14:schemeClr w14:val="tx1"/>
                        </w14:solidFill>
                      </w14:textFill>
                    </w:rPr>
                    <w:t>危险废物</w:t>
                  </w:r>
                  <w:r>
                    <w:rPr>
                      <w:rFonts w:hint="eastAsia"/>
                      <w:color w:val="000000" w:themeColor="text1"/>
                      <w:szCs w:val="21"/>
                      <w:lang w:eastAsia="zh-CN"/>
                      <w14:textFill>
                        <w14:solidFill>
                          <w14:schemeClr w14:val="tx1"/>
                        </w14:solidFill>
                      </w14:textFill>
                    </w:rPr>
                    <w:t>交由</w:t>
                  </w:r>
                  <w:r>
                    <w:rPr>
                      <w:rFonts w:hint="eastAsia"/>
                      <w:color w:val="000000" w:themeColor="text1"/>
                      <w:szCs w:val="21"/>
                      <w14:textFill>
                        <w14:solidFill>
                          <w14:schemeClr w14:val="tx1"/>
                        </w14:solidFill>
                      </w14:textFill>
                    </w:rPr>
                    <w:t>相关危废处理资质单位处理；本</w:t>
                  </w:r>
                  <w:r>
                    <w:rPr>
                      <w:rFonts w:hint="eastAsia"/>
                      <w:color w:val="000000" w:themeColor="text1"/>
                      <w:szCs w:val="21"/>
                      <w:lang w:eastAsia="zh-CN"/>
                      <w14:textFill>
                        <w14:solidFill>
                          <w14:schemeClr w14:val="tx1"/>
                        </w14:solidFill>
                      </w14:textFill>
                    </w:rPr>
                    <w:t>项目</w:t>
                  </w:r>
                  <w:r>
                    <w:rPr>
                      <w:rFonts w:hint="eastAsia"/>
                      <w:color w:val="000000" w:themeColor="text1"/>
                      <w:szCs w:val="21"/>
                      <w14:textFill>
                        <w14:solidFill>
                          <w14:schemeClr w14:val="tx1"/>
                        </w14:solidFill>
                      </w14:textFill>
                    </w:rPr>
                    <w:t>通过技术改进，降低能耗和物耗，减少固体废物产生。</w:t>
                  </w:r>
                </w:p>
              </w:tc>
              <w:tc>
                <w:tcPr>
                  <w:tcW w:w="308" w:type="pct"/>
                  <w:vAlign w:val="center"/>
                </w:tcPr>
                <w:p w14:paraId="2711935F">
                  <w:pPr>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相符</w:t>
                  </w:r>
                </w:p>
              </w:tc>
            </w:tr>
            <w:tr w14:paraId="1528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0" w:type="pct"/>
                  <w:vAlign w:val="center"/>
                </w:tcPr>
                <w:p w14:paraId="4BAE4132">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严格土壤环境准入管控。严格落实“三线一单”硬约束，建立土壤及地下水环境准入负面清单。结合土壤、地下水等环境风险状况,合理确定区域功能定位、空间布局和建设项目选址，严禁在优先保护类耕地集中区、敏感区周边新建、扩建排放重金属污染物和持久性有机污染物的建设项目。</w:t>
                  </w:r>
                </w:p>
              </w:tc>
              <w:tc>
                <w:tcPr>
                  <w:tcW w:w="2182" w:type="pct"/>
                  <w:vAlign w:val="center"/>
                </w:tcPr>
                <w:p w14:paraId="7707FAD8">
                  <w:pPr>
                    <w:autoSpaceDE w:val="0"/>
                    <w:autoSpaceDN w:val="0"/>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项目</w:t>
                  </w:r>
                  <w:r>
                    <w:rPr>
                      <w:rFonts w:hint="eastAsia"/>
                      <w:color w:val="000000" w:themeColor="text1"/>
                      <w:szCs w:val="21"/>
                      <w14:textFill>
                        <w14:solidFill>
                          <w14:schemeClr w14:val="tx1"/>
                        </w14:solidFill>
                      </w14:textFill>
                    </w:rPr>
                    <w:t>位于工业园内，用地不在优先保护类耕地集中区，也不在养老机构、学校等敏感区周边，也不涉及重金属污染物和持久性有机污染物的排放。</w:t>
                  </w:r>
                </w:p>
              </w:tc>
              <w:tc>
                <w:tcPr>
                  <w:tcW w:w="308" w:type="pct"/>
                  <w:vAlign w:val="center"/>
                </w:tcPr>
                <w:p w14:paraId="082F2EF4">
                  <w:pPr>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相符</w:t>
                  </w:r>
                </w:p>
              </w:tc>
            </w:tr>
            <w:tr w14:paraId="3F08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3"/>
                  <w:vAlign w:val="center"/>
                </w:tcPr>
                <w:p w14:paraId="5DD13C6F">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《广东省土壤与地下水污染防治“十四五”规划》（粤环</w:t>
                  </w:r>
                  <w:r>
                    <w:rPr>
                      <w:rFonts w:hint="eastAsia" w:ascii="Times New Roman" w:hAnsi="Times New Roman" w:eastAsia="宋体" w:cs="Times New Roman"/>
                      <w:color w:val="000000" w:themeColor="text1"/>
                      <w:kern w:val="0"/>
                      <w:szCs w:val="21"/>
                      <w14:textFill>
                        <w14:solidFill>
                          <w14:schemeClr w14:val="tx1"/>
                        </w14:solidFill>
                      </w14:textFill>
                    </w:rPr>
                    <w:t>〔2022〕8</w:t>
                  </w:r>
                  <w:r>
                    <w:rPr>
                      <w:rFonts w:hint="eastAsia"/>
                      <w:color w:val="000000" w:themeColor="text1"/>
                      <w:szCs w:val="21"/>
                      <w14:textFill>
                        <w14:solidFill>
                          <w14:schemeClr w14:val="tx1"/>
                        </w14:solidFill>
                      </w14:textFill>
                    </w:rPr>
                    <w:t>号）</w:t>
                  </w:r>
                </w:p>
              </w:tc>
            </w:tr>
            <w:tr w14:paraId="5DB3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0" w:type="pct"/>
                  <w:vAlign w:val="center"/>
                </w:tcPr>
                <w:p w14:paraId="3E7CE5A2">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系统推进土壤污染源头防控：严格落实“三线一单”生态环境分区管控硬约束，合理确定区域功能定位、空间布局，强化建设项目布局论证，引导重点产业向沿海等环境容量充足地区布局。</w:t>
                  </w:r>
                </w:p>
                <w:p w14:paraId="58825164">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严守环境准入底线。在永久基本农田以及居民区、学校、医疗和养老机构等单位周边，避免新建涉重金属、多环芳烃类等持久性有机污染物企业。</w:t>
                  </w:r>
                </w:p>
              </w:tc>
              <w:tc>
                <w:tcPr>
                  <w:tcW w:w="2182" w:type="pct"/>
                  <w:vAlign w:val="center"/>
                </w:tcPr>
                <w:p w14:paraId="1A79457E">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项目</w:t>
                  </w:r>
                  <w:r>
                    <w:rPr>
                      <w:rFonts w:hint="eastAsia"/>
                      <w:color w:val="000000" w:themeColor="text1"/>
                      <w:szCs w:val="21"/>
                      <w14:textFill>
                        <w14:solidFill>
                          <w14:schemeClr w14:val="tx1"/>
                        </w14:solidFill>
                      </w14:textFill>
                    </w:rPr>
                    <w:t>符合“三线一单”</w:t>
                  </w:r>
                  <w:r>
                    <w:rPr>
                      <w:rFonts w:hint="eastAsia"/>
                      <w:color w:val="000000" w:themeColor="text1"/>
                      <w:szCs w:val="21"/>
                      <w:lang w:val="en-US" w:eastAsia="zh-CN"/>
                      <w14:textFill>
                        <w14:solidFill>
                          <w14:schemeClr w14:val="tx1"/>
                        </w14:solidFill>
                      </w14:textFill>
                    </w:rPr>
                    <w:t>生态环境分区</w:t>
                  </w:r>
                  <w:r>
                    <w:rPr>
                      <w:rFonts w:hint="eastAsia"/>
                      <w:color w:val="000000" w:themeColor="text1"/>
                      <w:szCs w:val="21"/>
                      <w14:textFill>
                        <w14:solidFill>
                          <w14:schemeClr w14:val="tx1"/>
                        </w14:solidFill>
                      </w14:textFill>
                    </w:rPr>
                    <w:t>管控要求及环境功能区划要求。</w:t>
                  </w:r>
                </w:p>
                <w:p w14:paraId="396BB649">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项目</w:t>
                  </w:r>
                  <w:r>
                    <w:rPr>
                      <w:rFonts w:hint="eastAsia"/>
                      <w:color w:val="000000" w:themeColor="text1"/>
                      <w:szCs w:val="21"/>
                      <w14:textFill>
                        <w14:solidFill>
                          <w14:schemeClr w14:val="tx1"/>
                        </w14:solidFill>
                      </w14:textFill>
                    </w:rPr>
                    <w:t>位于工业园内，用地不在永久基本农田集中区域，也不在学校、医疗和养老机构等单位周边，且</w:t>
                  </w:r>
                  <w:r>
                    <w:rPr>
                      <w:rFonts w:hint="eastAsia"/>
                      <w:color w:val="000000" w:themeColor="text1"/>
                      <w:szCs w:val="21"/>
                      <w:lang w:eastAsia="zh-CN"/>
                      <w14:textFill>
                        <w14:solidFill>
                          <w14:schemeClr w14:val="tx1"/>
                        </w14:solidFill>
                      </w14:textFill>
                    </w:rPr>
                    <w:t>项目</w:t>
                  </w:r>
                  <w:r>
                    <w:rPr>
                      <w:rFonts w:hint="eastAsia"/>
                      <w:color w:val="000000" w:themeColor="text1"/>
                      <w:szCs w:val="21"/>
                      <w14:textFill>
                        <w14:solidFill>
                          <w14:schemeClr w14:val="tx1"/>
                        </w14:solidFill>
                      </w14:textFill>
                    </w:rPr>
                    <w:t>不涉及重金属、多环芳烃类等持久性有机污染物产生及排放。</w:t>
                  </w:r>
                </w:p>
              </w:tc>
              <w:tc>
                <w:tcPr>
                  <w:tcW w:w="308" w:type="pct"/>
                  <w:vAlign w:val="center"/>
                </w:tcPr>
                <w:p w14:paraId="743CDB3E">
                  <w:pPr>
                    <w:contextualSpacing/>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相符</w:t>
                  </w:r>
                </w:p>
              </w:tc>
            </w:tr>
          </w:tbl>
          <w:p w14:paraId="56C0767C">
            <w:pPr>
              <w:autoSpaceDE w:val="0"/>
              <w:autoSpaceDN w:val="0"/>
              <w:adjustRightInd w:val="0"/>
              <w:snapToGrid w:val="0"/>
              <w:spacing w:line="360" w:lineRule="auto"/>
              <w:rPr>
                <w:rFonts w:ascii="Times New Roman" w:hAnsi="Times New Roman" w:eastAsia="宋体" w:cs="Times New Roman"/>
                <w:b/>
                <w:color w:val="000000" w:themeColor="text1"/>
                <w:kern w:val="0"/>
                <w:sz w:val="24"/>
                <w14:textFill>
                  <w14:solidFill>
                    <w14:schemeClr w14:val="tx1"/>
                  </w14:solidFill>
                </w14:textFill>
              </w:rPr>
            </w:pPr>
          </w:p>
          <w:p w14:paraId="21B857D6">
            <w:pPr>
              <w:pStyle w:val="301"/>
              <w:ind w:firstLine="84" w:firstLineChars="35"/>
              <w:rPr>
                <w:rFonts w:cs="Times New Roman"/>
                <w:b/>
                <w:color w:val="000000" w:themeColor="text1"/>
                <w:kern w:val="0"/>
                <w14:textFill>
                  <w14:solidFill>
                    <w14:schemeClr w14:val="tx1"/>
                  </w14:solidFill>
                </w14:textFill>
              </w:rPr>
            </w:pPr>
            <w:r>
              <w:rPr>
                <w:rFonts w:cs="Times New Roman"/>
                <w:b/>
                <w:color w:val="000000" w:themeColor="text1"/>
                <w:kern w:val="0"/>
                <w14:textFill>
                  <w14:solidFill>
                    <w14:schemeClr w14:val="tx1"/>
                  </w14:solidFill>
                </w14:textFill>
              </w:rPr>
              <w:t>（2）</w:t>
            </w:r>
            <w:r>
              <w:rPr>
                <w:rFonts w:hint="eastAsia" w:cs="Times New Roman"/>
                <w:b/>
                <w:color w:val="000000" w:themeColor="text1"/>
                <w:kern w:val="0"/>
                <w14:textFill>
                  <w14:solidFill>
                    <w14:schemeClr w14:val="tx1"/>
                  </w14:solidFill>
                </w14:textFill>
              </w:rPr>
              <w:t>与《广东省涉挥发性有机物（</w:t>
            </w:r>
            <w:r>
              <w:rPr>
                <w:rFonts w:cs="Times New Roman"/>
                <w:b/>
                <w:color w:val="000000" w:themeColor="text1"/>
                <w:kern w:val="0"/>
                <w14:textFill>
                  <w14:solidFill>
                    <w14:schemeClr w14:val="tx1"/>
                  </w14:solidFill>
                </w14:textFill>
              </w:rPr>
              <w:t>VOCs</w:t>
            </w:r>
            <w:r>
              <w:rPr>
                <w:rFonts w:hint="eastAsia" w:cs="Times New Roman"/>
                <w:b/>
                <w:color w:val="000000" w:themeColor="text1"/>
                <w:kern w:val="0"/>
                <w14:textFill>
                  <w14:solidFill>
                    <w14:schemeClr w14:val="tx1"/>
                  </w14:solidFill>
                </w14:textFill>
              </w:rPr>
              <w:t>）重点行业治理指引》的通知（粤环办</w:t>
            </w:r>
            <w:r>
              <w:rPr>
                <w:rFonts w:hint="default" w:ascii="Times New Roman" w:hAnsi="Times New Roman" w:cs="Times New Roman"/>
                <w:b/>
                <w:bCs/>
                <w:color w:val="auto"/>
                <w:sz w:val="24"/>
                <w:szCs w:val="22"/>
                <w:highlight w:val="none"/>
              </w:rPr>
              <w:t>〔202</w:t>
            </w:r>
            <w:r>
              <w:rPr>
                <w:rFonts w:hint="eastAsia" w:ascii="Times New Roman" w:hAnsi="Times New Roman" w:cs="Times New Roman"/>
                <w:b/>
                <w:bCs/>
                <w:color w:val="auto"/>
                <w:sz w:val="24"/>
                <w:szCs w:val="22"/>
                <w:highlight w:val="none"/>
                <w:lang w:val="en-US" w:eastAsia="zh-CN"/>
              </w:rPr>
              <w:t>1</w:t>
            </w:r>
            <w:r>
              <w:rPr>
                <w:rFonts w:hint="default" w:ascii="Times New Roman" w:hAnsi="Times New Roman" w:cs="Times New Roman"/>
                <w:b/>
                <w:bCs/>
                <w:color w:val="auto"/>
                <w:sz w:val="24"/>
                <w:szCs w:val="22"/>
                <w:highlight w:val="none"/>
              </w:rPr>
              <w:t>〕</w:t>
            </w:r>
            <w:r>
              <w:rPr>
                <w:rFonts w:cs="Times New Roman"/>
                <w:b/>
                <w:color w:val="000000" w:themeColor="text1"/>
                <w:kern w:val="0"/>
                <w14:textFill>
                  <w14:solidFill>
                    <w14:schemeClr w14:val="tx1"/>
                  </w14:solidFill>
                </w14:textFill>
              </w:rPr>
              <w:t>43</w:t>
            </w:r>
            <w:r>
              <w:rPr>
                <w:rFonts w:hint="eastAsia" w:cs="Times New Roman"/>
                <w:b/>
                <w:color w:val="000000" w:themeColor="text1"/>
                <w:kern w:val="0"/>
                <w14:textFill>
                  <w14:solidFill>
                    <w14:schemeClr w14:val="tx1"/>
                  </w14:solidFill>
                </w14:textFill>
              </w:rPr>
              <w:t>号中“八、表面涂装行业</w:t>
            </w:r>
            <w:r>
              <w:rPr>
                <w:rFonts w:cs="Times New Roman"/>
                <w:b/>
                <w:color w:val="000000" w:themeColor="text1"/>
                <w:kern w:val="0"/>
                <w14:textFill>
                  <w14:solidFill>
                    <w14:schemeClr w14:val="tx1"/>
                  </w14:solidFill>
                </w14:textFill>
              </w:rPr>
              <w:t>VOCs</w:t>
            </w:r>
            <w:r>
              <w:rPr>
                <w:rFonts w:hint="eastAsia" w:cs="Times New Roman"/>
                <w:b/>
                <w:color w:val="000000" w:themeColor="text1"/>
                <w:kern w:val="0"/>
                <w14:textFill>
                  <w14:solidFill>
                    <w14:schemeClr w14:val="tx1"/>
                  </w14:solidFill>
                </w14:textFill>
              </w:rPr>
              <w:t>治理指引”，“六、橡胶和塑料制品业V</w:t>
            </w:r>
            <w:r>
              <w:rPr>
                <w:rFonts w:cs="Times New Roman"/>
                <w:b/>
                <w:color w:val="000000" w:themeColor="text1"/>
                <w:kern w:val="0"/>
                <w14:textFill>
                  <w14:solidFill>
                    <w14:schemeClr w14:val="tx1"/>
                  </w14:solidFill>
                </w14:textFill>
              </w:rPr>
              <w:t>OCs治理指引</w:t>
            </w:r>
            <w:r>
              <w:rPr>
                <w:rFonts w:hint="eastAsia" w:cs="Times New Roman"/>
                <w:b/>
                <w:color w:val="000000" w:themeColor="text1"/>
                <w:kern w:val="0"/>
                <w14:textFill>
                  <w14:solidFill>
                    <w14:schemeClr w14:val="tx1"/>
                  </w14:solidFill>
                </w14:textFill>
              </w:rPr>
              <w:t>”相符性分析）</w:t>
            </w:r>
          </w:p>
          <w:p w14:paraId="1BCD27AA">
            <w:pPr>
              <w:pStyle w:val="301"/>
              <w:spacing w:line="240" w:lineRule="auto"/>
              <w:ind w:firstLine="0" w:firstLineChars="0"/>
              <w:jc w:val="center"/>
              <w:rPr>
                <w:rFonts w:cs="Times New Roman"/>
                <w:b/>
                <w:color w:val="000000" w:themeColor="text1"/>
                <w:kern w:val="0"/>
                <w:sz w:val="21"/>
                <w:szCs w:val="21"/>
                <w14:textFill>
                  <w14:solidFill>
                    <w14:schemeClr w14:val="tx1"/>
                  </w14:solidFill>
                </w14:textFill>
              </w:rPr>
            </w:pPr>
            <w:r>
              <w:rPr>
                <w:rFonts w:cs="Times New Roman"/>
                <w:b/>
                <w:color w:val="000000" w:themeColor="text1"/>
                <w:kern w:val="0"/>
                <w:sz w:val="21"/>
                <w:szCs w:val="21"/>
                <w14:textFill>
                  <w14:solidFill>
                    <w14:schemeClr w14:val="tx1"/>
                  </w14:solidFill>
                </w14:textFill>
              </w:rPr>
              <w:t>表1-4与（粤环办</w:t>
            </w:r>
            <w:r>
              <w:rPr>
                <w:rFonts w:hint="eastAsia" w:cs="Times New Roman"/>
                <w:b/>
                <w:color w:val="000000" w:themeColor="text1"/>
                <w:kern w:val="0"/>
                <w:sz w:val="21"/>
                <w:szCs w:val="21"/>
                <w14:textFill>
                  <w14:solidFill>
                    <w14:schemeClr w14:val="tx1"/>
                  </w14:solidFill>
                </w14:textFill>
              </w:rPr>
              <w:t>〔2021〕</w:t>
            </w:r>
            <w:r>
              <w:rPr>
                <w:rFonts w:cs="Times New Roman"/>
                <w:b/>
                <w:color w:val="000000" w:themeColor="text1"/>
                <w:kern w:val="0"/>
                <w:sz w:val="21"/>
                <w:szCs w:val="21"/>
                <w14:textFill>
                  <w14:solidFill>
                    <w14:schemeClr w14:val="tx1"/>
                  </w14:solidFill>
                </w14:textFill>
              </w:rPr>
              <w:t>43号）表面涂装行业VOCs治理指引相符性分析</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16"/>
              <w:gridCol w:w="2860"/>
              <w:gridCol w:w="719"/>
              <w:gridCol w:w="1405"/>
              <w:gridCol w:w="656"/>
            </w:tblGrid>
            <w:tr w14:paraId="0A4A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14:paraId="28775AB5">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控制要求</w:t>
                  </w:r>
                </w:p>
              </w:tc>
              <w:tc>
                <w:tcPr>
                  <w:tcW w:w="816" w:type="dxa"/>
                  <w:vAlign w:val="center"/>
                </w:tcPr>
                <w:p w14:paraId="05DFA33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环节</w:t>
                  </w:r>
                </w:p>
              </w:tc>
              <w:tc>
                <w:tcPr>
                  <w:tcW w:w="2860" w:type="dxa"/>
                  <w:vAlign w:val="center"/>
                </w:tcPr>
                <w:p w14:paraId="6F84C65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内容</w:t>
                  </w:r>
                </w:p>
              </w:tc>
              <w:tc>
                <w:tcPr>
                  <w:tcW w:w="719" w:type="dxa"/>
                  <w:vAlign w:val="center"/>
                </w:tcPr>
                <w:p w14:paraId="53BB2B7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实施要求</w:t>
                  </w:r>
                </w:p>
              </w:tc>
              <w:tc>
                <w:tcPr>
                  <w:tcW w:w="1405" w:type="dxa"/>
                  <w:vAlign w:val="center"/>
                </w:tcPr>
                <w:p w14:paraId="4E7F3EE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相符性分析</w:t>
                  </w:r>
                </w:p>
              </w:tc>
              <w:tc>
                <w:tcPr>
                  <w:tcW w:w="656" w:type="dxa"/>
                  <w:vAlign w:val="center"/>
                </w:tcPr>
                <w:p w14:paraId="029E345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符合性</w:t>
                  </w:r>
                </w:p>
              </w:tc>
            </w:tr>
            <w:tr w14:paraId="2F02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2" w:type="dxa"/>
                  <w:gridSpan w:val="6"/>
                  <w:vAlign w:val="center"/>
                </w:tcPr>
                <w:p w14:paraId="6A4688F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表面涂装行业VOCs治理指引</w:t>
                  </w:r>
                </w:p>
              </w:tc>
            </w:tr>
            <w:tr w14:paraId="403B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686" w:type="dxa"/>
                  <w:vMerge w:val="restart"/>
                  <w:vAlign w:val="center"/>
                </w:tcPr>
                <w:p w14:paraId="0B89C4D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源头削减</w:t>
                  </w:r>
                </w:p>
              </w:tc>
              <w:tc>
                <w:tcPr>
                  <w:tcW w:w="816" w:type="dxa"/>
                  <w:vAlign w:val="center"/>
                </w:tcPr>
                <w:p w14:paraId="3F51C40D">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溶剂型涂料</w:t>
                  </w:r>
                </w:p>
              </w:tc>
              <w:tc>
                <w:tcPr>
                  <w:tcW w:w="2860" w:type="dxa"/>
                  <w:vAlign w:val="center"/>
                </w:tcPr>
                <w:p w14:paraId="3EDAECE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工程机械和农业机械涂料（含零部件涂料）：</w:t>
                  </w:r>
                </w:p>
                <w:p w14:paraId="6FC047DD">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底漆 VOCs 含量≤540g/L；</w:t>
                  </w:r>
                </w:p>
                <w:p w14:paraId="3E91EE95">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中漆 VOCs 含量≤540g/L；</w:t>
                  </w:r>
                </w:p>
                <w:p w14:paraId="7F7AA95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面漆 VOCs 含量≤550g/L；</w:t>
                  </w:r>
                </w:p>
                <w:p w14:paraId="1FC02975">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清漆 VOCs 含量≤550g/L；</w:t>
                  </w:r>
                </w:p>
              </w:tc>
              <w:tc>
                <w:tcPr>
                  <w:tcW w:w="719" w:type="dxa"/>
                  <w:vAlign w:val="center"/>
                </w:tcPr>
                <w:p w14:paraId="2A032AD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56907DC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喷漆过程中使用油性漆，根据面漆VOCs检测报告，施工状态下面漆的挥发性有机物含量为334g/L。面漆 VOCs 含量≤550g/L限制要求</w:t>
                  </w:r>
                </w:p>
              </w:tc>
              <w:tc>
                <w:tcPr>
                  <w:tcW w:w="656" w:type="dxa"/>
                  <w:vAlign w:val="center"/>
                </w:tcPr>
                <w:p w14:paraId="00365A85">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156E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686" w:type="dxa"/>
                  <w:vMerge w:val="continue"/>
                  <w:vAlign w:val="center"/>
                </w:tcPr>
                <w:p w14:paraId="3EF6455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Align w:val="center"/>
                </w:tcPr>
                <w:p w14:paraId="08CE5F6A">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清洗剂</w:t>
                  </w:r>
                </w:p>
              </w:tc>
              <w:tc>
                <w:tcPr>
                  <w:tcW w:w="2860" w:type="dxa"/>
                  <w:vAlign w:val="center"/>
                </w:tcPr>
                <w:p w14:paraId="702F2C5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有机溶剂清洗剂：VOCs≤900g/L。</w:t>
                  </w:r>
                </w:p>
              </w:tc>
              <w:tc>
                <w:tcPr>
                  <w:tcW w:w="719" w:type="dxa"/>
                  <w:vAlign w:val="center"/>
                </w:tcPr>
                <w:p w14:paraId="5CC3EBDA">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633BEE8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使用的异丙醇清洗剂为单一成分物质，闪点为</w:t>
                  </w:r>
                  <w:r>
                    <w:rPr>
                      <w:rFonts w:cs="Times New Roman"/>
                      <w:color w:val="000000" w:themeColor="text1"/>
                      <w:kern w:val="0"/>
                      <w:sz w:val="21"/>
                      <w:szCs w:val="21"/>
                      <w14:textFill>
                        <w14:solidFill>
                          <w14:schemeClr w14:val="tx1"/>
                        </w14:solidFill>
                      </w14:textFill>
                    </w:rPr>
                    <w:t>11.7</w:t>
                  </w:r>
                  <w:r>
                    <w:rPr>
                      <w:rFonts w:hint="eastAsia" w:cs="Times New Roman"/>
                      <w:color w:val="000000" w:themeColor="text1"/>
                      <w:kern w:val="0"/>
                      <w:sz w:val="21"/>
                      <w:szCs w:val="21"/>
                      <w14:textFill>
                        <w14:solidFill>
                          <w14:schemeClr w14:val="tx1"/>
                        </w14:solidFill>
                      </w14:textFill>
                    </w:rPr>
                    <w:t>℃；沸点为</w:t>
                  </w:r>
                  <w:r>
                    <w:rPr>
                      <w:rFonts w:cs="Times New Roman"/>
                      <w:color w:val="000000" w:themeColor="text1"/>
                      <w:kern w:val="0"/>
                      <w:sz w:val="21"/>
                      <w:szCs w:val="21"/>
                      <w14:textFill>
                        <w14:solidFill>
                          <w14:schemeClr w14:val="tx1"/>
                        </w14:solidFill>
                      </w14:textFill>
                    </w:rPr>
                    <w:t>82.5</w:t>
                  </w:r>
                  <w:r>
                    <w:rPr>
                      <w:rFonts w:hint="eastAsia" w:cs="Times New Roman"/>
                      <w:color w:val="000000" w:themeColor="text1"/>
                      <w:kern w:val="0"/>
                      <w:sz w:val="21"/>
                      <w:szCs w:val="21"/>
                      <w14:textFill>
                        <w14:solidFill>
                          <w14:schemeClr w14:val="tx1"/>
                        </w14:solidFill>
                      </w14:textFill>
                    </w:rPr>
                    <w:t>℃；相对密度（水=1）为0.7</w:t>
                  </w:r>
                  <w:r>
                    <w:rPr>
                      <w:rFonts w:cs="Times New Roman"/>
                      <w:color w:val="000000" w:themeColor="text1"/>
                      <w:kern w:val="0"/>
                      <w:sz w:val="21"/>
                      <w:szCs w:val="21"/>
                      <w14:textFill>
                        <w14:solidFill>
                          <w14:schemeClr w14:val="tx1"/>
                        </w14:solidFill>
                      </w14:textFill>
                    </w:rPr>
                    <w:t>9</w:t>
                  </w:r>
                  <w:r>
                    <w:rPr>
                      <w:rFonts w:hint="eastAsia" w:cs="Times New Roman"/>
                      <w:color w:val="000000" w:themeColor="text1"/>
                      <w:kern w:val="0"/>
                      <w:sz w:val="21"/>
                      <w:szCs w:val="21"/>
                      <w14:textFill>
                        <w14:solidFill>
                          <w14:schemeClr w14:val="tx1"/>
                        </w14:solidFill>
                      </w14:textFill>
                    </w:rPr>
                    <w:t>，按其有机物组分100%挥发计算，VOC含量为7</w:t>
                  </w:r>
                  <w:r>
                    <w:rPr>
                      <w:rFonts w:cs="Times New Roman"/>
                      <w:color w:val="000000" w:themeColor="text1"/>
                      <w:kern w:val="0"/>
                      <w:sz w:val="21"/>
                      <w:szCs w:val="21"/>
                      <w14:textFill>
                        <w14:solidFill>
                          <w14:schemeClr w14:val="tx1"/>
                        </w14:solidFill>
                      </w14:textFill>
                    </w:rPr>
                    <w:t>90</w:t>
                  </w:r>
                  <w:r>
                    <w:rPr>
                      <w:rFonts w:hint="eastAsia" w:cs="Times New Roman"/>
                      <w:color w:val="000000" w:themeColor="text1"/>
                      <w:kern w:val="0"/>
                      <w:sz w:val="21"/>
                      <w:szCs w:val="21"/>
                      <w14:textFill>
                        <w14:solidFill>
                          <w14:schemeClr w14:val="tx1"/>
                        </w14:solidFill>
                      </w14:textFill>
                    </w:rPr>
                    <w:t>g/L，可以满足《清洗剂挥发性有机化合物含量限值》（GB38508-2020）中有机溶剂清洗剂VOC含量限值（≤ 900g/L）的要求。</w:t>
                  </w:r>
                </w:p>
              </w:tc>
              <w:tc>
                <w:tcPr>
                  <w:tcW w:w="656" w:type="dxa"/>
                  <w:vAlign w:val="center"/>
                </w:tcPr>
                <w:p w14:paraId="0D3A6CD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2E17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686" w:type="dxa"/>
                  <w:vMerge w:val="restart"/>
                  <w:vAlign w:val="center"/>
                </w:tcPr>
                <w:p w14:paraId="3DA6942A">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过程控制</w:t>
                  </w:r>
                </w:p>
              </w:tc>
              <w:tc>
                <w:tcPr>
                  <w:tcW w:w="816" w:type="dxa"/>
                  <w:vAlign w:val="center"/>
                </w:tcPr>
                <w:p w14:paraId="3A8EE0B5">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VOCs物料储存</w:t>
                  </w:r>
                </w:p>
              </w:tc>
              <w:tc>
                <w:tcPr>
                  <w:tcW w:w="2860" w:type="dxa"/>
                  <w:vAlign w:val="center"/>
                </w:tcPr>
                <w:p w14:paraId="164F443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油漆、稀释剂、清洗剂等含</w:t>
                  </w:r>
                </w:p>
                <w:p w14:paraId="79F9B2B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VOCs物料应储存于密闭的容器、包装袋、储罐、儲库、料仓中。</w:t>
                  </w:r>
                </w:p>
              </w:tc>
              <w:tc>
                <w:tcPr>
                  <w:tcW w:w="719" w:type="dxa"/>
                  <w:vAlign w:val="center"/>
                </w:tcPr>
                <w:p w14:paraId="7B4B3A6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Merge w:val="restart"/>
                  <w:vAlign w:val="center"/>
                </w:tcPr>
                <w:p w14:paraId="100B71C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使用的油性漆、稀释剂、清洗剂等用密闭包装保存，所有原辅材料、包装容器均放置室内，符合要求。</w:t>
                  </w:r>
                </w:p>
              </w:tc>
              <w:tc>
                <w:tcPr>
                  <w:tcW w:w="656" w:type="dxa"/>
                  <w:vAlign w:val="center"/>
                </w:tcPr>
                <w:p w14:paraId="2218D7B4">
                  <w:pPr>
                    <w:pStyle w:val="301"/>
                    <w:spacing w:line="240" w:lineRule="auto"/>
                    <w:ind w:firstLine="0" w:firstLineChars="0"/>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0AAF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6682C5F5">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Align w:val="center"/>
                </w:tcPr>
                <w:p w14:paraId="41F13BF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VOCs物料</w:t>
                  </w:r>
                  <w:r>
                    <w:rPr>
                      <w:rFonts w:hint="eastAsia" w:cs="Times New Roman"/>
                      <w:color w:val="000000" w:themeColor="text1"/>
                      <w:kern w:val="0"/>
                      <w:sz w:val="21"/>
                      <w:szCs w:val="21"/>
                      <w14:textFill>
                        <w14:solidFill>
                          <w14:schemeClr w14:val="tx1"/>
                        </w14:solidFill>
                      </w14:textFill>
                    </w:rPr>
                    <w:t>转移、输送</w:t>
                  </w:r>
                </w:p>
              </w:tc>
              <w:tc>
                <w:tcPr>
                  <w:tcW w:w="2860" w:type="dxa"/>
                  <w:vAlign w:val="center"/>
                </w:tcPr>
                <w:p w14:paraId="5E976001">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油</w:t>
                  </w:r>
                  <w:r>
                    <w:rPr>
                      <w:rFonts w:cs="Times New Roman"/>
                      <w:color w:val="000000" w:themeColor="text1"/>
                      <w:kern w:val="0"/>
                      <w:sz w:val="21"/>
                      <w:szCs w:val="21"/>
                      <w14:textFill>
                        <w14:solidFill>
                          <w14:schemeClr w14:val="tx1"/>
                        </w14:solidFill>
                      </w14:textFill>
                    </w:rPr>
                    <w:t>漆、稀释剂、清洗剂等盛装VOCs物料的容器存放于室内，或存放于设置有雨棚、遮阳和防渗设施的专用场地。盛装VPCs物料的容器在非取用状态时应加盖、封口，保持密闭。</w:t>
                  </w:r>
                </w:p>
              </w:tc>
              <w:tc>
                <w:tcPr>
                  <w:tcW w:w="719" w:type="dxa"/>
                  <w:vAlign w:val="center"/>
                </w:tcPr>
                <w:p w14:paraId="704AF34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Merge w:val="continue"/>
                  <w:vAlign w:val="center"/>
                </w:tcPr>
                <w:p w14:paraId="0664FB97">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656" w:type="dxa"/>
                  <w:vAlign w:val="center"/>
                </w:tcPr>
                <w:p w14:paraId="6B1473E5">
                  <w:pPr>
                    <w:pStyle w:val="301"/>
                    <w:spacing w:line="240" w:lineRule="auto"/>
                    <w:ind w:firstLine="0" w:firstLineChars="0"/>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41EF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restart"/>
                  <w:vAlign w:val="center"/>
                </w:tcPr>
                <w:p w14:paraId="76A73622">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末端治理</w:t>
                  </w:r>
                </w:p>
              </w:tc>
              <w:tc>
                <w:tcPr>
                  <w:tcW w:w="816" w:type="dxa"/>
                  <w:vAlign w:val="center"/>
                </w:tcPr>
                <w:p w14:paraId="07D4AA7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工艺过程</w:t>
                  </w:r>
                </w:p>
              </w:tc>
              <w:tc>
                <w:tcPr>
                  <w:tcW w:w="2860" w:type="dxa"/>
                  <w:vAlign w:val="center"/>
                </w:tcPr>
                <w:p w14:paraId="049D6C3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调配、电泳、电泳烘干、喷漆（低、中、面、清）、喷涂烘干、修补漆、漆烘干等使用VOCs质量占比大于等于10%物料的工艺过程</w:t>
                  </w:r>
                </w:p>
                <w:p w14:paraId="264DDFB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应采用密闭设备或在密闭空间内操作，废气应排至VOCs</w:t>
                  </w:r>
                </w:p>
                <w:p w14:paraId="148C1F8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废气收集处理系统：无法密闭的，应采取局部气体收集</w:t>
                  </w:r>
                </w:p>
                <w:p w14:paraId="5EA1A8A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措施，废气排至VOCs废气收集处理系统。</w:t>
                  </w:r>
                </w:p>
              </w:tc>
              <w:tc>
                <w:tcPr>
                  <w:tcW w:w="719" w:type="dxa"/>
                  <w:vAlign w:val="center"/>
                </w:tcPr>
                <w:p w14:paraId="7ACED94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6C71E90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喷漆在喷漆柜内进行；产生的喷漆废气（包含调漆、喷枪清洗废气、风干废气）</w:t>
                  </w:r>
                  <w:r>
                    <w:rPr>
                      <w:rFonts w:hint="eastAsia" w:cs="Times New Roman"/>
                      <w:color w:val="000000" w:themeColor="text1"/>
                      <w:kern w:val="0"/>
                      <w:sz w:val="21"/>
                      <w:szCs w:val="21"/>
                      <w:lang w:val="en-US" w:eastAsia="zh-CN"/>
                      <w14:textFill>
                        <w14:solidFill>
                          <w14:schemeClr w14:val="tx1"/>
                        </w14:solidFill>
                      </w14:textFill>
                    </w:rPr>
                    <w:t>全密闭</w:t>
                  </w:r>
                  <w:r>
                    <w:rPr>
                      <w:rFonts w:hint="eastAsia" w:cs="Times New Roman"/>
                      <w:color w:val="000000" w:themeColor="text1"/>
                      <w:kern w:val="0"/>
                      <w:sz w:val="21"/>
                      <w:szCs w:val="21"/>
                      <w14:textFill>
                        <w14:solidFill>
                          <w14:schemeClr w14:val="tx1"/>
                        </w14:solidFill>
                      </w14:textFill>
                    </w:rPr>
                    <w:t>收集后经过</w:t>
                  </w:r>
                  <w:r>
                    <w:rPr>
                      <w:rFonts w:hint="eastAsia" w:cs="Times New Roman"/>
                      <w:color w:val="000000" w:themeColor="text1"/>
                      <w:kern w:val="0"/>
                      <w:sz w:val="21"/>
                      <w:szCs w:val="21"/>
                      <w:lang w:val="en-US" w:eastAsia="zh-CN"/>
                      <w14:textFill>
                        <w14:solidFill>
                          <w14:schemeClr w14:val="tx1"/>
                        </w14:solidFill>
                      </w14:textFill>
                    </w:rPr>
                    <w:t>二级活性炭</w:t>
                  </w:r>
                  <w:r>
                    <w:rPr>
                      <w:rFonts w:cs="Times New Roman"/>
                      <w:color w:val="000000" w:themeColor="text1"/>
                      <w:kern w:val="0"/>
                      <w:sz w:val="21"/>
                      <w:szCs w:val="21"/>
                      <w14:textFill>
                        <w14:solidFill>
                          <w14:schemeClr w14:val="tx1"/>
                        </w14:solidFill>
                      </w14:textFill>
                    </w:rPr>
                    <w:t>处理系统处</w:t>
                  </w:r>
                  <w:r>
                    <w:rPr>
                      <w:rFonts w:hint="eastAsia" w:cs="Times New Roman"/>
                      <w:color w:val="000000" w:themeColor="text1"/>
                      <w:kern w:val="0"/>
                      <w:sz w:val="21"/>
                      <w:szCs w:val="21"/>
                      <w14:textFill>
                        <w14:solidFill>
                          <w14:schemeClr w14:val="tx1"/>
                        </w14:solidFill>
                      </w14:textFill>
                    </w:rPr>
                    <w:t>理后通过15m排气筒DA00</w:t>
                  </w:r>
                  <w:r>
                    <w:rPr>
                      <w:rFonts w:cs="Times New Roman"/>
                      <w:color w:val="000000" w:themeColor="text1"/>
                      <w:kern w:val="0"/>
                      <w:sz w:val="21"/>
                      <w:szCs w:val="21"/>
                      <w14:textFill>
                        <w14:solidFill>
                          <w14:schemeClr w14:val="tx1"/>
                        </w14:solidFill>
                      </w14:textFill>
                    </w:rPr>
                    <w:t>5</w:t>
                  </w:r>
                  <w:r>
                    <w:rPr>
                      <w:rFonts w:hint="eastAsia" w:cs="Times New Roman"/>
                      <w:color w:val="000000" w:themeColor="text1"/>
                      <w:kern w:val="0"/>
                      <w:sz w:val="21"/>
                      <w:szCs w:val="21"/>
                      <w14:textFill>
                        <w14:solidFill>
                          <w14:schemeClr w14:val="tx1"/>
                        </w14:solidFill>
                      </w14:textFill>
                    </w:rPr>
                    <w:t>排放；</w:t>
                  </w:r>
                  <w:r>
                    <w:rPr>
                      <w:rFonts w:cs="Times New Roman"/>
                      <w:color w:val="000000" w:themeColor="text1"/>
                      <w:kern w:val="0"/>
                      <w:sz w:val="21"/>
                      <w:szCs w:val="21"/>
                      <w14:textFill>
                        <w14:solidFill>
                          <w14:schemeClr w14:val="tx1"/>
                        </w14:solidFill>
                      </w14:textFill>
                    </w:rPr>
                    <w:t>符合要求</w:t>
                  </w:r>
                  <w:r>
                    <w:rPr>
                      <w:rFonts w:hint="eastAsia" w:cs="Times New Roman"/>
                      <w:color w:val="000000" w:themeColor="text1"/>
                      <w:kern w:val="0"/>
                      <w:sz w:val="21"/>
                      <w:szCs w:val="21"/>
                      <w14:textFill>
                        <w14:solidFill>
                          <w14:schemeClr w14:val="tx1"/>
                        </w14:solidFill>
                      </w14:textFill>
                    </w:rPr>
                    <w:t>。</w:t>
                  </w:r>
                </w:p>
              </w:tc>
              <w:tc>
                <w:tcPr>
                  <w:tcW w:w="656" w:type="dxa"/>
                  <w:vAlign w:val="center"/>
                </w:tcPr>
                <w:p w14:paraId="6906B8E4">
                  <w:pPr>
                    <w:pStyle w:val="301"/>
                    <w:spacing w:line="240" w:lineRule="auto"/>
                    <w:ind w:firstLine="0" w:firstLineChars="0"/>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3A7F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2E07AEB8">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Align w:val="center"/>
                </w:tcPr>
                <w:p w14:paraId="77C69E55">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废气收集</w:t>
                  </w:r>
                </w:p>
              </w:tc>
              <w:tc>
                <w:tcPr>
                  <w:tcW w:w="2860" w:type="dxa"/>
                  <w:vAlign w:val="center"/>
                </w:tcPr>
                <w:p w14:paraId="19B52CC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废气收集系统的输送管道应密闭。废气收集系统应在负压下运行，若处于正压状态，应对管道组件的密封点进行泄漏检测，泄漏检测值不应超过500umol/mol，亦不应有感官可察觉泄漏。</w:t>
                  </w:r>
                </w:p>
              </w:tc>
              <w:tc>
                <w:tcPr>
                  <w:tcW w:w="719" w:type="dxa"/>
                  <w:vAlign w:val="center"/>
                </w:tcPr>
                <w:p w14:paraId="56827D9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6719F541">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的废气收集输送管道密闭输送，废气</w:t>
                  </w:r>
                  <w:r>
                    <w:rPr>
                      <w:rFonts w:cs="Times New Roman"/>
                      <w:color w:val="000000" w:themeColor="text1"/>
                      <w:kern w:val="0"/>
                      <w:sz w:val="21"/>
                      <w:szCs w:val="21"/>
                      <w14:textFill>
                        <w14:solidFill>
                          <w14:schemeClr w14:val="tx1"/>
                        </w14:solidFill>
                      </w14:textFill>
                    </w:rPr>
                    <w:t>收集系统在负压下运行，</w:t>
                  </w:r>
                  <w:r>
                    <w:rPr>
                      <w:rFonts w:hint="eastAsia" w:cs="Times New Roman"/>
                      <w:color w:val="000000" w:themeColor="text1"/>
                      <w:kern w:val="0"/>
                      <w:sz w:val="21"/>
                      <w:szCs w:val="21"/>
                      <w14:textFill>
                        <w14:solidFill>
                          <w14:schemeClr w14:val="tx1"/>
                        </w14:solidFill>
                      </w14:textFill>
                    </w:rPr>
                    <w:t>符合相应要求。</w:t>
                  </w:r>
                </w:p>
              </w:tc>
              <w:tc>
                <w:tcPr>
                  <w:tcW w:w="656" w:type="dxa"/>
                  <w:vAlign w:val="center"/>
                </w:tcPr>
                <w:p w14:paraId="69E2BD2A">
                  <w:pPr>
                    <w:pStyle w:val="301"/>
                    <w:spacing w:line="240" w:lineRule="auto"/>
                    <w:ind w:firstLine="0" w:firstLineChars="0"/>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074D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353F704F">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restart"/>
                  <w:vAlign w:val="center"/>
                </w:tcPr>
                <w:p w14:paraId="5DC45B5E">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2860" w:type="dxa"/>
                  <w:vAlign w:val="center"/>
                </w:tcPr>
                <w:p w14:paraId="50F208BA">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废气收集系统应与生产工艺设备同步运行。废气收集系统发生故障或检修时，对应的生产工艺设备应停止运行，待检修完毕后同步投入使用：生产工艺设备不能停止运行或不能及时停止运行的，应设置废气应急处理设施或采取其他代替措施。</w:t>
                  </w:r>
                </w:p>
              </w:tc>
              <w:tc>
                <w:tcPr>
                  <w:tcW w:w="719" w:type="dxa"/>
                  <w:vAlign w:val="center"/>
                </w:tcPr>
                <w:p w14:paraId="7045B0C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3C9B504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生产设备和环保设施“同启同停”。废气收集系统发生故障或检修时，对应的生产工艺设备停止运行，待检修完毕后再生产。</w:t>
                  </w:r>
                </w:p>
              </w:tc>
              <w:tc>
                <w:tcPr>
                  <w:tcW w:w="656" w:type="dxa"/>
                  <w:vAlign w:val="center"/>
                </w:tcPr>
                <w:p w14:paraId="2D6498FA">
                  <w:pPr>
                    <w:pStyle w:val="301"/>
                    <w:spacing w:line="240" w:lineRule="auto"/>
                    <w:ind w:firstLine="0" w:firstLineChars="0"/>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0B00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6" w:type="dxa"/>
                  <w:vMerge w:val="continue"/>
                  <w:vAlign w:val="center"/>
                </w:tcPr>
                <w:p w14:paraId="43D134F5">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4BE9633C">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2860" w:type="dxa"/>
                  <w:vAlign w:val="center"/>
                </w:tcPr>
                <w:p w14:paraId="5390D288">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其他表面涂装行业</w:t>
                  </w:r>
                </w:p>
                <w:p w14:paraId="75E98E2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a）2002年1月1日前的建设项目排放的工艺有机废气排放浓度执行《大气污染物排放限值》（DB4427-2001）第一时段限值：2002年1月1日起的建设项目排放的有机废气排放浓度执行《大气污染物排放限值》〈DB4427-2001）第二时段限值；车间或生产设施排气中NMHC初始排放速率≥3kg/h时，建设VOCs处理设施且处理效率≥80%。b）厂区内无组织排放监控点NMHC的小时平均浓度值不超过6mg/m</w:t>
                  </w:r>
                  <w:r>
                    <w:rPr>
                      <w:rFonts w:cs="Times New Roman"/>
                      <w:color w:val="000000" w:themeColor="text1"/>
                      <w:kern w:val="0"/>
                      <w:sz w:val="21"/>
                      <w:szCs w:val="21"/>
                      <w:vertAlign w:val="superscript"/>
                      <w14:textFill>
                        <w14:solidFill>
                          <w14:schemeClr w14:val="tx1"/>
                        </w14:solidFill>
                      </w14:textFill>
                    </w:rPr>
                    <w:t>3</w:t>
                  </w:r>
                  <w:r>
                    <w:rPr>
                      <w:rFonts w:hint="eastAsia" w:cs="Times New Roman"/>
                      <w:color w:val="000000" w:themeColor="text1"/>
                      <w:kern w:val="0"/>
                      <w:sz w:val="21"/>
                      <w:szCs w:val="21"/>
                      <w14:textFill>
                        <w14:solidFill>
                          <w14:schemeClr w14:val="tx1"/>
                        </w14:solidFill>
                      </w14:textFill>
                    </w:rPr>
                    <w:t>，任意一次浓度值不超过20mg/m</w:t>
                  </w:r>
                  <w:r>
                    <w:rPr>
                      <w:rFonts w:cs="Times New Roman"/>
                      <w:color w:val="000000" w:themeColor="text1"/>
                      <w:kern w:val="0"/>
                      <w:sz w:val="21"/>
                      <w:szCs w:val="21"/>
                      <w:vertAlign w:val="superscript"/>
                      <w14:textFill>
                        <w14:solidFill>
                          <w14:schemeClr w14:val="tx1"/>
                        </w14:solidFill>
                      </w14:textFill>
                    </w:rPr>
                    <w:t>3</w:t>
                  </w:r>
                  <w:r>
                    <w:rPr>
                      <w:rFonts w:hint="eastAsia" w:cs="Times New Roman"/>
                      <w:color w:val="000000" w:themeColor="text1"/>
                      <w:kern w:val="0"/>
                      <w:sz w:val="21"/>
                      <w:szCs w:val="21"/>
                      <w14:textFill>
                        <w14:solidFill>
                          <w14:schemeClr w14:val="tx1"/>
                        </w14:solidFill>
                      </w14:textFill>
                    </w:rPr>
                    <w:t>。</w:t>
                  </w:r>
                </w:p>
              </w:tc>
              <w:tc>
                <w:tcPr>
                  <w:tcW w:w="719" w:type="dxa"/>
                  <w:vAlign w:val="center"/>
                </w:tcPr>
                <w:p w14:paraId="1BFFA42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3949E76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建成后，</w:t>
                  </w:r>
                  <w:r>
                    <w:rPr>
                      <w:rFonts w:hint="eastAsia" w:cs="Times New Roman"/>
                      <w:color w:val="000000" w:themeColor="text1"/>
                      <w:kern w:val="0"/>
                      <w:sz w:val="21"/>
                      <w:szCs w:val="21"/>
                      <w14:textFill>
                        <w14:solidFill>
                          <w14:schemeClr w14:val="tx1"/>
                        </w14:solidFill>
                      </w14:textFill>
                    </w:rPr>
                    <w:t>将</w:t>
                  </w:r>
                  <w:r>
                    <w:rPr>
                      <w:rFonts w:cs="Times New Roman"/>
                      <w:color w:val="000000" w:themeColor="text1"/>
                      <w:kern w:val="0"/>
                      <w:sz w:val="21"/>
                      <w:szCs w:val="21"/>
                      <w14:textFill>
                        <w14:solidFill>
                          <w14:schemeClr w14:val="tx1"/>
                        </w14:solidFill>
                      </w14:textFill>
                    </w:rPr>
                    <w:t>按照要求定期进行厂区的有组织和无组织废气检测：本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有机废气采用</w:t>
                  </w:r>
                  <w:r>
                    <w:rPr>
                      <w:rFonts w:hint="eastAsia" w:cs="Times New Roman"/>
                      <w:color w:val="000000" w:themeColor="text1"/>
                      <w:kern w:val="0"/>
                      <w:sz w:val="21"/>
                      <w:szCs w:val="21"/>
                      <w:lang w:val="en-US" w:eastAsia="zh-CN"/>
                      <w14:textFill>
                        <w14:solidFill>
                          <w14:schemeClr w14:val="tx1"/>
                        </w14:solidFill>
                      </w14:textFill>
                    </w:rPr>
                    <w:t>二级活性炭</w:t>
                  </w:r>
                  <w:r>
                    <w:rPr>
                      <w:rFonts w:cs="Times New Roman"/>
                      <w:color w:val="000000" w:themeColor="text1"/>
                      <w:kern w:val="0"/>
                      <w:sz w:val="21"/>
                      <w:szCs w:val="21"/>
                      <w14:textFill>
                        <w14:solidFill>
                          <w14:schemeClr w14:val="tx1"/>
                        </w14:solidFill>
                      </w14:textFill>
                    </w:rPr>
                    <w:t>处理系统，属于高效的治污设施，处理效率达到</w:t>
                  </w:r>
                  <w:r>
                    <w:rPr>
                      <w:rFonts w:hint="eastAsia" w:cs="Times New Roman"/>
                      <w:color w:val="000000" w:themeColor="text1"/>
                      <w:kern w:val="0"/>
                      <w:sz w:val="21"/>
                      <w:szCs w:val="21"/>
                      <w:lang w:val="en-US" w:eastAsia="zh-CN"/>
                      <w14:textFill>
                        <w14:solidFill>
                          <w14:schemeClr w14:val="tx1"/>
                        </w14:solidFill>
                      </w14:textFill>
                    </w:rPr>
                    <w:t>80</w:t>
                  </w:r>
                  <w:r>
                    <w:rPr>
                      <w:rFonts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厂区内无组织排放监控点</w:t>
                  </w:r>
                  <w:r>
                    <w:rPr>
                      <w:rFonts w:hint="eastAsia" w:cs="Times New Roman"/>
                      <w:color w:val="000000" w:themeColor="text1"/>
                      <w:kern w:val="0"/>
                      <w:sz w:val="21"/>
                      <w:szCs w:val="21"/>
                      <w14:textFill>
                        <w14:solidFill>
                          <w14:schemeClr w14:val="tx1"/>
                        </w14:solidFill>
                      </w14:textFill>
                    </w:rPr>
                    <w:t>N</w:t>
                  </w:r>
                  <w:r>
                    <w:rPr>
                      <w:rFonts w:cs="Times New Roman"/>
                      <w:color w:val="000000" w:themeColor="text1"/>
                      <w:kern w:val="0"/>
                      <w:sz w:val="21"/>
                      <w:szCs w:val="21"/>
                      <w14:textFill>
                        <w14:solidFill>
                          <w14:schemeClr w14:val="tx1"/>
                        </w14:solidFill>
                      </w14:textFill>
                    </w:rPr>
                    <w:t>MHC的</w:t>
                  </w:r>
                  <w:r>
                    <w:rPr>
                      <w:rFonts w:hint="eastAsia" w:cs="Times New Roman"/>
                      <w:color w:val="000000" w:themeColor="text1"/>
                      <w:kern w:val="0"/>
                      <w:sz w:val="21"/>
                      <w:szCs w:val="21"/>
                      <w14:textFill>
                        <w14:solidFill>
                          <w14:schemeClr w14:val="tx1"/>
                        </w14:solidFill>
                      </w14:textFill>
                    </w:rPr>
                    <w:t>小时平均浓度值不超过6mg/m</w:t>
                  </w:r>
                  <w:r>
                    <w:rPr>
                      <w:rFonts w:hint="eastAsia" w:cs="Times New Roman"/>
                      <w:color w:val="000000" w:themeColor="text1"/>
                      <w:kern w:val="0"/>
                      <w:sz w:val="21"/>
                      <w:szCs w:val="21"/>
                      <w:vertAlign w:val="superscript"/>
                      <w14:textFill>
                        <w14:solidFill>
                          <w14:schemeClr w14:val="tx1"/>
                        </w14:solidFill>
                      </w14:textFill>
                    </w:rPr>
                    <w:t>3</w:t>
                  </w:r>
                  <w:r>
                    <w:rPr>
                      <w:rFonts w:hint="eastAsia" w:cs="Times New Roman"/>
                      <w:color w:val="000000" w:themeColor="text1"/>
                      <w:kern w:val="0"/>
                      <w:sz w:val="21"/>
                      <w:szCs w:val="21"/>
                      <w14:textFill>
                        <w14:solidFill>
                          <w14:schemeClr w14:val="tx1"/>
                        </w14:solidFill>
                      </w14:textFill>
                    </w:rPr>
                    <w:t>，任意一次浓度值不超过20mg/m</w:t>
                  </w:r>
                  <w:r>
                    <w:rPr>
                      <w:rFonts w:hint="eastAsia" w:cs="Times New Roman"/>
                      <w:color w:val="000000" w:themeColor="text1"/>
                      <w:kern w:val="0"/>
                      <w:sz w:val="21"/>
                      <w:szCs w:val="21"/>
                      <w:vertAlign w:val="superscript"/>
                      <w14:textFill>
                        <w14:solidFill>
                          <w14:schemeClr w14:val="tx1"/>
                        </w14:solidFill>
                      </w14:textFill>
                    </w:rPr>
                    <w:t>3</w:t>
                  </w:r>
                  <w:r>
                    <w:rPr>
                      <w:rFonts w:hint="eastAsia" w:cs="Times New Roman"/>
                      <w:color w:val="000000" w:themeColor="text1"/>
                      <w:kern w:val="0"/>
                      <w:sz w:val="21"/>
                      <w:szCs w:val="21"/>
                      <w14:textFill>
                        <w14:solidFill>
                          <w14:schemeClr w14:val="tx1"/>
                        </w14:solidFill>
                      </w14:textFill>
                    </w:rPr>
                    <w:t>。</w:t>
                  </w:r>
                </w:p>
              </w:tc>
              <w:tc>
                <w:tcPr>
                  <w:tcW w:w="656" w:type="dxa"/>
                  <w:vAlign w:val="center"/>
                </w:tcPr>
                <w:p w14:paraId="633F35D4">
                  <w:pPr>
                    <w:pStyle w:val="301"/>
                    <w:spacing w:line="240" w:lineRule="auto"/>
                    <w:ind w:firstLine="0" w:firstLineChars="0"/>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41AC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3" w:hRule="atLeast"/>
                <w:jc w:val="center"/>
              </w:trPr>
              <w:tc>
                <w:tcPr>
                  <w:tcW w:w="686" w:type="dxa"/>
                  <w:vMerge w:val="continue"/>
                  <w:vAlign w:val="center"/>
                </w:tcPr>
                <w:p w14:paraId="3F0DFE66">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restart"/>
                  <w:vAlign w:val="center"/>
                </w:tcPr>
                <w:p w14:paraId="16E5652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治理设施设计与运行管理</w:t>
                  </w:r>
                </w:p>
              </w:tc>
              <w:tc>
                <w:tcPr>
                  <w:tcW w:w="2860" w:type="dxa"/>
                  <w:vAlign w:val="center"/>
                </w:tcPr>
                <w:p w14:paraId="607F4B24">
                  <w:pPr>
                    <w:pStyle w:val="301"/>
                    <w:spacing w:line="240" w:lineRule="auto"/>
                    <w:ind w:firstLine="42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VOCs治理设施应与生产工艺设备同步运行，VOCs治理设施发生故障或检修时，对应的生产工艺设备应停止运行，待检修完毕后同步</w:t>
                  </w:r>
                  <w:r>
                    <w:rPr>
                      <w:rFonts w:hint="eastAsia" w:cs="Times New Roman"/>
                      <w:color w:val="000000" w:themeColor="text1"/>
                      <w:kern w:val="0"/>
                      <w:sz w:val="21"/>
                      <w:szCs w:val="21"/>
                      <w:lang w:eastAsia="zh-CN"/>
                      <w14:textFill>
                        <w14:solidFill>
                          <w14:schemeClr w14:val="tx1"/>
                        </w14:solidFill>
                      </w14:textFill>
                    </w:rPr>
                    <w:t>投入使用</w:t>
                  </w:r>
                  <w:r>
                    <w:rPr>
                      <w:rFonts w:hint="eastAsia" w:cs="Times New Roman"/>
                      <w:color w:val="000000" w:themeColor="text1"/>
                      <w:kern w:val="0"/>
                      <w:sz w:val="21"/>
                      <w:szCs w:val="21"/>
                      <w14:textFill>
                        <w14:solidFill>
                          <w14:schemeClr w14:val="tx1"/>
                        </w14:solidFill>
                      </w14:textFill>
                    </w:rPr>
                    <w:t>；生产工艺设备不能停止运行或不能及时停止运行的，应设置废气应急处理设施或采取其他替代措施。</w:t>
                  </w:r>
                </w:p>
              </w:tc>
              <w:tc>
                <w:tcPr>
                  <w:tcW w:w="719" w:type="dxa"/>
                  <w:vAlign w:val="center"/>
                </w:tcPr>
                <w:p w14:paraId="0E72860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5A8BE41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生产设备和环保设施“同启同停”，当出现治理设施故障时，企业立即停止生产并待检修完毕后同步投入使用。</w:t>
                  </w:r>
                </w:p>
              </w:tc>
              <w:tc>
                <w:tcPr>
                  <w:tcW w:w="656" w:type="dxa"/>
                  <w:vAlign w:val="center"/>
                </w:tcPr>
                <w:p w14:paraId="43B9959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3964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3D425BDD">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35CAFC43">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2860" w:type="dxa"/>
                  <w:vAlign w:val="center"/>
                </w:tcPr>
                <w:p w14:paraId="473C5B0D">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污染治理设施编号可为电子工业排污单位内部编号，若排污单位无内部编号，则根据《排污单位编码规则》（HJ608）进行编号。有组织排放口编号应填写地方环境保护主管部门现有编号，若排污单位无现有编号，则由电子工业排污单位根据《排污单位编码规则》（HJ608）进行编号。</w:t>
                  </w:r>
                </w:p>
              </w:tc>
              <w:tc>
                <w:tcPr>
                  <w:tcW w:w="719" w:type="dxa"/>
                  <w:vAlign w:val="center"/>
                </w:tcPr>
                <w:p w14:paraId="717DCADA">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01DBF1D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建设单位在项目</w:t>
                  </w:r>
                  <w:r>
                    <w:rPr>
                      <w:rFonts w:cs="Times New Roman"/>
                      <w:color w:val="000000" w:themeColor="text1"/>
                      <w:kern w:val="0"/>
                      <w:sz w:val="21"/>
                      <w:szCs w:val="21"/>
                      <w14:textFill>
                        <w14:solidFill>
                          <w14:schemeClr w14:val="tx1"/>
                        </w14:solidFill>
                      </w14:textFill>
                    </w:rPr>
                    <w:t>建成后，按照排污许可证的要求对排放口合理编号。</w:t>
                  </w:r>
                </w:p>
              </w:tc>
              <w:tc>
                <w:tcPr>
                  <w:tcW w:w="656" w:type="dxa"/>
                  <w:vAlign w:val="center"/>
                </w:tcPr>
                <w:p w14:paraId="6DD90364">
                  <w:pPr>
                    <w:pStyle w:val="301"/>
                    <w:spacing w:line="240" w:lineRule="auto"/>
                    <w:ind w:firstLine="0" w:firstLineChars="0"/>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35C5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4D9664F1">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1DAB598E">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2860" w:type="dxa"/>
                  <w:vAlign w:val="center"/>
                </w:tcPr>
                <w:p w14:paraId="5197548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设置规范的处理前后采样位置，采样位置应避开对测试人员操作有危险的场所，优先选择在垂直管段，避开烟道弯头和断面急剧变化的部位，应设置在距弯头、阀门、变径管下游方向不小于6倍直径，和距上述部件上游方向不小于3倍直径处。</w:t>
                  </w:r>
                </w:p>
              </w:tc>
              <w:tc>
                <w:tcPr>
                  <w:tcW w:w="719" w:type="dxa"/>
                  <w:vAlign w:val="center"/>
                </w:tcPr>
                <w:p w14:paraId="3593BFBA">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Merge w:val="restart"/>
                  <w:vAlign w:val="center"/>
                </w:tcPr>
                <w:p w14:paraId="002F0AE1">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建设单位在项目</w:t>
                  </w:r>
                  <w:r>
                    <w:rPr>
                      <w:rFonts w:cs="Times New Roman"/>
                      <w:color w:val="000000" w:themeColor="text1"/>
                      <w:kern w:val="0"/>
                      <w:sz w:val="21"/>
                      <w:szCs w:val="21"/>
                      <w14:textFill>
                        <w14:solidFill>
                          <w14:schemeClr w14:val="tx1"/>
                        </w14:solidFill>
                      </w14:textFill>
                    </w:rPr>
                    <w:t>建成后，废气排放口按照相应规范设计和管理。</w:t>
                  </w:r>
                </w:p>
              </w:tc>
              <w:tc>
                <w:tcPr>
                  <w:tcW w:w="656" w:type="dxa"/>
                  <w:vAlign w:val="center"/>
                </w:tcPr>
                <w:p w14:paraId="27C11815">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08DE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78149096">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47FBCA3F">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2860" w:type="dxa"/>
                  <w:vAlign w:val="center"/>
                </w:tcPr>
                <w:p w14:paraId="218AA13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废气排气筒应按照《广东省</w:t>
                  </w:r>
                </w:p>
                <w:p w14:paraId="5E568128">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污染源排污口规范化设置导</w:t>
                  </w:r>
                </w:p>
                <w:p w14:paraId="37A5C9C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则》（粤环（2008）42号）相关规定，设置与排污口相应的环境保护图形标志牌。</w:t>
                  </w:r>
                </w:p>
              </w:tc>
              <w:tc>
                <w:tcPr>
                  <w:tcW w:w="719" w:type="dxa"/>
                  <w:vAlign w:val="center"/>
                </w:tcPr>
                <w:p w14:paraId="6E39AC01">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Merge w:val="continue"/>
                  <w:vAlign w:val="center"/>
                </w:tcPr>
                <w:p w14:paraId="358899BA">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656" w:type="dxa"/>
                  <w:vAlign w:val="center"/>
                </w:tcPr>
                <w:p w14:paraId="547E35A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38AF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restart"/>
                  <w:vAlign w:val="center"/>
                </w:tcPr>
                <w:p w14:paraId="53762265">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环境管理</w:t>
                  </w:r>
                </w:p>
              </w:tc>
              <w:tc>
                <w:tcPr>
                  <w:tcW w:w="816" w:type="dxa"/>
                  <w:vMerge w:val="restart"/>
                  <w:vAlign w:val="center"/>
                </w:tcPr>
                <w:p w14:paraId="761268B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管理台账</w:t>
                  </w:r>
                </w:p>
              </w:tc>
              <w:tc>
                <w:tcPr>
                  <w:tcW w:w="2860" w:type="dxa"/>
                  <w:vAlign w:val="center"/>
                </w:tcPr>
                <w:p w14:paraId="3B48F1A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建立含VOCs原辅材料台账，记录含VOCs原辅材料的名称及其VOCs含量、采量、使用量、库存量、含VOCs原辅材料回收方式及回收量。</w:t>
                  </w:r>
                </w:p>
              </w:tc>
              <w:tc>
                <w:tcPr>
                  <w:tcW w:w="719" w:type="dxa"/>
                  <w:vAlign w:val="center"/>
                </w:tcPr>
                <w:p w14:paraId="786B6928">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Merge w:val="restart"/>
                  <w:vAlign w:val="center"/>
                </w:tcPr>
                <w:p w14:paraId="4BAE2D6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建设单位在项目</w:t>
                  </w:r>
                  <w:r>
                    <w:rPr>
                      <w:rFonts w:cs="Times New Roman"/>
                      <w:color w:val="000000" w:themeColor="text1"/>
                      <w:kern w:val="0"/>
                      <w:sz w:val="21"/>
                      <w:szCs w:val="21"/>
                      <w14:textFill>
                        <w14:solidFill>
                          <w14:schemeClr w14:val="tx1"/>
                        </w14:solidFill>
                      </w14:textFill>
                    </w:rPr>
                    <w:t>建成后，按照排污许可证的要求完善原辅材料台账、设备运行台账、废气设施运行台账、固废危废台账等，按照规范安排人员每天进行记录。</w:t>
                  </w:r>
                </w:p>
              </w:tc>
              <w:tc>
                <w:tcPr>
                  <w:tcW w:w="656" w:type="dxa"/>
                  <w:vAlign w:val="center"/>
                </w:tcPr>
                <w:p w14:paraId="74108448">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13E1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49E73894">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46726586">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2860" w:type="dxa"/>
                  <w:vAlign w:val="center"/>
                </w:tcPr>
                <w:p w14:paraId="2DADA4C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建立废气收集处理设施台</w:t>
                  </w:r>
                </w:p>
                <w:p w14:paraId="7996B9E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账，记录废气处理设施进出口的监测数据（废气量、浓度、温度、含氧量等）、废气收集与处理设施关键参数、废气处理设施相关耗材（吸收剂、吸附剂、催化剂等】购买和处理记录。</w:t>
                  </w:r>
                </w:p>
              </w:tc>
              <w:tc>
                <w:tcPr>
                  <w:tcW w:w="719" w:type="dxa"/>
                  <w:vAlign w:val="center"/>
                </w:tcPr>
                <w:p w14:paraId="2667F1A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Merge w:val="continue"/>
                  <w:vAlign w:val="center"/>
                </w:tcPr>
                <w:p w14:paraId="7CAE2F7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656" w:type="dxa"/>
                  <w:vAlign w:val="center"/>
                </w:tcPr>
                <w:p w14:paraId="415FD0F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039A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3A7B46FE">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265F4216">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2860" w:type="dxa"/>
                  <w:vAlign w:val="center"/>
                </w:tcPr>
                <w:p w14:paraId="2F77083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建立危废台账，整理危废处置合同、转移联单及危废处理方资质佐证材料。</w:t>
                  </w:r>
                </w:p>
              </w:tc>
              <w:tc>
                <w:tcPr>
                  <w:tcW w:w="719" w:type="dxa"/>
                  <w:vAlign w:val="center"/>
                </w:tcPr>
                <w:p w14:paraId="048388C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Merge w:val="continue"/>
                  <w:vAlign w:val="center"/>
                </w:tcPr>
                <w:p w14:paraId="4523808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656" w:type="dxa"/>
                  <w:vAlign w:val="center"/>
                </w:tcPr>
                <w:p w14:paraId="7E0792E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0D18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6BF685AA">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restart"/>
                  <w:vAlign w:val="center"/>
                </w:tcPr>
                <w:p w14:paraId="6B72C36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自行监测</w:t>
                  </w:r>
                </w:p>
              </w:tc>
              <w:tc>
                <w:tcPr>
                  <w:tcW w:w="2860" w:type="dxa"/>
                  <w:vAlign w:val="center"/>
                </w:tcPr>
                <w:p w14:paraId="2CBEBE41">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水性涂料涂覆、水性涂料（含胶）固化成膜设施废气重点排污单位主要排放口至少每季度监测一次挥发性有机物及特征污染物，一般排放口至少每半年监测一次挥发性有机物及特征污染物，非重点排污单位至少每年监测一次挥发性有机物及特征污染物。</w:t>
                  </w:r>
                </w:p>
              </w:tc>
              <w:tc>
                <w:tcPr>
                  <w:tcW w:w="719" w:type="dxa"/>
                  <w:vAlign w:val="center"/>
                </w:tcPr>
                <w:p w14:paraId="2C957EE2">
                  <w:pPr>
                    <w:rPr>
                      <w:color w:val="000000" w:themeColor="text1"/>
                      <w14:textFill>
                        <w14:solidFill>
                          <w14:schemeClr w14:val="tx1"/>
                        </w14:solidFill>
                      </w14:textFill>
                    </w:rPr>
                  </w:pPr>
                  <w:r>
                    <w:rPr>
                      <w:color w:val="000000" w:themeColor="text1"/>
                      <w14:textFill>
                        <w14:solidFill>
                          <w14:schemeClr w14:val="tx1"/>
                        </w14:solidFill>
                      </w14:textFill>
                    </w:rPr>
                    <w:t>要求</w:t>
                  </w:r>
                </w:p>
              </w:tc>
              <w:tc>
                <w:tcPr>
                  <w:tcW w:w="1405" w:type="dxa"/>
                  <w:vMerge w:val="restart"/>
                  <w:vAlign w:val="center"/>
                </w:tcPr>
                <w:p w14:paraId="7E31719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建设单位在项目</w:t>
                  </w:r>
                  <w:r>
                    <w:rPr>
                      <w:rFonts w:cs="Times New Roman"/>
                      <w:color w:val="000000" w:themeColor="text1"/>
                      <w:kern w:val="0"/>
                      <w:sz w:val="21"/>
                      <w:szCs w:val="21"/>
                      <w14:textFill>
                        <w14:solidFill>
                          <w14:schemeClr w14:val="tx1"/>
                        </w14:solidFill>
                      </w14:textFill>
                    </w:rPr>
                    <w:t>建成后，按照排污许可证的要求定期进行厂区的有组织和无组织废气检测。</w:t>
                  </w:r>
                </w:p>
              </w:tc>
              <w:tc>
                <w:tcPr>
                  <w:tcW w:w="656" w:type="dxa"/>
                  <w:vAlign w:val="center"/>
                </w:tcPr>
                <w:p w14:paraId="49DF0D9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6B30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70FF27B8">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07A3B176">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2860" w:type="dxa"/>
                  <w:vAlign w:val="center"/>
                </w:tcPr>
                <w:p w14:paraId="2DDBB9D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厂界无组织废气至少每半年监测一次挥发性有机物。</w:t>
                  </w:r>
                </w:p>
              </w:tc>
              <w:tc>
                <w:tcPr>
                  <w:tcW w:w="719" w:type="dxa"/>
                  <w:vAlign w:val="center"/>
                </w:tcPr>
                <w:p w14:paraId="6175028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要求</w:t>
                  </w:r>
                </w:p>
              </w:tc>
              <w:tc>
                <w:tcPr>
                  <w:tcW w:w="1405" w:type="dxa"/>
                  <w:vMerge w:val="continue"/>
                  <w:vAlign w:val="center"/>
                </w:tcPr>
                <w:p w14:paraId="60EF19A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656" w:type="dxa"/>
                  <w:vAlign w:val="center"/>
                </w:tcPr>
                <w:p w14:paraId="4FB844B5">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0871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443E8060">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2CCFBD9D">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2860" w:type="dxa"/>
                  <w:vAlign w:val="center"/>
                </w:tcPr>
                <w:p w14:paraId="38AA089A">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涂装工段旁无组织废气至少每季度监测一次挥发性有机物</w:t>
                  </w:r>
                </w:p>
              </w:tc>
              <w:tc>
                <w:tcPr>
                  <w:tcW w:w="719" w:type="dxa"/>
                  <w:vAlign w:val="center"/>
                </w:tcPr>
                <w:p w14:paraId="6E18CA3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要求</w:t>
                  </w:r>
                </w:p>
              </w:tc>
              <w:tc>
                <w:tcPr>
                  <w:tcW w:w="1405" w:type="dxa"/>
                  <w:vMerge w:val="continue"/>
                  <w:vAlign w:val="center"/>
                </w:tcPr>
                <w:p w14:paraId="4813A59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656" w:type="dxa"/>
                  <w:vAlign w:val="center"/>
                </w:tcPr>
                <w:p w14:paraId="34C5198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r w14:paraId="0052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797D27F8">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51733C7E">
                  <w:pPr>
                    <w:pStyle w:val="301"/>
                    <w:spacing w:line="240" w:lineRule="auto"/>
                    <w:ind w:firstLine="0" w:firstLineChars="0"/>
                    <w:rPr>
                      <w:rFonts w:cs="Times New Roman"/>
                      <w:color w:val="000000" w:themeColor="text1"/>
                      <w:kern w:val="0"/>
                      <w:sz w:val="21"/>
                      <w:szCs w:val="21"/>
                      <w14:textFill>
                        <w14:solidFill>
                          <w14:schemeClr w14:val="tx1"/>
                        </w14:solidFill>
                      </w14:textFill>
                    </w:rPr>
                  </w:pPr>
                </w:p>
              </w:tc>
              <w:tc>
                <w:tcPr>
                  <w:tcW w:w="2860" w:type="dxa"/>
                  <w:vAlign w:val="center"/>
                </w:tcPr>
                <w:p w14:paraId="4CE4A11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工艺过程产生的含VOCs废料《渣、液）应按照相关要求进行储存、转移和输送。</w:t>
                  </w:r>
                </w:p>
                <w:p w14:paraId="7A04B7B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盛装过VOCS物料的废包装容器应加盖密闭。</w:t>
                  </w:r>
                </w:p>
              </w:tc>
              <w:tc>
                <w:tcPr>
                  <w:tcW w:w="719" w:type="dxa"/>
                  <w:vAlign w:val="center"/>
                </w:tcPr>
                <w:p w14:paraId="220992F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64580EA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建设单位在项目</w:t>
                  </w:r>
                  <w:r>
                    <w:rPr>
                      <w:rFonts w:cs="Times New Roman"/>
                      <w:color w:val="000000" w:themeColor="text1"/>
                      <w:kern w:val="0"/>
                      <w:sz w:val="21"/>
                      <w:szCs w:val="21"/>
                      <w14:textFill>
                        <w14:solidFill>
                          <w14:schemeClr w14:val="tx1"/>
                        </w14:solidFill>
                      </w14:textFill>
                    </w:rPr>
                    <w:t>建成后，完善危废台账，按照规范安排人员每天进行记录进出库，</w:t>
                  </w:r>
                  <w:r>
                    <w:rPr>
                      <w:rFonts w:hint="eastAsia" w:cs="Times New Roman"/>
                      <w:color w:val="000000" w:themeColor="text1"/>
                      <w:kern w:val="0"/>
                      <w:sz w:val="21"/>
                      <w:szCs w:val="21"/>
                      <w:lang w:eastAsia="zh-CN"/>
                      <w14:textFill>
                        <w14:solidFill>
                          <w14:schemeClr w14:val="tx1"/>
                        </w14:solidFill>
                      </w14:textFill>
                    </w:rPr>
                    <w:t>交由</w:t>
                  </w:r>
                  <w:r>
                    <w:rPr>
                      <w:rFonts w:cs="Times New Roman"/>
                      <w:color w:val="000000" w:themeColor="text1"/>
                      <w:kern w:val="0"/>
                      <w:sz w:val="21"/>
                      <w:szCs w:val="21"/>
                      <w14:textFill>
                        <w14:solidFill>
                          <w14:schemeClr w14:val="tx1"/>
                        </w14:solidFill>
                      </w14:textFill>
                    </w:rPr>
                    <w:t>危废资质单位处理</w:t>
                  </w:r>
                </w:p>
              </w:tc>
              <w:tc>
                <w:tcPr>
                  <w:tcW w:w="656" w:type="dxa"/>
                  <w:vAlign w:val="center"/>
                </w:tcPr>
                <w:p w14:paraId="21381A3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0B21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2" w:type="dxa"/>
                  <w:gridSpan w:val="2"/>
                  <w:vAlign w:val="center"/>
                </w:tcPr>
                <w:p w14:paraId="67C05B4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建设项目VOCs总量管理</w:t>
                  </w:r>
                </w:p>
              </w:tc>
              <w:tc>
                <w:tcPr>
                  <w:tcW w:w="2860" w:type="dxa"/>
                  <w:vAlign w:val="center"/>
                </w:tcPr>
                <w:p w14:paraId="597B4182">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新、改、扩建项目应执行总量替代制度，明确VOCs总量指标来源。</w:t>
                  </w:r>
                </w:p>
              </w:tc>
              <w:tc>
                <w:tcPr>
                  <w:tcW w:w="719" w:type="dxa"/>
                  <w:vAlign w:val="center"/>
                </w:tcPr>
                <w:p w14:paraId="688D0AB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05E0FD4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执行总量替代制度，明</w:t>
                  </w:r>
                  <w:r>
                    <w:rPr>
                      <w:rFonts w:hint="eastAsia" w:cs="Times New Roman"/>
                      <w:color w:val="000000" w:themeColor="text1"/>
                      <w:kern w:val="0"/>
                      <w:sz w:val="21"/>
                      <w:szCs w:val="21"/>
                      <w14:textFill>
                        <w14:solidFill>
                          <w14:schemeClr w14:val="tx1"/>
                        </w14:solidFill>
                      </w14:textFill>
                    </w:rPr>
                    <w:t>确</w:t>
                  </w:r>
                  <w:r>
                    <w:rPr>
                      <w:rFonts w:cs="Times New Roman"/>
                      <w:color w:val="000000" w:themeColor="text1"/>
                      <w:kern w:val="0"/>
                      <w:sz w:val="21"/>
                      <w:szCs w:val="21"/>
                      <w14:textFill>
                        <w14:solidFill>
                          <w14:schemeClr w14:val="tx1"/>
                        </w14:solidFill>
                      </w14:textFill>
                    </w:rPr>
                    <w:t>VOCs总量指标来源</w:t>
                  </w:r>
                </w:p>
              </w:tc>
              <w:tc>
                <w:tcPr>
                  <w:tcW w:w="656" w:type="dxa"/>
                  <w:vAlign w:val="center"/>
                </w:tcPr>
                <w:p w14:paraId="23623F4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bl>
          <w:p w14:paraId="18574E1E">
            <w:pPr>
              <w:autoSpaceDE w:val="0"/>
              <w:autoSpaceDN w:val="0"/>
              <w:adjustRightInd w:val="0"/>
              <w:snapToGrid w:val="0"/>
              <w:jc w:val="cente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表</w:t>
            </w:r>
            <w:r>
              <w:rPr>
                <w:rFonts w:hint="eastAsia" w:ascii="Times New Roman" w:hAnsi="Times New Roman" w:eastAsia="宋体" w:cs="Times New Roman"/>
                <w:b/>
                <w:color w:val="000000" w:themeColor="text1"/>
                <w:kern w:val="0"/>
                <w:szCs w:val="21"/>
                <w14:textFill>
                  <w14:solidFill>
                    <w14:schemeClr w14:val="tx1"/>
                  </w14:solidFill>
                </w14:textFill>
              </w:rPr>
              <w:t>1</w:t>
            </w:r>
            <w:r>
              <w:rPr>
                <w:rFonts w:ascii="Times New Roman" w:hAnsi="Times New Roman" w:eastAsia="宋体" w:cs="Times New Roman"/>
                <w:b/>
                <w:color w:val="000000" w:themeColor="text1"/>
                <w:kern w:val="0"/>
                <w:szCs w:val="21"/>
                <w14:textFill>
                  <w14:solidFill>
                    <w14:schemeClr w14:val="tx1"/>
                  </w14:solidFill>
                </w14:textFill>
              </w:rPr>
              <w:t>-5</w:t>
            </w:r>
            <w:r>
              <w:rPr>
                <w:rFonts w:hint="eastAsia" w:ascii="Times New Roman" w:hAnsi="Times New Roman" w:eastAsia="宋体" w:cs="Times New Roman"/>
                <w:b/>
                <w:color w:val="000000" w:themeColor="text1"/>
                <w:kern w:val="0"/>
                <w:szCs w:val="21"/>
                <w14:textFill>
                  <w14:solidFill>
                    <w14:schemeClr w14:val="tx1"/>
                  </w14:solidFill>
                </w14:textFill>
              </w:rPr>
              <w:t>与（粤环办〔2021〕43号）橡胶和塑料制品业VOCs治理指引相符性分析</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16"/>
              <w:gridCol w:w="2860"/>
              <w:gridCol w:w="719"/>
              <w:gridCol w:w="1405"/>
              <w:gridCol w:w="656"/>
            </w:tblGrid>
            <w:tr w14:paraId="30B8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center"/>
                </w:tcPr>
                <w:p w14:paraId="685CA09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控制要求</w:t>
                  </w:r>
                </w:p>
              </w:tc>
              <w:tc>
                <w:tcPr>
                  <w:tcW w:w="816" w:type="dxa"/>
                  <w:vAlign w:val="center"/>
                </w:tcPr>
                <w:p w14:paraId="448912C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环节</w:t>
                  </w:r>
                </w:p>
              </w:tc>
              <w:tc>
                <w:tcPr>
                  <w:tcW w:w="2860" w:type="dxa"/>
                  <w:vAlign w:val="center"/>
                </w:tcPr>
                <w:p w14:paraId="59A21AE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内容</w:t>
                  </w:r>
                </w:p>
              </w:tc>
              <w:tc>
                <w:tcPr>
                  <w:tcW w:w="719" w:type="dxa"/>
                  <w:vAlign w:val="center"/>
                </w:tcPr>
                <w:p w14:paraId="3AF016F8">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实施要求</w:t>
                  </w:r>
                </w:p>
              </w:tc>
              <w:tc>
                <w:tcPr>
                  <w:tcW w:w="1405" w:type="dxa"/>
                  <w:vAlign w:val="center"/>
                </w:tcPr>
                <w:p w14:paraId="27AE014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相符性分析</w:t>
                  </w:r>
                </w:p>
              </w:tc>
              <w:tc>
                <w:tcPr>
                  <w:tcW w:w="656" w:type="dxa"/>
                  <w:vAlign w:val="center"/>
                </w:tcPr>
                <w:p w14:paraId="597320A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符合性</w:t>
                  </w:r>
                </w:p>
              </w:tc>
            </w:tr>
            <w:tr w14:paraId="69E37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2" w:type="dxa"/>
                  <w:gridSpan w:val="6"/>
                  <w:vAlign w:val="center"/>
                </w:tcPr>
                <w:p w14:paraId="3C642B72">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橡胶和塑料制品业V</w:t>
                  </w:r>
                  <w:r>
                    <w:rPr>
                      <w:rFonts w:cs="Times New Roman"/>
                      <w:color w:val="000000" w:themeColor="text1"/>
                      <w:kern w:val="0"/>
                      <w:sz w:val="21"/>
                      <w:szCs w:val="21"/>
                      <w14:textFill>
                        <w14:solidFill>
                          <w14:schemeClr w14:val="tx1"/>
                        </w14:solidFill>
                      </w14:textFill>
                    </w:rPr>
                    <w:t>OCs治理指引</w:t>
                  </w:r>
                </w:p>
              </w:tc>
            </w:tr>
            <w:tr w14:paraId="140D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restart"/>
                  <w:vAlign w:val="center"/>
                </w:tcPr>
                <w:p w14:paraId="56B8E91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过程</w:t>
                  </w:r>
                  <w:r>
                    <w:rPr>
                      <w:rFonts w:cs="Times New Roman"/>
                      <w:color w:val="000000" w:themeColor="text1"/>
                      <w:kern w:val="0"/>
                      <w:sz w:val="21"/>
                      <w:szCs w:val="21"/>
                      <w14:textFill>
                        <w14:solidFill>
                          <w14:schemeClr w14:val="tx1"/>
                        </w14:solidFill>
                      </w14:textFill>
                    </w:rPr>
                    <w:t>控制</w:t>
                  </w:r>
                </w:p>
              </w:tc>
              <w:tc>
                <w:tcPr>
                  <w:tcW w:w="816" w:type="dxa"/>
                  <w:vMerge w:val="restart"/>
                  <w:vAlign w:val="center"/>
                </w:tcPr>
                <w:p w14:paraId="0ED3A73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V</w:t>
                  </w:r>
                  <w:r>
                    <w:rPr>
                      <w:rFonts w:cs="Times New Roman"/>
                      <w:color w:val="000000" w:themeColor="text1"/>
                      <w:kern w:val="0"/>
                      <w:sz w:val="21"/>
                      <w:szCs w:val="21"/>
                      <w14:textFill>
                        <w14:solidFill>
                          <w14:schemeClr w14:val="tx1"/>
                        </w14:solidFill>
                      </w14:textFill>
                    </w:rPr>
                    <w:t>OCs物料储存</w:t>
                  </w:r>
                </w:p>
              </w:tc>
              <w:tc>
                <w:tcPr>
                  <w:tcW w:w="2860" w:type="dxa"/>
                  <w:vAlign w:val="center"/>
                </w:tcPr>
                <w:p w14:paraId="68C202B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V</w:t>
                  </w:r>
                  <w:r>
                    <w:rPr>
                      <w:rFonts w:cs="Times New Roman"/>
                      <w:color w:val="000000" w:themeColor="text1"/>
                      <w:kern w:val="0"/>
                      <w:sz w:val="21"/>
                      <w:szCs w:val="21"/>
                      <w14:textFill>
                        <w14:solidFill>
                          <w14:schemeClr w14:val="tx1"/>
                        </w14:solidFill>
                      </w14:textFill>
                    </w:rPr>
                    <w:t>OCs物料应储存于密闭的容器、包装袋、储罐、储库、料仓中。</w:t>
                  </w:r>
                </w:p>
              </w:tc>
              <w:tc>
                <w:tcPr>
                  <w:tcW w:w="719" w:type="dxa"/>
                  <w:vAlign w:val="center"/>
                </w:tcPr>
                <w:p w14:paraId="75EE8F8D">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5C05FE18">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生产橡胶脚轮</w:t>
                  </w:r>
                  <w:r>
                    <w:rPr>
                      <w:rFonts w:cs="Times New Roman"/>
                      <w:color w:val="000000" w:themeColor="text1"/>
                      <w:kern w:val="0"/>
                      <w:sz w:val="21"/>
                      <w:szCs w:val="21"/>
                      <w14:textFill>
                        <w14:solidFill>
                          <w14:schemeClr w14:val="tx1"/>
                        </w14:solidFill>
                      </w14:textFill>
                    </w:rPr>
                    <w:t>使用的</w:t>
                  </w:r>
                  <w:r>
                    <w:rPr>
                      <w:rFonts w:hint="eastAsia" w:cs="Times New Roman"/>
                      <w:color w:val="000000" w:themeColor="text1"/>
                      <w:kern w:val="0"/>
                      <w:sz w:val="21"/>
                      <w:szCs w:val="21"/>
                      <w14:textFill>
                        <w14:solidFill>
                          <w14:schemeClr w14:val="tx1"/>
                        </w14:solidFill>
                      </w14:textFill>
                    </w:rPr>
                    <w:t>V</w:t>
                  </w:r>
                  <w:r>
                    <w:rPr>
                      <w:rFonts w:cs="Times New Roman"/>
                      <w:color w:val="000000" w:themeColor="text1"/>
                      <w:kern w:val="0"/>
                      <w:sz w:val="21"/>
                      <w:szCs w:val="21"/>
                      <w14:textFill>
                        <w14:solidFill>
                          <w14:schemeClr w14:val="tx1"/>
                        </w14:solidFill>
                      </w14:textFill>
                    </w:rPr>
                    <w:t>OCs物料为</w:t>
                  </w:r>
                  <w:r>
                    <w:rPr>
                      <w:rFonts w:hint="eastAsia" w:cs="Times New Roman"/>
                      <w:color w:val="000000" w:themeColor="text1"/>
                      <w:kern w:val="0"/>
                      <w:sz w:val="21"/>
                      <w:szCs w:val="21"/>
                      <w14:textFill>
                        <w14:solidFill>
                          <w14:schemeClr w14:val="tx1"/>
                        </w14:solidFill>
                      </w14:textFill>
                    </w:rPr>
                    <w:t>聚氨酯，</w:t>
                  </w:r>
                  <w:r>
                    <w:rPr>
                      <w:rFonts w:cs="Times New Roman"/>
                      <w:color w:val="000000" w:themeColor="text1"/>
                      <w:kern w:val="0"/>
                      <w:sz w:val="21"/>
                      <w:szCs w:val="21"/>
                      <w14:textFill>
                        <w14:solidFill>
                          <w14:schemeClr w14:val="tx1"/>
                        </w14:solidFill>
                      </w14:textFill>
                    </w:rPr>
                    <w:t>使用密封</w:t>
                  </w:r>
                  <w:r>
                    <w:rPr>
                      <w:rFonts w:hint="eastAsia" w:cs="Times New Roman"/>
                      <w:color w:val="000000" w:themeColor="text1"/>
                      <w:kern w:val="0"/>
                      <w:sz w:val="21"/>
                      <w:szCs w:val="21"/>
                      <w14:textFill>
                        <w14:solidFill>
                          <w14:schemeClr w14:val="tx1"/>
                        </w14:solidFill>
                      </w14:textFill>
                    </w:rPr>
                    <w:t>的</w:t>
                  </w:r>
                  <w:r>
                    <w:rPr>
                      <w:rFonts w:cs="Times New Roman"/>
                      <w:color w:val="000000" w:themeColor="text1"/>
                      <w:kern w:val="0"/>
                      <w:sz w:val="21"/>
                      <w:szCs w:val="21"/>
                      <w14:textFill>
                        <w14:solidFill>
                          <w14:schemeClr w14:val="tx1"/>
                        </w14:solidFill>
                      </w14:textFill>
                    </w:rPr>
                    <w:t>容器储存在仓库内</w:t>
                  </w:r>
                  <w:r>
                    <w:rPr>
                      <w:rFonts w:hint="eastAsia" w:cs="Times New Roman"/>
                      <w:color w:val="000000" w:themeColor="text1"/>
                      <w:kern w:val="0"/>
                      <w:sz w:val="21"/>
                      <w:szCs w:val="21"/>
                      <w14:textFill>
                        <w14:solidFill>
                          <w14:schemeClr w14:val="tx1"/>
                        </w14:solidFill>
                      </w14:textFill>
                    </w:rPr>
                    <w:t>。</w:t>
                  </w:r>
                </w:p>
              </w:tc>
              <w:tc>
                <w:tcPr>
                  <w:tcW w:w="656" w:type="dxa"/>
                  <w:vAlign w:val="center"/>
                </w:tcPr>
                <w:p w14:paraId="6CF1D1E2">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1BB4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6B88D731">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7BB472ED">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2860" w:type="dxa"/>
                  <w:vAlign w:val="center"/>
                </w:tcPr>
                <w:p w14:paraId="54A9DF5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盛装VOCs物料的容器是否存放于室内，或存放于设置有雨棚、遮阳和防渗设施的专用场地。盛装VOCs物料的容器在非取用状态时应加盖、封口，保持密闭</w:t>
                  </w:r>
                </w:p>
              </w:tc>
              <w:tc>
                <w:tcPr>
                  <w:tcW w:w="719" w:type="dxa"/>
                  <w:vAlign w:val="center"/>
                </w:tcPr>
                <w:p w14:paraId="13E8EB9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69A2A611">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生产橡胶脚轮使用的VOCs物料为聚氨酯</w:t>
                  </w:r>
                  <w:r>
                    <w:rPr>
                      <w:rFonts w:cs="Times New Roman"/>
                      <w:color w:val="000000" w:themeColor="text1"/>
                      <w:kern w:val="0"/>
                      <w:sz w:val="21"/>
                      <w:szCs w:val="21"/>
                      <w14:textFill>
                        <w14:solidFill>
                          <w14:schemeClr w14:val="tx1"/>
                        </w14:solidFill>
                      </w14:textFill>
                    </w:rPr>
                    <w:t>，</w:t>
                  </w:r>
                  <w:r>
                    <w:rPr>
                      <w:rFonts w:hint="eastAsia" w:cs="Times New Roman"/>
                      <w:color w:val="000000" w:themeColor="text1"/>
                      <w:kern w:val="0"/>
                      <w:sz w:val="21"/>
                      <w:szCs w:val="21"/>
                      <w14:textFill>
                        <w14:solidFill>
                          <w14:schemeClr w14:val="tx1"/>
                        </w14:solidFill>
                      </w14:textFill>
                    </w:rPr>
                    <w:t>使用密封容器储存在仓库内。</w:t>
                  </w:r>
                </w:p>
              </w:tc>
              <w:tc>
                <w:tcPr>
                  <w:tcW w:w="656" w:type="dxa"/>
                  <w:vAlign w:val="center"/>
                </w:tcPr>
                <w:p w14:paraId="1FC9CC72">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31D6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05C0B06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Align w:val="center"/>
                </w:tcPr>
                <w:p w14:paraId="4C3B01C8">
                  <w:pPr>
                    <w:pStyle w:val="301"/>
                    <w:spacing w:line="240" w:lineRule="auto"/>
                    <w:ind w:firstLine="0" w:firstLineChars="0"/>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VOCs 物料转移</w:t>
                  </w:r>
                </w:p>
                <w:p w14:paraId="0EC02442">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和输送</w:t>
                  </w:r>
                </w:p>
              </w:tc>
              <w:tc>
                <w:tcPr>
                  <w:tcW w:w="2860" w:type="dxa"/>
                  <w:vAlign w:val="center"/>
                </w:tcPr>
                <w:p w14:paraId="7C3BC03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液体VOCs物料应采用管道密闭输送。采用非管道输送方式转移液态VOCs物料时，应采用密闭容器或罐车。</w:t>
                  </w:r>
                </w:p>
              </w:tc>
              <w:tc>
                <w:tcPr>
                  <w:tcW w:w="719" w:type="dxa"/>
                  <w:vAlign w:val="center"/>
                </w:tcPr>
                <w:p w14:paraId="1B498EF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6FFF62BD">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生产橡胶脚轮</w:t>
                  </w:r>
                  <w:r>
                    <w:rPr>
                      <w:rFonts w:cs="Times New Roman"/>
                      <w:color w:val="000000" w:themeColor="text1"/>
                      <w:kern w:val="0"/>
                      <w:sz w:val="21"/>
                      <w:szCs w:val="21"/>
                      <w14:textFill>
                        <w14:solidFill>
                          <w14:schemeClr w14:val="tx1"/>
                        </w14:solidFill>
                      </w14:textFill>
                    </w:rPr>
                    <w:t>使用</w:t>
                  </w:r>
                  <w:r>
                    <w:rPr>
                      <w:rFonts w:hint="eastAsia" w:cs="Times New Roman"/>
                      <w:color w:val="000000" w:themeColor="text1"/>
                      <w:kern w:val="0"/>
                      <w:sz w:val="21"/>
                      <w:szCs w:val="21"/>
                      <w14:textFill>
                        <w14:solidFill>
                          <w14:schemeClr w14:val="tx1"/>
                        </w14:solidFill>
                      </w14:textFill>
                    </w:rPr>
                    <w:t>的VOCs物料为聚氨酯，为</w:t>
                  </w:r>
                  <w:r>
                    <w:rPr>
                      <w:rFonts w:cs="Times New Roman"/>
                      <w:color w:val="000000" w:themeColor="text1"/>
                      <w:kern w:val="0"/>
                      <w:sz w:val="21"/>
                      <w:szCs w:val="21"/>
                      <w14:textFill>
                        <w14:solidFill>
                          <w14:schemeClr w14:val="tx1"/>
                        </w14:solidFill>
                      </w14:textFill>
                    </w:rPr>
                    <w:t>液体</w:t>
                  </w:r>
                  <w:r>
                    <w:rPr>
                      <w:rFonts w:hint="eastAsia" w:cs="Times New Roman"/>
                      <w:color w:val="000000" w:themeColor="text1"/>
                      <w:kern w:val="0"/>
                      <w:sz w:val="21"/>
                      <w:szCs w:val="21"/>
                      <w14:textFill>
                        <w14:solidFill>
                          <w14:schemeClr w14:val="tx1"/>
                        </w14:solidFill>
                      </w14:textFill>
                    </w:rPr>
                    <w:t>VOC</w:t>
                  </w:r>
                  <w:r>
                    <w:rPr>
                      <w:rFonts w:cs="Times New Roman"/>
                      <w:color w:val="000000" w:themeColor="text1"/>
                      <w:kern w:val="0"/>
                      <w:sz w:val="21"/>
                      <w:szCs w:val="21"/>
                      <w14:textFill>
                        <w14:solidFill>
                          <w14:schemeClr w14:val="tx1"/>
                        </w14:solidFill>
                      </w14:textFill>
                    </w:rPr>
                    <w:t>s物料，</w:t>
                  </w:r>
                  <w:r>
                    <w:rPr>
                      <w:rFonts w:hint="eastAsia" w:cs="Times New Roman"/>
                      <w:color w:val="000000" w:themeColor="text1"/>
                      <w:kern w:val="0"/>
                      <w:sz w:val="21"/>
                      <w:szCs w:val="21"/>
                      <w14:textFill>
                        <w14:solidFill>
                          <w14:schemeClr w14:val="tx1"/>
                        </w14:solidFill>
                      </w14:textFill>
                    </w:rPr>
                    <w:t>使用密封容器。</w:t>
                  </w:r>
                </w:p>
              </w:tc>
              <w:tc>
                <w:tcPr>
                  <w:tcW w:w="656" w:type="dxa"/>
                  <w:vAlign w:val="center"/>
                </w:tcPr>
                <w:p w14:paraId="337BDCE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0E15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25E8B2B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Merge w:val="restart"/>
                  <w:vAlign w:val="center"/>
                </w:tcPr>
                <w:p w14:paraId="6B1C638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工艺过程</w:t>
                  </w:r>
                </w:p>
              </w:tc>
              <w:tc>
                <w:tcPr>
                  <w:tcW w:w="2860" w:type="dxa"/>
                  <w:vAlign w:val="center"/>
                </w:tcPr>
                <w:p w14:paraId="3B231E7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液态VOCs物料采用密闭管道输送方式或采用高位槽（罐）、桶泵等给料方式密闭投加；无法密闭投加的，在密闭空间内操作，或进行局部气体收集，废气排至 VOCs废气收集处理系统。</w:t>
                  </w:r>
                </w:p>
              </w:tc>
              <w:tc>
                <w:tcPr>
                  <w:tcW w:w="719" w:type="dxa"/>
                  <w:vAlign w:val="center"/>
                </w:tcPr>
                <w:p w14:paraId="4D548EC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3FF6301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生产橡胶脚轮所使用的液态V</w:t>
                  </w:r>
                  <w:r>
                    <w:rPr>
                      <w:rFonts w:cs="Times New Roman"/>
                      <w:color w:val="000000" w:themeColor="text1"/>
                      <w:kern w:val="0"/>
                      <w:sz w:val="21"/>
                      <w:szCs w:val="21"/>
                      <w14:textFill>
                        <w14:solidFill>
                          <w14:schemeClr w14:val="tx1"/>
                        </w14:solidFill>
                      </w14:textFill>
                    </w:rPr>
                    <w:t>OCs物料为聚氨酯，液态</w:t>
                  </w:r>
                  <w:r>
                    <w:rPr>
                      <w:rFonts w:hint="eastAsia" w:cs="Times New Roman"/>
                      <w:color w:val="000000" w:themeColor="text1"/>
                      <w:kern w:val="0"/>
                      <w:sz w:val="21"/>
                      <w:szCs w:val="21"/>
                      <w14:textFill>
                        <w14:solidFill>
                          <w14:schemeClr w14:val="tx1"/>
                        </w14:solidFill>
                      </w14:textFill>
                    </w:rPr>
                    <w:t>V</w:t>
                  </w:r>
                  <w:r>
                    <w:rPr>
                      <w:rFonts w:cs="Times New Roman"/>
                      <w:color w:val="000000" w:themeColor="text1"/>
                      <w:kern w:val="0"/>
                      <w:sz w:val="21"/>
                      <w:szCs w:val="21"/>
                      <w14:textFill>
                        <w14:solidFill>
                          <w14:schemeClr w14:val="tx1"/>
                        </w14:solidFill>
                      </w14:textFill>
                    </w:rPr>
                    <w:t>OCs物料采用桶泵等给料方式密闭投加。</w:t>
                  </w:r>
                </w:p>
              </w:tc>
              <w:tc>
                <w:tcPr>
                  <w:tcW w:w="656" w:type="dxa"/>
                  <w:vAlign w:val="center"/>
                </w:tcPr>
                <w:p w14:paraId="629F233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符合</w:t>
                  </w:r>
                </w:p>
              </w:tc>
            </w:tr>
            <w:tr w14:paraId="72EC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32107B4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3D55944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2860" w:type="dxa"/>
                  <w:vAlign w:val="center"/>
                </w:tcPr>
                <w:p w14:paraId="17273B72">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在混合/混炼、塑炼/塑化/熔化、加工成型（挤出、注射、压制、压延、发泡、纺丝等）、硫化等作业中应采用密闭设备或在密闭空间中操作，废气应排至VOCs废气收集处理系统；无法密闭的，应采取局部气体收集措施，废气应排至VOCs废气收集处理系统。</w:t>
                  </w:r>
                </w:p>
              </w:tc>
              <w:tc>
                <w:tcPr>
                  <w:tcW w:w="719" w:type="dxa"/>
                  <w:vAlign w:val="center"/>
                </w:tcPr>
                <w:p w14:paraId="5720465A">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0C37BE8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采用橡胶浇注作业过程中采取集气罩（</w:t>
                  </w:r>
                  <w:r>
                    <w:rPr>
                      <w:rFonts w:hint="eastAsia" w:cs="Times New Roman"/>
                      <w:color w:val="000000" w:themeColor="text1"/>
                      <w:kern w:val="0"/>
                      <w:sz w:val="21"/>
                      <w:szCs w:val="21"/>
                      <w:lang w:val="en-US" w:eastAsia="zh-CN"/>
                      <w14:textFill>
                        <w14:solidFill>
                          <w14:schemeClr w14:val="tx1"/>
                        </w14:solidFill>
                      </w14:textFill>
                    </w:rPr>
                    <w:t>全密闭</w:t>
                  </w:r>
                  <w:r>
                    <w:rPr>
                      <w:rFonts w:hint="eastAsia" w:cs="Times New Roman"/>
                      <w:color w:val="000000" w:themeColor="text1"/>
                      <w:kern w:val="0"/>
                      <w:sz w:val="21"/>
                      <w:szCs w:val="21"/>
                      <w14:textFill>
                        <w14:solidFill>
                          <w14:schemeClr w14:val="tx1"/>
                        </w14:solidFill>
                      </w14:textFill>
                    </w:rPr>
                    <w:t>）收集措施，废气应排至</w:t>
                  </w:r>
                  <w:r>
                    <w:rPr>
                      <w:rFonts w:hint="eastAsia" w:cs="Times New Roman"/>
                      <w:color w:val="000000" w:themeColor="text1"/>
                      <w:kern w:val="0"/>
                      <w:sz w:val="21"/>
                      <w:szCs w:val="21"/>
                      <w:lang w:val="en-US" w:eastAsia="zh-CN"/>
                      <w14:textFill>
                        <w14:solidFill>
                          <w14:schemeClr w14:val="tx1"/>
                        </w14:solidFill>
                      </w14:textFill>
                    </w:rPr>
                    <w:t>二级活性炭吸附装置</w:t>
                  </w:r>
                  <w:r>
                    <w:rPr>
                      <w:rFonts w:cs="Times New Roman"/>
                      <w:color w:val="000000" w:themeColor="text1"/>
                      <w:kern w:val="0"/>
                      <w:sz w:val="21"/>
                      <w:szCs w:val="21"/>
                      <w14:textFill>
                        <w14:solidFill>
                          <w14:schemeClr w14:val="tx1"/>
                        </w14:solidFill>
                      </w14:textFill>
                    </w:rPr>
                    <w:t>处理</w:t>
                  </w:r>
                  <w:r>
                    <w:rPr>
                      <w:rFonts w:hint="eastAsia" w:cs="Times New Roman"/>
                      <w:color w:val="000000" w:themeColor="text1"/>
                      <w:kern w:val="0"/>
                      <w:sz w:val="21"/>
                      <w:szCs w:val="21"/>
                      <w14:textFill>
                        <w14:solidFill>
                          <w14:schemeClr w14:val="tx1"/>
                        </w14:solidFill>
                      </w14:textFill>
                    </w:rPr>
                    <w:t>。</w:t>
                  </w:r>
                </w:p>
              </w:tc>
              <w:tc>
                <w:tcPr>
                  <w:tcW w:w="656" w:type="dxa"/>
                  <w:vAlign w:val="center"/>
                </w:tcPr>
                <w:p w14:paraId="519597C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r w14:paraId="2F5D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05E10A0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254B9407">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2860" w:type="dxa"/>
                  <w:vAlign w:val="center"/>
                </w:tcPr>
                <w:p w14:paraId="5F7A9B52">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浸胶、胶浆喷涂、涂胶、喷漆、印刷、清洗等工序使用VOCs质量占比大于等10%</w:t>
                  </w:r>
                </w:p>
                <w:p w14:paraId="7DA57D4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的原辅材料时，其使用过程应采用密闭设备或在密闭空间内操作，废气应排至VOCs废气收集处理系统；无法密闭的，应采取局部气体收集措施，废气应排至VOCs废气收集处理系统。</w:t>
                  </w:r>
                </w:p>
              </w:tc>
              <w:tc>
                <w:tcPr>
                  <w:tcW w:w="719" w:type="dxa"/>
                  <w:vAlign w:val="center"/>
                </w:tcPr>
                <w:p w14:paraId="50C389C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要求</w:t>
                  </w:r>
                </w:p>
              </w:tc>
              <w:tc>
                <w:tcPr>
                  <w:tcW w:w="1405" w:type="dxa"/>
                  <w:vAlign w:val="center"/>
                </w:tcPr>
                <w:p w14:paraId="788A26C1">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生产橡胶脚轮涉及</w:t>
                  </w:r>
                  <w:r>
                    <w:rPr>
                      <w:rFonts w:cs="Times New Roman"/>
                      <w:color w:val="000000" w:themeColor="text1"/>
                      <w:kern w:val="0"/>
                      <w:sz w:val="21"/>
                      <w:szCs w:val="21"/>
                      <w14:textFill>
                        <w14:solidFill>
                          <w14:schemeClr w14:val="tx1"/>
                        </w14:solidFill>
                      </w14:textFill>
                    </w:rPr>
                    <w:t>涂胶、喷漆、</w:t>
                  </w:r>
                  <w:r>
                    <w:rPr>
                      <w:rFonts w:hint="eastAsia" w:cs="Times New Roman"/>
                      <w:color w:val="000000" w:themeColor="text1"/>
                      <w:kern w:val="0"/>
                      <w:sz w:val="21"/>
                      <w:szCs w:val="21"/>
                      <w14:textFill>
                        <w14:solidFill>
                          <w14:schemeClr w14:val="tx1"/>
                        </w14:solidFill>
                      </w14:textFill>
                    </w:rPr>
                    <w:t>清洗</w:t>
                  </w:r>
                  <w:r>
                    <w:rPr>
                      <w:rFonts w:cs="Times New Roman"/>
                      <w:color w:val="000000" w:themeColor="text1"/>
                      <w:kern w:val="0"/>
                      <w:sz w:val="21"/>
                      <w:szCs w:val="21"/>
                      <w14:textFill>
                        <w14:solidFill>
                          <w14:schemeClr w14:val="tx1"/>
                        </w14:solidFill>
                      </w14:textFill>
                    </w:rPr>
                    <w:t>等工序使用</w:t>
                  </w:r>
                  <w:r>
                    <w:rPr>
                      <w:rFonts w:hint="eastAsia" w:cs="Times New Roman"/>
                      <w:color w:val="000000" w:themeColor="text1"/>
                      <w:kern w:val="0"/>
                      <w:sz w:val="21"/>
                      <w:szCs w:val="21"/>
                      <w14:textFill>
                        <w14:solidFill>
                          <w14:schemeClr w14:val="tx1"/>
                        </w14:solidFill>
                      </w14:textFill>
                    </w:rPr>
                    <w:t>VOC</w:t>
                  </w:r>
                  <w:r>
                    <w:rPr>
                      <w:rFonts w:cs="Times New Roman"/>
                      <w:color w:val="000000" w:themeColor="text1"/>
                      <w:kern w:val="0"/>
                      <w:sz w:val="21"/>
                      <w:szCs w:val="21"/>
                      <w14:textFill>
                        <w14:solidFill>
                          <w14:schemeClr w14:val="tx1"/>
                        </w14:solidFill>
                      </w14:textFill>
                    </w:rPr>
                    <w:t>s</w:t>
                  </w:r>
                  <w:r>
                    <w:rPr>
                      <w:rFonts w:hint="eastAsia" w:cs="Times New Roman"/>
                      <w:color w:val="000000" w:themeColor="text1"/>
                      <w:kern w:val="0"/>
                      <w:sz w:val="21"/>
                      <w:szCs w:val="21"/>
                      <w14:textFill>
                        <w14:solidFill>
                          <w14:schemeClr w14:val="tx1"/>
                        </w14:solidFill>
                      </w14:textFill>
                    </w:rPr>
                    <w:t>质量</w:t>
                  </w:r>
                  <w:r>
                    <w:rPr>
                      <w:rFonts w:cs="Times New Roman"/>
                      <w:color w:val="000000" w:themeColor="text1"/>
                      <w:kern w:val="0"/>
                      <w:sz w:val="21"/>
                      <w:szCs w:val="21"/>
                      <w14:textFill>
                        <w14:solidFill>
                          <w14:schemeClr w14:val="tx1"/>
                        </w14:solidFill>
                      </w14:textFill>
                    </w:rPr>
                    <w:t>占比＜</w:t>
                  </w:r>
                  <w:r>
                    <w:rPr>
                      <w:rFonts w:hint="eastAsia" w:cs="Times New Roman"/>
                      <w:color w:val="000000" w:themeColor="text1"/>
                      <w:kern w:val="0"/>
                      <w:sz w:val="21"/>
                      <w:szCs w:val="21"/>
                      <w14:textFill>
                        <w14:solidFill>
                          <w14:schemeClr w14:val="tx1"/>
                        </w14:solidFill>
                      </w14:textFill>
                    </w:rPr>
                    <w:t>10%，</w:t>
                  </w:r>
                  <w:r>
                    <w:rPr>
                      <w:rFonts w:hint="eastAsia" w:cs="Times New Roman"/>
                      <w:color w:val="000000" w:themeColor="text1"/>
                      <w:kern w:val="0"/>
                      <w:sz w:val="21"/>
                      <w:szCs w:val="21"/>
                      <w:lang w:val="en-US" w:eastAsia="zh-CN"/>
                      <w14:textFill>
                        <w14:solidFill>
                          <w14:schemeClr w14:val="tx1"/>
                        </w14:solidFill>
                      </w14:textFill>
                    </w:rPr>
                    <w:t>刷胶、浇注、烘干、脱模</w:t>
                  </w:r>
                  <w:r>
                    <w:rPr>
                      <w:rFonts w:cs="Times New Roman"/>
                      <w:color w:val="000000" w:themeColor="text1"/>
                      <w:kern w:val="0"/>
                      <w:sz w:val="21"/>
                      <w:szCs w:val="21"/>
                      <w14:textFill>
                        <w14:solidFill>
                          <w14:schemeClr w14:val="tx1"/>
                        </w14:solidFill>
                      </w14:textFill>
                    </w:rPr>
                    <w:t>有机废气采用集气罩</w:t>
                  </w:r>
                  <w:r>
                    <w:rPr>
                      <w:rFonts w:hint="eastAsia" w:cs="Times New Roman"/>
                      <w:color w:val="000000" w:themeColor="text1"/>
                      <w:kern w:val="0"/>
                      <w:sz w:val="21"/>
                      <w:szCs w:val="21"/>
                      <w14:textFill>
                        <w14:solidFill>
                          <w14:schemeClr w14:val="tx1"/>
                        </w14:solidFill>
                      </w14:textFill>
                    </w:rPr>
                    <w:t>收集</w:t>
                  </w:r>
                  <w:r>
                    <w:rPr>
                      <w:rFonts w:cs="Times New Roman"/>
                      <w:color w:val="000000" w:themeColor="text1"/>
                      <w:kern w:val="0"/>
                      <w:sz w:val="21"/>
                      <w:szCs w:val="21"/>
                      <w14:textFill>
                        <w14:solidFill>
                          <w14:schemeClr w14:val="tx1"/>
                        </w14:solidFill>
                      </w14:textFill>
                    </w:rPr>
                    <w:t>（</w:t>
                  </w:r>
                  <w:r>
                    <w:rPr>
                      <w:rFonts w:hint="eastAsia" w:cs="Times New Roman"/>
                      <w:color w:val="000000" w:themeColor="text1"/>
                      <w:kern w:val="0"/>
                      <w:sz w:val="21"/>
                      <w:szCs w:val="21"/>
                      <w:lang w:val="en-US" w:eastAsia="zh-CN"/>
                      <w14:textFill>
                        <w14:solidFill>
                          <w14:schemeClr w14:val="tx1"/>
                        </w14:solidFill>
                      </w14:textFill>
                    </w:rPr>
                    <w:t>全密闭</w:t>
                  </w:r>
                  <w:r>
                    <w:rPr>
                      <w:rFonts w:cs="Times New Roman"/>
                      <w:color w:val="000000" w:themeColor="text1"/>
                      <w:kern w:val="0"/>
                      <w:sz w:val="21"/>
                      <w:szCs w:val="21"/>
                      <w14:textFill>
                        <w14:solidFill>
                          <w14:schemeClr w14:val="tx1"/>
                        </w14:solidFill>
                      </w14:textFill>
                    </w:rPr>
                    <w:t>）</w:t>
                  </w:r>
                  <w:r>
                    <w:rPr>
                      <w:rFonts w:hint="eastAsia" w:cs="Times New Roman"/>
                      <w:color w:val="000000" w:themeColor="text1"/>
                      <w:kern w:val="0"/>
                      <w:sz w:val="21"/>
                      <w:szCs w:val="21"/>
                      <w14:textFill>
                        <w14:solidFill>
                          <w14:schemeClr w14:val="tx1"/>
                        </w14:solidFill>
                      </w14:textFill>
                    </w:rPr>
                    <w:t>，</w:t>
                  </w:r>
                  <w:r>
                    <w:rPr>
                      <w:rFonts w:hint="eastAsia" w:cs="Times New Roman"/>
                      <w:color w:val="000000" w:themeColor="text1"/>
                      <w:kern w:val="0"/>
                      <w:sz w:val="21"/>
                      <w:szCs w:val="21"/>
                      <w:lang w:val="en-US" w:eastAsia="zh-CN"/>
                      <w14:textFill>
                        <w14:solidFill>
                          <w14:schemeClr w14:val="tx1"/>
                        </w14:solidFill>
                      </w14:textFill>
                    </w:rPr>
                    <w:t>喷漆工序采用半密闭集气设备，</w:t>
                  </w:r>
                  <w:r>
                    <w:rPr>
                      <w:rFonts w:cs="Times New Roman"/>
                      <w:color w:val="000000" w:themeColor="text1"/>
                      <w:kern w:val="0"/>
                      <w:sz w:val="21"/>
                      <w:szCs w:val="21"/>
                      <w14:textFill>
                        <w14:solidFill>
                          <w14:schemeClr w14:val="tx1"/>
                        </w14:solidFill>
                      </w14:textFill>
                    </w:rPr>
                    <w:t>收集后</w:t>
                  </w:r>
                  <w:r>
                    <w:rPr>
                      <w:rFonts w:hint="eastAsia" w:cs="Times New Roman"/>
                      <w:color w:val="000000" w:themeColor="text1"/>
                      <w:kern w:val="0"/>
                      <w:sz w:val="21"/>
                      <w:szCs w:val="21"/>
                      <w14:textFill>
                        <w14:solidFill>
                          <w14:schemeClr w14:val="tx1"/>
                        </w14:solidFill>
                      </w14:textFill>
                    </w:rPr>
                    <w:t>排至</w:t>
                  </w:r>
                  <w:r>
                    <w:rPr>
                      <w:rFonts w:hint="eastAsia" w:cs="Times New Roman"/>
                      <w:color w:val="000000" w:themeColor="text1"/>
                      <w:kern w:val="0"/>
                      <w:sz w:val="21"/>
                      <w:szCs w:val="21"/>
                      <w:lang w:val="en-US" w:eastAsia="zh-CN"/>
                      <w14:textFill>
                        <w14:solidFill>
                          <w14:schemeClr w14:val="tx1"/>
                        </w14:solidFill>
                      </w14:textFill>
                    </w:rPr>
                    <w:t>二级活性炭吸附装置</w:t>
                  </w:r>
                  <w:r>
                    <w:rPr>
                      <w:rFonts w:hint="eastAsia" w:cs="Times New Roman"/>
                      <w:color w:val="000000" w:themeColor="text1"/>
                      <w:kern w:val="0"/>
                      <w:sz w:val="21"/>
                      <w:szCs w:val="21"/>
                      <w14:textFill>
                        <w14:solidFill>
                          <w14:schemeClr w14:val="tx1"/>
                        </w14:solidFill>
                      </w14:textFill>
                    </w:rPr>
                    <w:t>处理</w:t>
                  </w:r>
                  <w:r>
                    <w:rPr>
                      <w:rFonts w:cs="Times New Roman"/>
                      <w:color w:val="000000" w:themeColor="text1"/>
                      <w:kern w:val="0"/>
                      <w:sz w:val="21"/>
                      <w:szCs w:val="21"/>
                      <w14:textFill>
                        <w14:solidFill>
                          <w14:schemeClr w14:val="tx1"/>
                        </w14:solidFill>
                      </w14:textFill>
                    </w:rPr>
                    <w:t>系统处理。</w:t>
                  </w:r>
                </w:p>
              </w:tc>
              <w:tc>
                <w:tcPr>
                  <w:tcW w:w="656" w:type="dxa"/>
                  <w:vAlign w:val="center"/>
                </w:tcPr>
                <w:p w14:paraId="66FDBD8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r w14:paraId="79FD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restart"/>
                  <w:vAlign w:val="center"/>
                </w:tcPr>
                <w:p w14:paraId="22E22C8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末端治理</w:t>
                  </w:r>
                </w:p>
              </w:tc>
              <w:tc>
                <w:tcPr>
                  <w:tcW w:w="816" w:type="dxa"/>
                  <w:vMerge w:val="restart"/>
                  <w:vAlign w:val="center"/>
                </w:tcPr>
                <w:p w14:paraId="59D273A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废气收集</w:t>
                  </w:r>
                </w:p>
              </w:tc>
              <w:tc>
                <w:tcPr>
                  <w:tcW w:w="2860" w:type="dxa"/>
                  <w:vAlign w:val="center"/>
                </w:tcPr>
                <w:p w14:paraId="79ACCF1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采用外部集气罩的，距集气罩开口面最远处的VOCs无组织排放位置，控制风速不低于0.3m/s。</w:t>
                  </w:r>
                </w:p>
              </w:tc>
              <w:tc>
                <w:tcPr>
                  <w:tcW w:w="719" w:type="dxa"/>
                  <w:vAlign w:val="center"/>
                </w:tcPr>
                <w:p w14:paraId="7591D9B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要求</w:t>
                  </w:r>
                </w:p>
              </w:tc>
              <w:tc>
                <w:tcPr>
                  <w:tcW w:w="1405" w:type="dxa"/>
                  <w:vAlign w:val="center"/>
                </w:tcPr>
                <w:p w14:paraId="7759D6A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刷胶、浇注、烘干、脱模、喷漆工序</w:t>
                  </w:r>
                  <w:r>
                    <w:rPr>
                      <w:rFonts w:hint="eastAsia" w:cs="Times New Roman"/>
                      <w:color w:val="000000" w:themeColor="text1"/>
                      <w:kern w:val="0"/>
                      <w:sz w:val="21"/>
                      <w:szCs w:val="21"/>
                      <w14:textFill>
                        <w14:solidFill>
                          <w14:schemeClr w14:val="tx1"/>
                        </w14:solidFill>
                      </w14:textFill>
                    </w:rPr>
                    <w:t>产生的废气</w:t>
                  </w:r>
                  <w:r>
                    <w:rPr>
                      <w:rFonts w:cs="Times New Roman"/>
                      <w:color w:val="000000" w:themeColor="text1"/>
                      <w:kern w:val="0"/>
                      <w:sz w:val="21"/>
                      <w:szCs w:val="21"/>
                      <w14:textFill>
                        <w14:solidFill>
                          <w14:schemeClr w14:val="tx1"/>
                        </w14:solidFill>
                      </w14:textFill>
                    </w:rPr>
                    <w:t>采用</w:t>
                  </w:r>
                  <w:r>
                    <w:rPr>
                      <w:rFonts w:hint="eastAsia" w:cs="Times New Roman"/>
                      <w:color w:val="000000" w:themeColor="text1"/>
                      <w:kern w:val="0"/>
                      <w:sz w:val="21"/>
                      <w:szCs w:val="21"/>
                      <w:lang w:val="en-US" w:eastAsia="zh-CN"/>
                      <w14:textFill>
                        <w14:solidFill>
                          <w14:schemeClr w14:val="tx1"/>
                        </w14:solidFill>
                      </w14:textFill>
                    </w:rPr>
                    <w:t>全密闭</w:t>
                  </w:r>
                  <w:r>
                    <w:rPr>
                      <w:rFonts w:cs="Times New Roman"/>
                      <w:color w:val="000000" w:themeColor="text1"/>
                      <w:kern w:val="0"/>
                      <w:sz w:val="21"/>
                      <w:szCs w:val="21"/>
                      <w14:textFill>
                        <w14:solidFill>
                          <w14:schemeClr w14:val="tx1"/>
                        </w14:solidFill>
                      </w14:textFill>
                    </w:rPr>
                    <w:t>收集</w:t>
                  </w:r>
                  <w:r>
                    <w:rPr>
                      <w:rFonts w:hint="eastAsia" w:cs="Times New Roman"/>
                      <w:color w:val="000000" w:themeColor="text1"/>
                      <w:kern w:val="0"/>
                      <w:sz w:val="21"/>
                      <w:szCs w:val="21"/>
                      <w14:textFill>
                        <w14:solidFill>
                          <w14:schemeClr w14:val="tx1"/>
                        </w14:solidFill>
                      </w14:textFill>
                    </w:rPr>
                    <w:t>，距集气罩开口面最远处的VOCs无组织排放位置，控制风速不低于0.3m/s。</w:t>
                  </w:r>
                </w:p>
              </w:tc>
              <w:tc>
                <w:tcPr>
                  <w:tcW w:w="656" w:type="dxa"/>
                  <w:vAlign w:val="center"/>
                </w:tcPr>
                <w:p w14:paraId="4C8DE0F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r w14:paraId="071D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0E18243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4F32B6E3">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2860" w:type="dxa"/>
                  <w:vAlign w:val="center"/>
                </w:tcPr>
                <w:p w14:paraId="679EF8E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废气收集系统的输送管道应密闭。废气收集系统应在负压下运行，若处于正压状态，应对管道组件的密封点进行泄漏检测，泄漏检测值不应超过500μmol/mol，亦不应有感官可察觉泄漏。</w:t>
                  </w:r>
                </w:p>
              </w:tc>
              <w:tc>
                <w:tcPr>
                  <w:tcW w:w="719" w:type="dxa"/>
                  <w:vAlign w:val="center"/>
                </w:tcPr>
                <w:p w14:paraId="58C0B3D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要求</w:t>
                  </w:r>
                </w:p>
              </w:tc>
              <w:tc>
                <w:tcPr>
                  <w:tcW w:w="1405" w:type="dxa"/>
                  <w:vAlign w:val="center"/>
                </w:tcPr>
                <w:p w14:paraId="73BF9F0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废气收集系统的输送管道为密闭，废气收集系统在负压下运行，符合要求。</w:t>
                  </w:r>
                </w:p>
              </w:tc>
              <w:tc>
                <w:tcPr>
                  <w:tcW w:w="656" w:type="dxa"/>
                  <w:vAlign w:val="center"/>
                </w:tcPr>
                <w:p w14:paraId="1945000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r w14:paraId="4C53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7" w:hRule="atLeast"/>
                <w:jc w:val="center"/>
              </w:trPr>
              <w:tc>
                <w:tcPr>
                  <w:tcW w:w="686" w:type="dxa"/>
                  <w:vMerge w:val="continue"/>
                  <w:vAlign w:val="center"/>
                </w:tcPr>
                <w:p w14:paraId="2E7E819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Merge w:val="restart"/>
                  <w:vAlign w:val="center"/>
                </w:tcPr>
                <w:p w14:paraId="463F006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治理设施设计与运行管理</w:t>
                  </w:r>
                </w:p>
              </w:tc>
              <w:tc>
                <w:tcPr>
                  <w:tcW w:w="2860" w:type="dxa"/>
                  <w:vAlign w:val="center"/>
                </w:tcPr>
                <w:p w14:paraId="7A007617">
                  <w:pPr>
                    <w:pStyle w:val="301"/>
                    <w:spacing w:line="240" w:lineRule="auto"/>
                    <w:ind w:firstLine="42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VOCs治理设施应与生产工艺设备同步运行，VOCs治理设施发生故障或检修时，对应的生产工艺设备应停止运行，待检修完毕后同步投入使用；生产工艺设备不能停止运行或不能及时停止运行的，应设置废气应急处理设施或采取其他替代措施。</w:t>
                  </w:r>
                </w:p>
              </w:tc>
              <w:tc>
                <w:tcPr>
                  <w:tcW w:w="719" w:type="dxa"/>
                  <w:vAlign w:val="center"/>
                </w:tcPr>
                <w:p w14:paraId="7EBF5367">
                  <w:pPr>
                    <w:pStyle w:val="301"/>
                    <w:spacing w:line="240" w:lineRule="auto"/>
                    <w:ind w:firstLine="0" w:firstLineChars="0"/>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要求</w:t>
                  </w:r>
                </w:p>
              </w:tc>
              <w:tc>
                <w:tcPr>
                  <w:tcW w:w="1405" w:type="dxa"/>
                  <w:vAlign w:val="center"/>
                </w:tcPr>
                <w:p w14:paraId="0CEF8AC9">
                  <w:pPr>
                    <w:pStyle w:val="301"/>
                    <w:spacing w:line="240" w:lineRule="auto"/>
                    <w:ind w:firstLine="0" w:firstLineChars="0"/>
                    <w:jc w:val="left"/>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刷胶</w:t>
                  </w:r>
                  <w:r>
                    <w:rPr>
                      <w:rFonts w:cs="Times New Roman"/>
                      <w:color w:val="000000" w:themeColor="text1"/>
                      <w:kern w:val="0"/>
                      <w:sz w:val="21"/>
                      <w:szCs w:val="21"/>
                      <w14:textFill>
                        <w14:solidFill>
                          <w14:schemeClr w14:val="tx1"/>
                        </w14:solidFill>
                      </w14:textFill>
                    </w:rPr>
                    <w:t>、浇注、烘干、脱模工序产生的非甲烷烃气体通过</w:t>
                  </w:r>
                  <w:r>
                    <w:rPr>
                      <w:rFonts w:hint="eastAsia" w:cs="Times New Roman"/>
                      <w:color w:val="000000" w:themeColor="text1"/>
                      <w:kern w:val="0"/>
                      <w:sz w:val="21"/>
                      <w:szCs w:val="21"/>
                      <w:lang w:val="en-US" w:eastAsia="zh-CN"/>
                      <w14:textFill>
                        <w14:solidFill>
                          <w14:schemeClr w14:val="tx1"/>
                        </w14:solidFill>
                      </w14:textFill>
                    </w:rPr>
                    <w:t>整体密闭</w:t>
                  </w:r>
                  <w:r>
                    <w:rPr>
                      <w:rFonts w:cs="Times New Roman"/>
                      <w:color w:val="000000" w:themeColor="text1"/>
                      <w:kern w:val="0"/>
                      <w:sz w:val="21"/>
                      <w:szCs w:val="21"/>
                      <w14:textFill>
                        <w14:solidFill>
                          <w14:schemeClr w14:val="tx1"/>
                        </w14:solidFill>
                      </w14:textFill>
                    </w:rPr>
                    <w:t>收集后经过</w:t>
                  </w:r>
                  <w:r>
                    <w:rPr>
                      <w:rFonts w:hint="eastAsia" w:cs="Times New Roman"/>
                      <w:color w:val="000000" w:themeColor="text1"/>
                      <w:kern w:val="0"/>
                      <w:sz w:val="21"/>
                      <w:szCs w:val="21"/>
                      <w:lang w:val="en-US" w:eastAsia="zh-CN"/>
                      <w14:textFill>
                        <w14:solidFill>
                          <w14:schemeClr w14:val="tx1"/>
                        </w14:solidFill>
                      </w14:textFill>
                    </w:rPr>
                    <w:t>二级活性炭装置</w:t>
                  </w:r>
                  <w:r>
                    <w:rPr>
                      <w:rFonts w:hint="eastAsia" w:cs="Times New Roman"/>
                      <w:color w:val="000000" w:themeColor="text1"/>
                      <w:kern w:val="0"/>
                      <w:sz w:val="21"/>
                      <w:szCs w:val="21"/>
                      <w14:textFill>
                        <w14:solidFill>
                          <w14:schemeClr w14:val="tx1"/>
                        </w14:solidFill>
                      </w14:textFill>
                    </w:rPr>
                    <w:t>处理后</w:t>
                  </w:r>
                  <w:r>
                    <w:rPr>
                      <w:rFonts w:cs="Times New Roman"/>
                      <w:color w:val="000000" w:themeColor="text1"/>
                      <w:kern w:val="0"/>
                      <w:sz w:val="21"/>
                      <w:szCs w:val="21"/>
                      <w14:textFill>
                        <w14:solidFill>
                          <w14:schemeClr w14:val="tx1"/>
                        </w14:solidFill>
                      </w14:textFill>
                    </w:rPr>
                    <w:t>通过</w:t>
                  </w:r>
                  <w:r>
                    <w:rPr>
                      <w:rFonts w:hint="eastAsia" w:cs="Times New Roman"/>
                      <w:color w:val="000000" w:themeColor="text1"/>
                      <w:kern w:val="0"/>
                      <w:sz w:val="21"/>
                      <w:szCs w:val="21"/>
                      <w:lang w:val="en-US" w:eastAsia="zh-CN"/>
                      <w14:textFill>
                        <w14:solidFill>
                          <w14:schemeClr w14:val="tx1"/>
                        </w14:solidFill>
                      </w14:textFill>
                    </w:rPr>
                    <w:t>1</w:t>
                  </w:r>
                  <w:r>
                    <w:rPr>
                      <w:rFonts w:hint="eastAsia" w:cs="Times New Roman"/>
                      <w:color w:val="000000" w:themeColor="text1"/>
                      <w:kern w:val="0"/>
                      <w:sz w:val="21"/>
                      <w:szCs w:val="21"/>
                      <w14:textFill>
                        <w14:solidFill>
                          <w14:schemeClr w14:val="tx1"/>
                        </w14:solidFill>
                      </w14:textFill>
                    </w:rPr>
                    <w:t>5m</w:t>
                  </w:r>
                  <w:r>
                    <w:rPr>
                      <w:rFonts w:cs="Times New Roman"/>
                      <w:color w:val="000000" w:themeColor="text1"/>
                      <w:kern w:val="0"/>
                      <w:sz w:val="21"/>
                      <w:szCs w:val="21"/>
                      <w14:textFill>
                        <w14:solidFill>
                          <w14:schemeClr w14:val="tx1"/>
                        </w14:solidFill>
                      </w14:textFill>
                    </w:rPr>
                    <w:t>DA005</w:t>
                  </w:r>
                  <w:r>
                    <w:rPr>
                      <w:rFonts w:hint="eastAsia" w:cs="Times New Roman"/>
                      <w:color w:val="000000" w:themeColor="text1"/>
                      <w:kern w:val="0"/>
                      <w:sz w:val="21"/>
                      <w:szCs w:val="21"/>
                      <w14:textFill>
                        <w14:solidFill>
                          <w14:schemeClr w14:val="tx1"/>
                        </w14:solidFill>
                      </w14:textFill>
                    </w:rPr>
                    <w:t>排放</w:t>
                  </w:r>
                  <w:r>
                    <w:rPr>
                      <w:rFonts w:cs="Times New Roman"/>
                      <w:color w:val="000000" w:themeColor="text1"/>
                      <w:kern w:val="0"/>
                      <w:sz w:val="21"/>
                      <w:szCs w:val="21"/>
                      <w14:textFill>
                        <w14:solidFill>
                          <w14:schemeClr w14:val="tx1"/>
                        </w14:solidFill>
                      </w14:textFill>
                    </w:rPr>
                    <w:t>，</w:t>
                  </w:r>
                  <w:r>
                    <w:rPr>
                      <w:rFonts w:hint="eastAsia" w:cs="Times New Roman"/>
                      <w:color w:val="000000" w:themeColor="text1"/>
                      <w:kern w:val="0"/>
                      <w:sz w:val="21"/>
                      <w:szCs w:val="21"/>
                      <w14:textFill>
                        <w14:solidFill>
                          <w14:schemeClr w14:val="tx1"/>
                        </w14:solidFill>
                      </w14:textFill>
                    </w:rPr>
                    <w:t>VOCs治理设施与生产工艺设备同步运行，VOCs治理设施发生故障或检修时，对应的生产工艺设备停止运行，待检修完毕后同步投入使用。</w:t>
                  </w:r>
                </w:p>
              </w:tc>
              <w:tc>
                <w:tcPr>
                  <w:tcW w:w="656" w:type="dxa"/>
                  <w:vAlign w:val="center"/>
                </w:tcPr>
                <w:p w14:paraId="5CABF7F1">
                  <w:pPr>
                    <w:pStyle w:val="301"/>
                    <w:spacing w:line="240" w:lineRule="auto"/>
                    <w:ind w:firstLine="42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r w14:paraId="6521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2073DC8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17E11E3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2860" w:type="dxa"/>
                  <w:vAlign w:val="center"/>
                </w:tcPr>
                <w:p w14:paraId="3250C34D">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建立废气收集处理设施台账，记录废气处理设施进出口的监测数据（废气量、浓度、温度、含氧量等）、废气收集与处理设施关键参数、废气处理设施相关耗材（吸收剂、吸附剂、催化剂等）购买和处理记录。</w:t>
                  </w:r>
                </w:p>
              </w:tc>
              <w:tc>
                <w:tcPr>
                  <w:tcW w:w="719" w:type="dxa"/>
                  <w:vAlign w:val="center"/>
                </w:tcPr>
                <w:p w14:paraId="5F6137F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要求</w:t>
                  </w:r>
                </w:p>
              </w:tc>
              <w:tc>
                <w:tcPr>
                  <w:tcW w:w="1405" w:type="dxa"/>
                  <w:vAlign w:val="center"/>
                </w:tcPr>
                <w:p w14:paraId="2FACD426">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建成后</w:t>
                  </w:r>
                  <w:r>
                    <w:rPr>
                      <w:rFonts w:hint="eastAsia" w:cs="Times New Roman"/>
                      <w:color w:val="000000" w:themeColor="text1"/>
                      <w:kern w:val="0"/>
                      <w:sz w:val="21"/>
                      <w:szCs w:val="21"/>
                      <w14:textFill>
                        <w14:solidFill>
                          <w14:schemeClr w14:val="tx1"/>
                        </w14:solidFill>
                      </w14:textFill>
                    </w:rPr>
                    <w:t>建立废气收集处理设施台账，记录废气处理设施进出口的监测数据（废气量、浓度、温度、含氧量等）、废气收集与处理设施关键参数、废气处理设施相关耗材（吸收剂、吸附剂、催化剂等）购买和处理记录。</w:t>
                  </w:r>
                </w:p>
              </w:tc>
              <w:tc>
                <w:tcPr>
                  <w:tcW w:w="656" w:type="dxa"/>
                  <w:vAlign w:val="center"/>
                </w:tcPr>
                <w:p w14:paraId="14539258">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r w14:paraId="1038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637F0A7D">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1BC2392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2860" w:type="dxa"/>
                  <w:vAlign w:val="center"/>
                </w:tcPr>
                <w:p w14:paraId="051640B1">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建立危废台账，整理危废处置合同、转移联单及危废处理方资质佐证材料。</w:t>
                  </w:r>
                </w:p>
              </w:tc>
              <w:tc>
                <w:tcPr>
                  <w:tcW w:w="719" w:type="dxa"/>
                  <w:vAlign w:val="center"/>
                </w:tcPr>
                <w:p w14:paraId="41BC856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要求</w:t>
                  </w:r>
                </w:p>
              </w:tc>
              <w:tc>
                <w:tcPr>
                  <w:tcW w:w="1405" w:type="dxa"/>
                  <w:vAlign w:val="center"/>
                </w:tcPr>
                <w:p w14:paraId="785624E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建成后</w:t>
                  </w:r>
                  <w:r>
                    <w:rPr>
                      <w:rFonts w:hint="eastAsia" w:cs="Times New Roman"/>
                      <w:color w:val="000000" w:themeColor="text1"/>
                      <w:kern w:val="0"/>
                      <w:sz w:val="21"/>
                      <w:szCs w:val="21"/>
                      <w14:textFill>
                        <w14:solidFill>
                          <w14:schemeClr w14:val="tx1"/>
                        </w14:solidFill>
                      </w14:textFill>
                    </w:rPr>
                    <w:t>建立危废台账，整理危废处置合同、转移联单及危废处理方资质佐证材料。</w:t>
                  </w:r>
                </w:p>
              </w:tc>
              <w:tc>
                <w:tcPr>
                  <w:tcW w:w="656" w:type="dxa"/>
                  <w:vAlign w:val="center"/>
                </w:tcPr>
                <w:p w14:paraId="1BD3322D">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r w14:paraId="05C8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67F5315B">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Merge w:val="continue"/>
                  <w:vAlign w:val="center"/>
                </w:tcPr>
                <w:p w14:paraId="447358B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2860" w:type="dxa"/>
                  <w:vAlign w:val="center"/>
                </w:tcPr>
                <w:p w14:paraId="181FF49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台账保存期限不少于3年。</w:t>
                  </w:r>
                </w:p>
              </w:tc>
              <w:tc>
                <w:tcPr>
                  <w:tcW w:w="719" w:type="dxa"/>
                  <w:vAlign w:val="center"/>
                </w:tcPr>
                <w:p w14:paraId="1CF846D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要求</w:t>
                  </w:r>
                </w:p>
              </w:tc>
              <w:tc>
                <w:tcPr>
                  <w:tcW w:w="1405" w:type="dxa"/>
                  <w:vAlign w:val="center"/>
                </w:tcPr>
                <w:p w14:paraId="7BC1653D">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建成后</w:t>
                  </w:r>
                  <w:r>
                    <w:rPr>
                      <w:rFonts w:hint="eastAsia" w:cs="Times New Roman"/>
                      <w:color w:val="000000" w:themeColor="text1"/>
                      <w:kern w:val="0"/>
                      <w:sz w:val="21"/>
                      <w:szCs w:val="21"/>
                      <w14:textFill>
                        <w14:solidFill>
                          <w14:schemeClr w14:val="tx1"/>
                        </w14:solidFill>
                      </w14:textFill>
                    </w:rPr>
                    <w:t>台账保存期限不少于3年。</w:t>
                  </w:r>
                </w:p>
              </w:tc>
              <w:tc>
                <w:tcPr>
                  <w:tcW w:w="656" w:type="dxa"/>
                  <w:vAlign w:val="center"/>
                </w:tcPr>
                <w:p w14:paraId="4555C088">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r w14:paraId="0D22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65AD9E28">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Align w:val="center"/>
                </w:tcPr>
                <w:p w14:paraId="50995FF0">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自行监测</w:t>
                  </w:r>
                </w:p>
              </w:tc>
              <w:tc>
                <w:tcPr>
                  <w:tcW w:w="2860" w:type="dxa"/>
                  <w:vAlign w:val="center"/>
                </w:tcPr>
                <w:p w14:paraId="27025A3F">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塑料制品行业重点排污单位：a） 塑料人造革与合成革制造每季度一次；b） 塑料板、管、型材制造、塑料丝、绳及编织品制造、泡沫塑料制造、塑料包装箱及容器制造（注塑成型、滚塑成型）、日用塑料制品制造、人造草坪制造、塑料零件及其他塑料制品每半年一次；</w:t>
                  </w:r>
                </w:p>
                <w:p w14:paraId="204CF77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c） 喷涂工序每季度一次；d） 厂界每半年一次</w:t>
                  </w:r>
                </w:p>
              </w:tc>
              <w:tc>
                <w:tcPr>
                  <w:tcW w:w="719" w:type="dxa"/>
                  <w:vAlign w:val="center"/>
                </w:tcPr>
                <w:p w14:paraId="43BF064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要求</w:t>
                  </w:r>
                </w:p>
              </w:tc>
              <w:tc>
                <w:tcPr>
                  <w:tcW w:w="1405" w:type="dxa"/>
                  <w:vAlign w:val="center"/>
                </w:tcPr>
                <w:p w14:paraId="12615892">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cs="Times New Roman"/>
                      <w:color w:val="000000" w:themeColor="text1"/>
                      <w:kern w:val="0"/>
                      <w:sz w:val="21"/>
                      <w:szCs w:val="21"/>
                      <w14:textFill>
                        <w14:solidFill>
                          <w14:schemeClr w14:val="tx1"/>
                        </w14:solidFill>
                      </w14:textFill>
                    </w:rPr>
                    <w:t>采用</w:t>
                  </w:r>
                  <w:r>
                    <w:rPr>
                      <w:rFonts w:hint="eastAsia" w:cs="Times New Roman"/>
                      <w:color w:val="000000" w:themeColor="text1"/>
                      <w:kern w:val="0"/>
                      <w:sz w:val="21"/>
                      <w:szCs w:val="21"/>
                      <w14:textFill>
                        <w14:solidFill>
                          <w14:schemeClr w14:val="tx1"/>
                        </w14:solidFill>
                      </w14:textFill>
                    </w:rPr>
                    <w:t>刷胶</w:t>
                  </w:r>
                  <w:r>
                    <w:rPr>
                      <w:rFonts w:cs="Times New Roman"/>
                      <w:color w:val="000000" w:themeColor="text1"/>
                      <w:kern w:val="0"/>
                      <w:sz w:val="21"/>
                      <w:szCs w:val="21"/>
                      <w14:textFill>
                        <w14:solidFill>
                          <w14:schemeClr w14:val="tx1"/>
                        </w14:solidFill>
                      </w14:textFill>
                    </w:rPr>
                    <w:t>、浇注、烘干、脱模工序生产脚轮，项目</w:t>
                  </w:r>
                  <w:r>
                    <w:rPr>
                      <w:rFonts w:hint="eastAsia" w:cs="Times New Roman"/>
                      <w:color w:val="000000" w:themeColor="text1"/>
                      <w:kern w:val="0"/>
                      <w:sz w:val="21"/>
                      <w:szCs w:val="21"/>
                      <w14:textFill>
                        <w14:solidFill>
                          <w14:schemeClr w14:val="tx1"/>
                        </w14:solidFill>
                      </w14:textFill>
                    </w:rPr>
                    <w:t>厂界</w:t>
                  </w:r>
                  <w:r>
                    <w:rPr>
                      <w:rFonts w:cs="Times New Roman"/>
                      <w:color w:val="000000" w:themeColor="text1"/>
                      <w:kern w:val="0"/>
                      <w:sz w:val="21"/>
                      <w:szCs w:val="21"/>
                      <w14:textFill>
                        <w14:solidFill>
                          <w14:schemeClr w14:val="tx1"/>
                        </w14:solidFill>
                      </w14:textFill>
                    </w:rPr>
                    <w:t>每半年进行一次自行监测。</w:t>
                  </w:r>
                </w:p>
              </w:tc>
              <w:tc>
                <w:tcPr>
                  <w:tcW w:w="656" w:type="dxa"/>
                  <w:vAlign w:val="center"/>
                </w:tcPr>
                <w:p w14:paraId="3B8F8D0A">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r w14:paraId="76D6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Merge w:val="continue"/>
                  <w:vAlign w:val="center"/>
                </w:tcPr>
                <w:p w14:paraId="02B039C1">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p>
              </w:tc>
              <w:tc>
                <w:tcPr>
                  <w:tcW w:w="816" w:type="dxa"/>
                  <w:vAlign w:val="center"/>
                </w:tcPr>
                <w:p w14:paraId="3DA44B99">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危废</w:t>
                  </w:r>
                  <w:r>
                    <w:rPr>
                      <w:rFonts w:cs="Times New Roman"/>
                      <w:color w:val="000000" w:themeColor="text1"/>
                      <w:kern w:val="0"/>
                      <w:sz w:val="21"/>
                      <w:szCs w:val="21"/>
                      <w14:textFill>
                        <w14:solidFill>
                          <w14:schemeClr w14:val="tx1"/>
                        </w14:solidFill>
                      </w14:textFill>
                    </w:rPr>
                    <w:t>管理</w:t>
                  </w:r>
                </w:p>
              </w:tc>
              <w:tc>
                <w:tcPr>
                  <w:tcW w:w="2860" w:type="dxa"/>
                  <w:vAlign w:val="center"/>
                </w:tcPr>
                <w:p w14:paraId="62F5060C">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14:textFill>
                        <w14:solidFill>
                          <w14:schemeClr w14:val="tx1"/>
                        </w14:solidFill>
                      </w14:textFill>
                    </w:rPr>
                    <w:t>工艺过程产生的含VOCs废料（渣、液）应按照相关要求进行储存、转移和输送。盛装过VOCs物料的废包装容器应加盖密闭。</w:t>
                  </w:r>
                </w:p>
              </w:tc>
              <w:tc>
                <w:tcPr>
                  <w:tcW w:w="719" w:type="dxa"/>
                  <w:vAlign w:val="center"/>
                </w:tcPr>
                <w:p w14:paraId="6CF5E68E">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要求</w:t>
                  </w:r>
                </w:p>
              </w:tc>
              <w:tc>
                <w:tcPr>
                  <w:tcW w:w="1405" w:type="dxa"/>
                  <w:vAlign w:val="center"/>
                </w:tcPr>
                <w:p w14:paraId="309ABA8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本</w:t>
                  </w:r>
                  <w:r>
                    <w:rPr>
                      <w:rFonts w:hint="eastAsia" w:cs="Times New Roman"/>
                      <w:color w:val="000000" w:themeColor="text1"/>
                      <w:kern w:val="0"/>
                      <w:sz w:val="21"/>
                      <w:szCs w:val="21"/>
                      <w:lang w:eastAsia="zh-CN"/>
                      <w14:textFill>
                        <w14:solidFill>
                          <w14:schemeClr w14:val="tx1"/>
                        </w14:solidFill>
                      </w14:textFill>
                    </w:rPr>
                    <w:t>项目</w:t>
                  </w:r>
                  <w:r>
                    <w:rPr>
                      <w:rFonts w:hint="eastAsia" w:cs="Times New Roman"/>
                      <w:color w:val="000000" w:themeColor="text1"/>
                      <w:kern w:val="0"/>
                      <w:sz w:val="21"/>
                      <w:szCs w:val="21"/>
                      <w14:textFill>
                        <w14:solidFill>
                          <w14:schemeClr w14:val="tx1"/>
                        </w14:solidFill>
                      </w14:textFill>
                    </w:rPr>
                    <w:t>盛装过VOCs物料的废包装容器加盖密闭。</w:t>
                  </w:r>
                </w:p>
              </w:tc>
              <w:tc>
                <w:tcPr>
                  <w:tcW w:w="656" w:type="dxa"/>
                  <w:vAlign w:val="center"/>
                </w:tcPr>
                <w:p w14:paraId="3AF22734">
                  <w:pPr>
                    <w:pStyle w:val="301"/>
                    <w:spacing w:line="240" w:lineRule="auto"/>
                    <w:ind w:firstLine="0" w:firstLineChars="0"/>
                    <w:jc w:val="center"/>
                    <w:rPr>
                      <w:rFonts w:cs="Times New Roman"/>
                      <w:color w:val="000000" w:themeColor="text1"/>
                      <w:kern w:val="0"/>
                      <w:sz w:val="21"/>
                      <w:szCs w:val="21"/>
                      <w14:textFill>
                        <w14:solidFill>
                          <w14:schemeClr w14:val="tx1"/>
                        </w14:solidFill>
                      </w14:textFill>
                    </w:rPr>
                  </w:pPr>
                  <w:r>
                    <w:rPr>
                      <w:rFonts w:cs="Times New Roman"/>
                      <w:color w:val="000000" w:themeColor="text1"/>
                      <w:kern w:val="0"/>
                      <w:sz w:val="21"/>
                      <w:szCs w:val="21"/>
                      <w14:textFill>
                        <w14:solidFill>
                          <w14:schemeClr w14:val="tx1"/>
                        </w14:solidFill>
                      </w14:textFill>
                    </w:rPr>
                    <w:t>符合</w:t>
                  </w:r>
                </w:p>
              </w:tc>
            </w:tr>
          </w:tbl>
          <w:p w14:paraId="77CB36BD">
            <w:pPr>
              <w:autoSpaceDE w:val="0"/>
              <w:autoSpaceDN w:val="0"/>
              <w:adjustRightInd w:val="0"/>
              <w:snapToGrid w:val="0"/>
              <w:spacing w:line="360" w:lineRule="auto"/>
              <w:rPr>
                <w:rFonts w:ascii="Times New Roman" w:hAnsi="Times New Roman" w:eastAsia="宋体" w:cs="Times New Roman"/>
                <w:b/>
                <w:color w:val="000000" w:themeColor="text1"/>
                <w:kern w:val="0"/>
                <w:sz w:val="24"/>
                <w14:textFill>
                  <w14:solidFill>
                    <w14:schemeClr w14:val="tx1"/>
                  </w14:solidFill>
                </w14:textFill>
              </w:rPr>
            </w:pPr>
          </w:p>
          <w:p w14:paraId="33930D9C">
            <w:pPr>
              <w:autoSpaceDE w:val="0"/>
              <w:autoSpaceDN w:val="0"/>
              <w:adjustRightInd w:val="0"/>
              <w:snapToGrid w:val="0"/>
              <w:spacing w:line="360" w:lineRule="auto"/>
              <w:rPr>
                <w:rFonts w:ascii="Times New Roman" w:hAnsi="Times New Roman" w:eastAsia="宋体" w:cs="Times New Roman"/>
                <w:b/>
                <w:color w:val="000000" w:themeColor="text1"/>
                <w:kern w:val="0"/>
                <w:sz w:val="24"/>
                <w14:textFill>
                  <w14:solidFill>
                    <w14:schemeClr w14:val="tx1"/>
                  </w14:solidFill>
                </w14:textFill>
              </w:rPr>
            </w:pPr>
            <w:r>
              <w:rPr>
                <w:rFonts w:ascii="Times New Roman" w:hAnsi="Times New Roman" w:eastAsia="宋体" w:cs="Times New Roman"/>
                <w:b/>
                <w:color w:val="000000" w:themeColor="text1"/>
                <w:kern w:val="0"/>
                <w:sz w:val="24"/>
                <w14:textFill>
                  <w14:solidFill>
                    <w14:schemeClr w14:val="tx1"/>
                  </w14:solidFill>
                </w14:textFill>
              </w:rPr>
              <w:t>4</w:t>
            </w:r>
            <w:r>
              <w:rPr>
                <w:rFonts w:hint="eastAsia" w:ascii="Times New Roman" w:hAnsi="Times New Roman" w:eastAsia="宋体" w:cs="Times New Roman"/>
                <w:b/>
                <w:color w:val="000000" w:themeColor="text1"/>
                <w:kern w:val="0"/>
                <w:sz w:val="24"/>
                <w14:textFill>
                  <w14:solidFill>
                    <w14:schemeClr w14:val="tx1"/>
                  </w14:solidFill>
                </w14:textFill>
              </w:rPr>
              <w:t>、选址合理性</w:t>
            </w:r>
          </w:p>
          <w:p w14:paraId="732186F1">
            <w:pPr>
              <w:autoSpaceDE w:val="0"/>
              <w:autoSpaceDN w:val="0"/>
              <w:adjustRightInd w:val="0"/>
              <w:snapToGri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w:t>
            </w:r>
            <w:r>
              <w:rPr>
                <w:rFonts w:hint="eastAsia" w:ascii="Times New Roman" w:hAnsi="Times New Roman" w:eastAsia="宋体" w:cs="Times New Roman"/>
                <w:color w:val="000000" w:themeColor="text1"/>
                <w:kern w:val="0"/>
                <w:sz w:val="24"/>
                <w14:textFill>
                  <w14:solidFill>
                    <w14:schemeClr w14:val="tx1"/>
                  </w14:solidFill>
                </w14:textFill>
              </w:rPr>
              <w:t>1</w:t>
            </w:r>
            <w:r>
              <w:rPr>
                <w:rFonts w:ascii="Times New Roman" w:hAnsi="Times New Roman" w:eastAsia="宋体" w:cs="Times New Roman"/>
                <w:color w:val="000000" w:themeColor="text1"/>
                <w:kern w:val="0"/>
                <w:sz w:val="24"/>
                <w14:textFill>
                  <w14:solidFill>
                    <w14:schemeClr w14:val="tx1"/>
                  </w14:solidFill>
                </w14:textFill>
              </w:rPr>
              <w:t>）用地规划相符性</w:t>
            </w:r>
          </w:p>
          <w:p w14:paraId="6842D21F">
            <w:pPr>
              <w:autoSpaceDE w:val="0"/>
              <w:autoSpaceDN w:val="0"/>
              <w:adjustRightInd w:val="0"/>
              <w:snapToGri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kern w:val="0"/>
                <w:sz w:val="24"/>
                <w14:textFill>
                  <w14:solidFill>
                    <w14:schemeClr w14:val="tx1"/>
                  </w14:solidFill>
                </w14:textFill>
              </w:rPr>
              <w:t>根据上述分析，本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的建设与所在地</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生态环境分区管控</w:t>
            </w:r>
            <w:r>
              <w:rPr>
                <w:rFonts w:hint="eastAsia" w:ascii="Times New Roman" w:hAnsi="Times New Roman" w:eastAsia="宋体" w:cs="Times New Roman"/>
                <w:color w:val="000000" w:themeColor="text1"/>
                <w:kern w:val="0"/>
                <w:sz w:val="24"/>
                <w14:textFill>
                  <w14:solidFill>
                    <w14:schemeClr w14:val="tx1"/>
                  </w14:solidFill>
                </w14:textFill>
              </w:rPr>
              <w:t>、相关生态环境保护法律法规政策及生态环境保护规划均是相符的。本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位于广东省韶关市乐昌市乐昌产业转移工业园环园东路1</w:t>
            </w:r>
            <w:r>
              <w:rPr>
                <w:rFonts w:ascii="Times New Roman" w:hAnsi="Times New Roman" w:eastAsia="宋体" w:cs="Times New Roman"/>
                <w:color w:val="000000" w:themeColor="text1"/>
                <w:kern w:val="0"/>
                <w:sz w:val="24"/>
                <w14:textFill>
                  <w14:solidFill>
                    <w14:schemeClr w14:val="tx1"/>
                  </w14:solidFill>
                </w14:textFill>
              </w:rPr>
              <w:t>9号</w:t>
            </w:r>
            <w:r>
              <w:rPr>
                <w:rFonts w:hint="eastAsia" w:ascii="Times New Roman" w:hAnsi="Times New Roman" w:eastAsia="宋体" w:cs="Times New Roman"/>
                <w:color w:val="000000" w:themeColor="text1"/>
                <w:kern w:val="0"/>
                <w:sz w:val="24"/>
                <w14:textFill>
                  <w14:solidFill>
                    <w14:schemeClr w14:val="tx1"/>
                  </w14:solidFill>
                </w14:textFill>
              </w:rPr>
              <w:t>，根据《乐昌产业转移工业园控制性详细规划-城东地块论证报告调整后》，</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所在地为工业用地（详见附图</w:t>
            </w:r>
            <w:r>
              <w:rPr>
                <w:rFonts w:ascii="Times New Roman" w:hAnsi="Times New Roman" w:eastAsia="宋体" w:cs="Times New Roman"/>
                <w:color w:val="000000" w:themeColor="text1"/>
                <w:kern w:val="0"/>
                <w:sz w:val="24"/>
                <w14:textFill>
                  <w14:solidFill>
                    <w14:schemeClr w14:val="tx1"/>
                  </w14:solidFill>
                </w14:textFill>
              </w:rPr>
              <w:t>6</w:t>
            </w:r>
            <w:r>
              <w:rPr>
                <w:rFonts w:hint="eastAsia" w:ascii="Times New Roman" w:hAnsi="Times New Roman" w:eastAsia="宋体" w:cs="Times New Roman"/>
                <w:color w:val="000000" w:themeColor="text1"/>
                <w:kern w:val="0"/>
                <w:sz w:val="24"/>
                <w14:textFill>
                  <w14:solidFill>
                    <w14:schemeClr w14:val="tx1"/>
                  </w14:solidFill>
                </w14:textFill>
              </w:rPr>
              <w:t>），</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所在地没有占用基本农业用地和林地，属于核心发展区（详见附图1</w:t>
            </w:r>
            <w:r>
              <w:rPr>
                <w:rFonts w:ascii="Times New Roman" w:hAnsi="Times New Roman" w:eastAsia="宋体" w:cs="Times New Roman"/>
                <w:color w:val="000000" w:themeColor="text1"/>
                <w:kern w:val="0"/>
                <w:sz w:val="24"/>
                <w14:textFill>
                  <w14:solidFill>
                    <w14:schemeClr w14:val="tx1"/>
                  </w14:solidFill>
                </w14:textFill>
              </w:rPr>
              <w:t>3</w:t>
            </w:r>
            <w:r>
              <w:rPr>
                <w:rFonts w:hint="eastAsia" w:ascii="Times New Roman" w:hAnsi="Times New Roman" w:eastAsia="宋体" w:cs="Times New Roman"/>
                <w:color w:val="000000" w:themeColor="text1"/>
                <w:kern w:val="0"/>
                <w:sz w:val="24"/>
                <w14:textFill>
                  <w14:solidFill>
                    <w14:schemeClr w14:val="tx1"/>
                  </w14:solidFill>
                </w14:textFill>
              </w:rPr>
              <w:t>），符合韶关市城市建设和环境功能区规划的要求。</w:t>
            </w:r>
          </w:p>
          <w:p w14:paraId="6683D1CA">
            <w:pPr>
              <w:autoSpaceDE w:val="0"/>
              <w:autoSpaceDN w:val="0"/>
              <w:adjustRightInd w:val="0"/>
              <w:snapToGri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因此，本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ascii="Times New Roman" w:hAnsi="Times New Roman" w:eastAsia="宋体" w:cs="Times New Roman"/>
                <w:color w:val="000000" w:themeColor="text1"/>
                <w:kern w:val="0"/>
                <w:sz w:val="24"/>
                <w14:textFill>
                  <w14:solidFill>
                    <w14:schemeClr w14:val="tx1"/>
                  </w14:solidFill>
                </w14:textFill>
              </w:rPr>
              <w:t>符合用地规划要求。</w:t>
            </w:r>
          </w:p>
          <w:p w14:paraId="6A142D1D">
            <w:pPr>
              <w:autoSpaceDE w:val="0"/>
              <w:autoSpaceDN w:val="0"/>
              <w:adjustRightInd w:val="0"/>
              <w:snapToGri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w:t>
            </w:r>
            <w:r>
              <w:rPr>
                <w:rFonts w:hint="eastAsia" w:ascii="Times New Roman" w:hAnsi="Times New Roman" w:eastAsia="宋体" w:cs="Times New Roman"/>
                <w:color w:val="000000" w:themeColor="text1"/>
                <w:kern w:val="0"/>
                <w:sz w:val="24"/>
                <w14:textFill>
                  <w14:solidFill>
                    <w14:schemeClr w14:val="tx1"/>
                  </w14:solidFill>
                </w14:textFill>
              </w:rPr>
              <w:t>2</w:t>
            </w:r>
            <w:r>
              <w:rPr>
                <w:rFonts w:ascii="Times New Roman" w:hAnsi="Times New Roman" w:eastAsia="宋体" w:cs="Times New Roman"/>
                <w:color w:val="000000" w:themeColor="text1"/>
                <w:kern w:val="0"/>
                <w:sz w:val="24"/>
                <w14:textFill>
                  <w14:solidFill>
                    <w14:schemeClr w14:val="tx1"/>
                  </w14:solidFill>
                </w14:textFill>
              </w:rPr>
              <w:t>）功能区划相符性</w:t>
            </w:r>
          </w:p>
          <w:p w14:paraId="23139F9B">
            <w:pPr>
              <w:autoSpaceDE w:val="0"/>
              <w:autoSpaceDN w:val="0"/>
              <w:adjustRightInd w:val="0"/>
              <w:snapToGri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kern w:val="0"/>
                <w:sz w:val="24"/>
                <w14:textFill>
                  <w14:solidFill>
                    <w14:schemeClr w14:val="tx1"/>
                  </w14:solidFill>
                </w14:textFill>
              </w:rPr>
              <w:t>根据《乐昌市生态环境保护“十四五”规划》（乐府办〔2022〕1</w:t>
            </w:r>
            <w:r>
              <w:rPr>
                <w:rFonts w:ascii="Times New Roman" w:hAnsi="Times New Roman" w:eastAsia="宋体" w:cs="Times New Roman"/>
                <w:color w:val="000000" w:themeColor="text1"/>
                <w:kern w:val="0"/>
                <w:sz w:val="24"/>
                <w14:textFill>
                  <w14:solidFill>
                    <w14:schemeClr w14:val="tx1"/>
                  </w14:solidFill>
                </w14:textFill>
              </w:rPr>
              <w:t>6</w:t>
            </w:r>
            <w:r>
              <w:rPr>
                <w:rFonts w:hint="eastAsia" w:ascii="Times New Roman" w:hAnsi="Times New Roman" w:eastAsia="宋体" w:cs="Times New Roman"/>
                <w:color w:val="000000" w:themeColor="text1"/>
                <w:kern w:val="0"/>
                <w:sz w:val="24"/>
                <w14:textFill>
                  <w14:solidFill>
                    <w14:schemeClr w14:val="tx1"/>
                  </w14:solidFill>
                </w14:textFill>
              </w:rPr>
              <w:t>号），本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所在地属于环境空气质量二类功能区（见附图</w:t>
            </w:r>
            <w:r>
              <w:rPr>
                <w:rFonts w:ascii="Times New Roman" w:hAnsi="Times New Roman" w:eastAsia="宋体" w:cs="Times New Roman"/>
                <w:color w:val="000000" w:themeColor="text1"/>
                <w:kern w:val="0"/>
                <w:sz w:val="24"/>
                <w14:textFill>
                  <w14:solidFill>
                    <w14:schemeClr w14:val="tx1"/>
                  </w14:solidFill>
                </w14:textFill>
              </w:rPr>
              <w:t>10</w:t>
            </w:r>
            <w:r>
              <w:rPr>
                <w:rFonts w:hint="eastAsia" w:ascii="Times New Roman" w:hAnsi="Times New Roman" w:eastAsia="宋体" w:cs="Times New Roman"/>
                <w:color w:val="000000" w:themeColor="text1"/>
                <w:kern w:val="0"/>
                <w:sz w:val="24"/>
                <w14:textFill>
                  <w14:solidFill>
                    <w14:schemeClr w14:val="tx1"/>
                  </w14:solidFill>
                </w14:textFill>
              </w:rPr>
              <w:t>）。根据《广东乐昌经济开发区区位调整规划环境影响报告书》，</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ascii="Times New Roman" w:hAnsi="Times New Roman" w:eastAsia="宋体" w:cs="Times New Roman"/>
                <w:color w:val="000000" w:themeColor="text1"/>
                <w:kern w:val="0"/>
                <w:sz w:val="24"/>
                <w14:textFill>
                  <w14:solidFill>
                    <w14:schemeClr w14:val="tx1"/>
                  </w14:solidFill>
                </w14:textFill>
              </w:rPr>
              <w:t>所在地属于工业</w:t>
            </w:r>
            <w:r>
              <w:rPr>
                <w:rFonts w:hint="eastAsia" w:ascii="Times New Roman" w:hAnsi="Times New Roman" w:eastAsia="宋体" w:cs="Times New Roman"/>
                <w:color w:val="000000" w:themeColor="text1"/>
                <w:kern w:val="0"/>
                <w:sz w:val="24"/>
                <w14:textFill>
                  <w14:solidFill>
                    <w14:schemeClr w14:val="tx1"/>
                  </w14:solidFill>
                </w14:textFill>
              </w:rPr>
              <w:t>用地</w:t>
            </w:r>
            <w:r>
              <w:rPr>
                <w:rFonts w:ascii="Times New Roman" w:hAnsi="Times New Roman" w:eastAsia="宋体" w:cs="Times New Roman"/>
                <w:color w:val="000000" w:themeColor="text1"/>
                <w:kern w:val="0"/>
                <w:sz w:val="24"/>
                <w14:textFill>
                  <w14:solidFill>
                    <w14:schemeClr w14:val="tx1"/>
                  </w14:solidFill>
                </w14:textFill>
              </w:rPr>
              <w:t>（详见附图</w:t>
            </w:r>
            <w:r>
              <w:rPr>
                <w:rFonts w:hint="eastAsia" w:ascii="Times New Roman" w:hAnsi="Times New Roman" w:eastAsia="宋体" w:cs="Times New Roman"/>
                <w:color w:val="000000" w:themeColor="text1"/>
                <w:kern w:val="0"/>
                <w:sz w:val="24"/>
                <w14:textFill>
                  <w14:solidFill>
                    <w14:schemeClr w14:val="tx1"/>
                  </w14:solidFill>
                </w14:textFill>
              </w:rPr>
              <w:t>6</w:t>
            </w:r>
            <w:r>
              <w:rPr>
                <w:rFonts w:ascii="Times New Roman" w:hAnsi="Times New Roman" w:eastAsia="宋体" w:cs="Times New Roman"/>
                <w:color w:val="000000" w:themeColor="text1"/>
                <w:kern w:val="0"/>
                <w:sz w:val="24"/>
                <w14:textFill>
                  <w14:solidFill>
                    <w14:schemeClr w14:val="tx1"/>
                  </w14:solidFill>
                </w14:textFill>
              </w:rPr>
              <w:t>），</w:t>
            </w:r>
            <w:r>
              <w:rPr>
                <w:rFonts w:hint="eastAsia" w:ascii="Times New Roman" w:hAnsi="Times New Roman" w:eastAsia="宋体" w:cs="Times New Roman"/>
                <w:color w:val="000000" w:themeColor="text1"/>
                <w:kern w:val="0"/>
                <w:sz w:val="24"/>
                <w14:textFill>
                  <w14:solidFill>
                    <w14:schemeClr w14:val="tx1"/>
                  </w14:solidFill>
                </w14:textFill>
              </w:rPr>
              <w:t>规划工业用地属于3类声环境功能区，本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选址为工业用地，本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所在地属于3类声环境功能区。本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不涉及环境空气一类区、声环境0类区、1类区。</w:t>
            </w:r>
          </w:p>
          <w:p w14:paraId="42DED0A1">
            <w:pPr>
              <w:autoSpaceDE w:val="0"/>
              <w:autoSpaceDN w:val="0"/>
              <w:adjustRightInd w:val="0"/>
              <w:snapToGri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kern w:val="0"/>
                <w:sz w:val="24"/>
                <w14:textFill>
                  <w14:solidFill>
                    <w14:schemeClr w14:val="tx1"/>
                  </w14:solidFill>
                </w14:textFill>
              </w:rPr>
              <w:t>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所在地属于乐昌产业转移工业园园区污水处理厂纳污范围，本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废水通过园区污水管道排入园区污水处理厂集中处理，最终汇入武江。根据《广东省地表水功能区划》（粤府函〔2011〕14号）以及《韶关市生态环境保护“十四五”规划》（韶府办</w:t>
            </w:r>
            <w:r>
              <w:rPr>
                <w:rFonts w:hint="default" w:ascii="Times New Roman" w:hAnsi="Times New Roman" w:cs="Times New Roman"/>
                <w:color w:val="auto"/>
                <w:sz w:val="24"/>
                <w:szCs w:val="22"/>
                <w:highlight w:val="none"/>
              </w:rPr>
              <w:t>〔202</w:t>
            </w:r>
            <w:r>
              <w:rPr>
                <w:rFonts w:hint="eastAsia" w:ascii="Times New Roman" w:hAnsi="Times New Roman" w:cs="Times New Roman"/>
                <w:color w:val="auto"/>
                <w:sz w:val="24"/>
                <w:szCs w:val="22"/>
                <w:highlight w:val="none"/>
                <w:lang w:val="en-US" w:eastAsia="zh-CN"/>
              </w:rPr>
              <w:t>2</w:t>
            </w:r>
            <w:r>
              <w:rPr>
                <w:rFonts w:hint="default" w:ascii="Times New Roman" w:hAnsi="Times New Roman" w:cs="Times New Roman"/>
                <w:color w:val="auto"/>
                <w:sz w:val="24"/>
                <w:szCs w:val="22"/>
                <w:highlight w:val="none"/>
              </w:rPr>
              <w:t>〕</w:t>
            </w:r>
            <w:r>
              <w:rPr>
                <w:rFonts w:ascii="Times New Roman" w:hAnsi="Times New Roman" w:eastAsia="宋体" w:cs="Times New Roman"/>
                <w:color w:val="000000" w:themeColor="text1"/>
                <w:kern w:val="0"/>
                <w:sz w:val="24"/>
                <w14:textFill>
                  <w14:solidFill>
                    <w14:schemeClr w14:val="tx1"/>
                  </w14:solidFill>
                </w14:textFill>
              </w:rPr>
              <w:t>1号）</w:t>
            </w:r>
            <w:r>
              <w:rPr>
                <w:rFonts w:hint="eastAsia" w:ascii="Times New Roman" w:hAnsi="Times New Roman" w:eastAsia="宋体" w:cs="Times New Roman"/>
                <w:color w:val="000000" w:themeColor="text1"/>
                <w:kern w:val="0"/>
                <w:sz w:val="24"/>
                <w14:textFill>
                  <w14:solidFill>
                    <w14:schemeClr w14:val="tx1"/>
                  </w14:solidFill>
                </w14:textFill>
              </w:rPr>
              <w:t>，武江属于综合用水功能，水质目标为Ⅲ类水功能区（见附图12）。</w:t>
            </w:r>
          </w:p>
          <w:p w14:paraId="78F689BA">
            <w:pPr>
              <w:autoSpaceDE w:val="0"/>
              <w:autoSpaceDN w:val="0"/>
              <w:adjustRightInd w:val="0"/>
              <w:snapToGri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kern w:val="0"/>
                <w:sz w:val="24"/>
                <w14:textFill>
                  <w14:solidFill>
                    <w14:schemeClr w14:val="tx1"/>
                  </w14:solidFill>
                </w14:textFill>
              </w:rPr>
              <w:t>因此，本</w:t>
            </w:r>
            <w:r>
              <w:rPr>
                <w:rFonts w:hint="eastAsia" w:ascii="Times New Roman" w:hAnsi="Times New Roman" w:eastAsia="宋体" w:cs="Times New Roman"/>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color w:val="000000" w:themeColor="text1"/>
                <w:kern w:val="0"/>
                <w:sz w:val="24"/>
                <w14:textFill>
                  <w14:solidFill>
                    <w14:schemeClr w14:val="tx1"/>
                  </w14:solidFill>
                </w14:textFill>
              </w:rPr>
              <w:t>符合环境功能区划的要求。</w:t>
            </w:r>
          </w:p>
          <w:p w14:paraId="4598C6E7">
            <w:pPr>
              <w:pStyle w:val="39"/>
              <w:widowControl w:val="0"/>
              <w:autoSpaceDE w:val="0"/>
              <w:autoSpaceDN w:val="0"/>
              <w:adjustRightInd w:val="0"/>
              <w:snapToGrid w:val="0"/>
              <w:spacing w:beforeAutospacing="0" w:afterAutospacing="0"/>
              <w:ind w:firstLine="480" w:firstLineChars="200"/>
              <w:jc w:val="both"/>
              <w:rPr>
                <w:rFonts w:hint="default" w:ascii="Times New Roman" w:hAnsi="Times New Roman"/>
                <w:color w:val="000000" w:themeColor="text1"/>
                <w:szCs w:val="24"/>
                <w14:textFill>
                  <w14:solidFill>
                    <w14:schemeClr w14:val="tx1"/>
                  </w14:solidFill>
                </w14:textFill>
              </w:rPr>
            </w:pPr>
            <w:r>
              <w:rPr>
                <w:rFonts w:ascii="Times New Roman" w:hAnsi="Times New Roman"/>
                <w:color w:val="000000" w:themeColor="text1"/>
                <w:szCs w:val="24"/>
                <w14:textFill>
                  <w14:solidFill>
                    <w14:schemeClr w14:val="tx1"/>
                  </w14:solidFill>
                </w14:textFill>
              </w:rPr>
              <w:t>综上，本</w:t>
            </w:r>
            <w:r>
              <w:rPr>
                <w:rFonts w:hint="eastAsia" w:ascii="Times New Roman" w:hAnsi="Times New Roman"/>
                <w:color w:val="000000" w:themeColor="text1"/>
                <w:szCs w:val="24"/>
                <w:lang w:eastAsia="zh-CN"/>
                <w14:textFill>
                  <w14:solidFill>
                    <w14:schemeClr w14:val="tx1"/>
                  </w14:solidFill>
                </w14:textFill>
              </w:rPr>
              <w:t>项目</w:t>
            </w:r>
            <w:r>
              <w:rPr>
                <w:rFonts w:ascii="Times New Roman" w:hAnsi="Times New Roman"/>
                <w:color w:val="000000" w:themeColor="text1"/>
                <w:szCs w:val="24"/>
                <w14:textFill>
                  <w14:solidFill>
                    <w14:schemeClr w14:val="tx1"/>
                  </w14:solidFill>
                </w14:textFill>
              </w:rPr>
              <w:t>的建设具有选址合理性。</w:t>
            </w:r>
          </w:p>
          <w:p w14:paraId="1CE3DBEA">
            <w:pPr>
              <w:pStyle w:val="39"/>
              <w:widowControl w:val="0"/>
              <w:autoSpaceDE w:val="0"/>
              <w:autoSpaceDN w:val="0"/>
              <w:adjustRightInd w:val="0"/>
              <w:snapToGrid w:val="0"/>
              <w:spacing w:beforeAutospacing="0" w:afterAutospacing="0"/>
              <w:ind w:firstLine="480" w:firstLineChars="200"/>
              <w:jc w:val="both"/>
              <w:rPr>
                <w:rFonts w:hint="default" w:ascii="Times New Roman" w:hAnsi="Times New Roman"/>
                <w:color w:val="000000" w:themeColor="text1"/>
                <w:szCs w:val="24"/>
                <w14:textFill>
                  <w14:solidFill>
                    <w14:schemeClr w14:val="tx1"/>
                  </w14:solidFill>
                </w14:textFill>
              </w:rPr>
            </w:pPr>
          </w:p>
          <w:p w14:paraId="0DDCE71E">
            <w:pPr>
              <w:autoSpaceDE w:val="0"/>
              <w:autoSpaceDN w:val="0"/>
              <w:adjustRightInd w:val="0"/>
              <w:snapToGrid w:val="0"/>
              <w:spacing w:line="360" w:lineRule="auto"/>
              <w:rPr>
                <w:rFonts w:ascii="Times New Roman" w:hAnsi="Times New Roman" w:cs="Times New Roman"/>
                <w:b/>
                <w:color w:val="000000" w:themeColor="text1"/>
                <w:kern w:val="0"/>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5、</w:t>
            </w:r>
            <w:r>
              <w:rPr>
                <w:rFonts w:ascii="Times New Roman" w:hAnsi="Times New Roman" w:cs="Times New Roman"/>
                <w:b/>
                <w:color w:val="000000" w:themeColor="text1"/>
                <w:kern w:val="0"/>
                <w:sz w:val="24"/>
                <w14:textFill>
                  <w14:solidFill>
                    <w14:schemeClr w14:val="tx1"/>
                  </w14:solidFill>
                </w14:textFill>
              </w:rPr>
              <w:t>与《低挥发性有机化合物含量涂料产品技术要求》（GB/T38597-2020）的相符性分析</w:t>
            </w:r>
          </w:p>
          <w:p w14:paraId="7931C946">
            <w:pPr>
              <w:pStyle w:val="301"/>
              <w:rPr>
                <w:rFonts w:cs="Times New Roman"/>
                <w:color w:val="000000" w:themeColor="text1"/>
                <w:kern w:val="0"/>
                <w14:textFill>
                  <w14:solidFill>
                    <w14:schemeClr w14:val="tx1"/>
                  </w14:solidFill>
                </w14:textFill>
              </w:rPr>
            </w:pPr>
            <w:r>
              <w:rPr>
                <w:rFonts w:hint="eastAsia" w:cs="Times New Roman"/>
                <w:color w:val="000000" w:themeColor="text1"/>
                <w:kern w:val="0"/>
                <w14:textFill>
                  <w14:solidFill>
                    <w14:schemeClr w14:val="tx1"/>
                  </w14:solidFill>
                </w14:textFill>
              </w:rPr>
              <w:t>本</w:t>
            </w:r>
            <w:r>
              <w:rPr>
                <w:rFonts w:hint="eastAsia" w:cs="Times New Roman"/>
                <w:color w:val="000000" w:themeColor="text1"/>
                <w:kern w:val="0"/>
                <w:lang w:eastAsia="zh-CN"/>
                <w14:textFill>
                  <w14:solidFill>
                    <w14:schemeClr w14:val="tx1"/>
                  </w14:solidFill>
                </w14:textFill>
              </w:rPr>
              <w:t>项目</w:t>
            </w:r>
            <w:r>
              <w:rPr>
                <w:rFonts w:hint="eastAsia" w:cs="Times New Roman"/>
                <w:color w:val="000000" w:themeColor="text1"/>
                <w:kern w:val="0"/>
                <w14:textFill>
                  <w14:solidFill>
                    <w14:schemeClr w14:val="tx1"/>
                  </w14:solidFill>
                </w14:textFill>
              </w:rPr>
              <w:t>喷漆过程中使用油性漆，根据面漆</w:t>
            </w:r>
            <w:r>
              <w:rPr>
                <w:rFonts w:cs="Times New Roman"/>
                <w:color w:val="000000" w:themeColor="text1"/>
                <w:kern w:val="0"/>
                <w14:textFill>
                  <w14:solidFill>
                    <w14:schemeClr w14:val="tx1"/>
                  </w14:solidFill>
                </w14:textFill>
              </w:rPr>
              <w:t>VOCs</w:t>
            </w:r>
            <w:r>
              <w:rPr>
                <w:rFonts w:hint="eastAsia" w:cs="Times New Roman"/>
                <w:color w:val="000000" w:themeColor="text1"/>
                <w:kern w:val="0"/>
                <w14:textFill>
                  <w14:solidFill>
                    <w14:schemeClr w14:val="tx1"/>
                  </w14:solidFill>
                </w14:textFill>
              </w:rPr>
              <w:t>检测报告，施工状态下面漆的挥发性有机物含量为</w:t>
            </w:r>
            <w:r>
              <w:rPr>
                <w:rFonts w:cs="Times New Roman"/>
                <w:color w:val="000000" w:themeColor="text1"/>
                <w:kern w:val="0"/>
                <w14:textFill>
                  <w14:solidFill>
                    <w14:schemeClr w14:val="tx1"/>
                  </w14:solidFill>
                </w14:textFill>
              </w:rPr>
              <w:t>334g/L</w:t>
            </w:r>
            <w:r>
              <w:rPr>
                <w:rFonts w:hint="eastAsia" w:cs="Times New Roman"/>
                <w:color w:val="000000" w:themeColor="text1"/>
                <w:kern w:val="0"/>
                <w14:textFill>
                  <w14:solidFill>
                    <w14:schemeClr w14:val="tx1"/>
                  </w14:solidFill>
                </w14:textFill>
              </w:rPr>
              <w:t>，不超过《低挥发性有机化合物含量涂料产品技术要求》（</w:t>
            </w:r>
            <w:r>
              <w:rPr>
                <w:rFonts w:cs="Times New Roman"/>
                <w:color w:val="000000" w:themeColor="text1"/>
                <w:kern w:val="0"/>
                <w14:textFill>
                  <w14:solidFill>
                    <w14:schemeClr w14:val="tx1"/>
                  </w14:solidFill>
                </w14:textFill>
              </w:rPr>
              <w:t>GB/T38597-2020</w:t>
            </w:r>
            <w:r>
              <w:rPr>
                <w:rFonts w:hint="eastAsia" w:cs="Times New Roman"/>
                <w:color w:val="000000" w:themeColor="text1"/>
                <w:kern w:val="0"/>
                <w14:textFill>
                  <w14:solidFill>
                    <w14:schemeClr w14:val="tx1"/>
                  </w14:solidFill>
                </w14:textFill>
              </w:rPr>
              <w:t>）表</w:t>
            </w:r>
            <w:r>
              <w:rPr>
                <w:rFonts w:cs="Times New Roman"/>
                <w:color w:val="000000" w:themeColor="text1"/>
                <w:kern w:val="0"/>
                <w14:textFill>
                  <w14:solidFill>
                    <w14:schemeClr w14:val="tx1"/>
                  </w14:solidFill>
                </w14:textFill>
              </w:rPr>
              <w:t>2</w:t>
            </w:r>
            <w:r>
              <w:rPr>
                <w:rFonts w:hint="eastAsia" w:cs="Times New Roman"/>
                <w:color w:val="000000" w:themeColor="text1"/>
                <w:kern w:val="0"/>
                <w14:textFill>
                  <w14:solidFill>
                    <w14:schemeClr w14:val="tx1"/>
                  </w14:solidFill>
                </w14:textFill>
              </w:rPr>
              <w:t>溶剂型涂料中—工业防护涂料—双组分面漆</w:t>
            </w:r>
            <w:r>
              <w:rPr>
                <w:rFonts w:cs="Times New Roman"/>
                <w:color w:val="000000" w:themeColor="text1"/>
                <w:kern w:val="0"/>
                <w14:textFill>
                  <w14:solidFill>
                    <w14:schemeClr w14:val="tx1"/>
                  </w14:solidFill>
                </w14:textFill>
              </w:rPr>
              <w:t>VOCs≤420g/L</w:t>
            </w:r>
            <w:r>
              <w:rPr>
                <w:rFonts w:hint="eastAsia" w:cs="Times New Roman"/>
                <w:color w:val="000000" w:themeColor="text1"/>
                <w:kern w:val="0"/>
                <w14:textFill>
                  <w14:solidFill>
                    <w14:schemeClr w14:val="tx1"/>
                  </w14:solidFill>
                </w14:textFill>
              </w:rPr>
              <w:t>。属于低挥发性有机化合物含量涂料产品。</w:t>
            </w:r>
          </w:p>
          <w:p w14:paraId="0E3D37CB">
            <w:pPr>
              <w:pStyle w:val="301"/>
              <w:ind w:firstLine="0" w:firstLineChars="0"/>
              <w:rPr>
                <w:rFonts w:cs="Times New Roman"/>
                <w:b/>
                <w:color w:val="000000" w:themeColor="text1"/>
                <w:kern w:val="0"/>
                <w14:textFill>
                  <w14:solidFill>
                    <w14:schemeClr w14:val="tx1"/>
                  </w14:solidFill>
                </w14:textFill>
              </w:rPr>
            </w:pPr>
            <w:r>
              <w:rPr>
                <w:rFonts w:hint="eastAsia" w:cs="Times New Roman"/>
                <w:b/>
                <w:color w:val="000000" w:themeColor="text1"/>
                <w:kern w:val="0"/>
                <w14:textFill>
                  <w14:solidFill>
                    <w14:schemeClr w14:val="tx1"/>
                  </w14:solidFill>
                </w14:textFill>
              </w:rPr>
              <w:t>6、与《清洗剂挥发性有机化合物含量限值》（</w:t>
            </w:r>
            <w:r>
              <w:rPr>
                <w:rFonts w:cs="Times New Roman"/>
                <w:b/>
                <w:color w:val="000000" w:themeColor="text1"/>
                <w:kern w:val="0"/>
                <w14:textFill>
                  <w14:solidFill>
                    <w14:schemeClr w14:val="tx1"/>
                  </w14:solidFill>
                </w14:textFill>
              </w:rPr>
              <w:t>GB 38508-2020</w:t>
            </w:r>
            <w:r>
              <w:rPr>
                <w:rFonts w:hint="eastAsia" w:cs="Times New Roman"/>
                <w:b/>
                <w:color w:val="000000" w:themeColor="text1"/>
                <w:kern w:val="0"/>
                <w14:textFill>
                  <w14:solidFill>
                    <w14:schemeClr w14:val="tx1"/>
                  </w14:solidFill>
                </w14:textFill>
              </w:rPr>
              <w:t>）的相符性分析</w:t>
            </w:r>
          </w:p>
          <w:p w14:paraId="5D9225E9">
            <w:pPr>
              <w:pStyle w:val="301"/>
              <w:rPr>
                <w:rFonts w:cs="Times New Roman"/>
                <w:color w:val="000000" w:themeColor="text1"/>
                <w:kern w:val="0"/>
                <w14:textFill>
                  <w14:solidFill>
                    <w14:schemeClr w14:val="tx1"/>
                  </w14:solidFill>
                </w14:textFill>
              </w:rPr>
            </w:pPr>
            <w:r>
              <w:rPr>
                <w:rFonts w:hint="eastAsia" w:cs="Times New Roman"/>
                <w:color w:val="000000" w:themeColor="text1"/>
                <w:kern w:val="0"/>
                <w14:textFill>
                  <w14:solidFill>
                    <w14:schemeClr w14:val="tx1"/>
                  </w14:solidFill>
                </w14:textFill>
              </w:rPr>
              <w:t>本</w:t>
            </w:r>
            <w:r>
              <w:rPr>
                <w:rFonts w:hint="eastAsia" w:cs="Times New Roman"/>
                <w:color w:val="000000" w:themeColor="text1"/>
                <w:kern w:val="0"/>
                <w:lang w:eastAsia="zh-CN"/>
                <w14:textFill>
                  <w14:solidFill>
                    <w14:schemeClr w14:val="tx1"/>
                  </w14:solidFill>
                </w14:textFill>
              </w:rPr>
              <w:t>项目</w:t>
            </w:r>
            <w:r>
              <w:rPr>
                <w:rFonts w:hint="eastAsia" w:cs="Times New Roman"/>
                <w:color w:val="000000" w:themeColor="text1"/>
                <w:kern w:val="0"/>
                <w14:textFill>
                  <w14:solidFill>
                    <w14:schemeClr w14:val="tx1"/>
                  </w14:solidFill>
                </w14:textFill>
              </w:rPr>
              <w:t>使用的异丙醇清洗剂为单一成分物质，闪点为1</w:t>
            </w:r>
            <w:r>
              <w:rPr>
                <w:rFonts w:cs="Times New Roman"/>
                <w:color w:val="000000" w:themeColor="text1"/>
                <w:kern w:val="0"/>
                <w14:textFill>
                  <w14:solidFill>
                    <w14:schemeClr w14:val="tx1"/>
                  </w14:solidFill>
                </w14:textFill>
              </w:rPr>
              <w:t>2℃闭杯</w:t>
            </w:r>
            <w:r>
              <w:rPr>
                <w:rFonts w:hint="eastAsia" w:cs="Times New Roman"/>
                <w:color w:val="000000" w:themeColor="text1"/>
                <w:kern w:val="0"/>
                <w14:textFill>
                  <w14:solidFill>
                    <w14:schemeClr w14:val="tx1"/>
                  </w14:solidFill>
                </w14:textFill>
              </w:rPr>
              <w:t>；沸点为8</w:t>
            </w:r>
            <w:r>
              <w:rPr>
                <w:rFonts w:cs="Times New Roman"/>
                <w:color w:val="000000" w:themeColor="text1"/>
                <w:kern w:val="0"/>
                <w14:textFill>
                  <w14:solidFill>
                    <w14:schemeClr w14:val="tx1"/>
                  </w14:solidFill>
                </w14:textFill>
              </w:rPr>
              <w:t>0.3℃</w:t>
            </w:r>
            <w:r>
              <w:rPr>
                <w:rFonts w:hint="eastAsia" w:cs="Times New Roman"/>
                <w:color w:val="000000" w:themeColor="text1"/>
                <w:kern w:val="0"/>
                <w14:textFill>
                  <w14:solidFill>
                    <w14:schemeClr w14:val="tx1"/>
                  </w14:solidFill>
                </w14:textFill>
              </w:rPr>
              <w:t>；相对密度（水</w:t>
            </w:r>
            <w:r>
              <w:rPr>
                <w:rFonts w:cs="Times New Roman"/>
                <w:color w:val="000000" w:themeColor="text1"/>
                <w:kern w:val="0"/>
                <w14:textFill>
                  <w14:solidFill>
                    <w14:schemeClr w14:val="tx1"/>
                  </w14:solidFill>
                </w14:textFill>
              </w:rPr>
              <w:t>=1</w:t>
            </w:r>
            <w:r>
              <w:rPr>
                <w:rFonts w:hint="eastAsia" w:cs="Times New Roman"/>
                <w:color w:val="000000" w:themeColor="text1"/>
                <w:kern w:val="0"/>
                <w14:textFill>
                  <w14:solidFill>
                    <w14:schemeClr w14:val="tx1"/>
                  </w14:solidFill>
                </w14:textFill>
              </w:rPr>
              <w:t>）为</w:t>
            </w:r>
            <w:r>
              <w:rPr>
                <w:rFonts w:cs="Times New Roman"/>
                <w:color w:val="000000" w:themeColor="text1"/>
                <w:kern w:val="0"/>
                <w14:textFill>
                  <w14:solidFill>
                    <w14:schemeClr w14:val="tx1"/>
                  </w14:solidFill>
                </w14:textFill>
              </w:rPr>
              <w:t>0.79</w:t>
            </w:r>
            <w:r>
              <w:rPr>
                <w:rFonts w:hint="eastAsia" w:cs="Times New Roman"/>
                <w:color w:val="000000" w:themeColor="text1"/>
                <w:kern w:val="0"/>
                <w14:textFill>
                  <w14:solidFill>
                    <w14:schemeClr w14:val="tx1"/>
                  </w14:solidFill>
                </w14:textFill>
              </w:rPr>
              <w:t>，按其有机物组分</w:t>
            </w:r>
            <w:r>
              <w:rPr>
                <w:rFonts w:cs="Times New Roman"/>
                <w:color w:val="000000" w:themeColor="text1"/>
                <w:kern w:val="0"/>
                <w14:textFill>
                  <w14:solidFill>
                    <w14:schemeClr w14:val="tx1"/>
                  </w14:solidFill>
                </w14:textFill>
              </w:rPr>
              <w:t>100%</w:t>
            </w:r>
            <w:r>
              <w:rPr>
                <w:rFonts w:hint="eastAsia" w:cs="Times New Roman"/>
                <w:color w:val="000000" w:themeColor="text1"/>
                <w:kern w:val="0"/>
                <w14:textFill>
                  <w14:solidFill>
                    <w14:schemeClr w14:val="tx1"/>
                  </w14:solidFill>
                </w14:textFill>
              </w:rPr>
              <w:t>挥发计算，</w:t>
            </w:r>
            <w:r>
              <w:rPr>
                <w:rFonts w:cs="Times New Roman"/>
                <w:color w:val="000000" w:themeColor="text1"/>
                <w:kern w:val="0"/>
                <w14:textFill>
                  <w14:solidFill>
                    <w14:schemeClr w14:val="tx1"/>
                  </w14:solidFill>
                </w14:textFill>
              </w:rPr>
              <w:t>VOC</w:t>
            </w:r>
            <w:r>
              <w:rPr>
                <w:rFonts w:hint="eastAsia" w:cs="Times New Roman"/>
                <w:color w:val="000000" w:themeColor="text1"/>
                <w:kern w:val="0"/>
                <w14:textFill>
                  <w14:solidFill>
                    <w14:schemeClr w14:val="tx1"/>
                  </w14:solidFill>
                </w14:textFill>
              </w:rPr>
              <w:t>含量为</w:t>
            </w:r>
            <w:r>
              <w:rPr>
                <w:rFonts w:cs="Times New Roman"/>
                <w:color w:val="000000" w:themeColor="text1"/>
                <w:kern w:val="0"/>
                <w14:textFill>
                  <w14:solidFill>
                    <w14:schemeClr w14:val="tx1"/>
                  </w14:solidFill>
                </w14:textFill>
              </w:rPr>
              <w:t>790g/L</w:t>
            </w:r>
            <w:r>
              <w:rPr>
                <w:rFonts w:hint="eastAsia" w:cs="Times New Roman"/>
                <w:color w:val="000000" w:themeColor="text1"/>
                <w:kern w:val="0"/>
                <w14:textFill>
                  <w14:solidFill>
                    <w14:schemeClr w14:val="tx1"/>
                  </w14:solidFill>
                </w14:textFill>
              </w:rPr>
              <w:t>，可以满足《清洗剂挥发性有机化合物含量限值》（</w:t>
            </w:r>
            <w:r>
              <w:rPr>
                <w:rFonts w:cs="Times New Roman"/>
                <w:color w:val="000000" w:themeColor="text1"/>
                <w:kern w:val="0"/>
                <w14:textFill>
                  <w14:solidFill>
                    <w14:schemeClr w14:val="tx1"/>
                  </w14:solidFill>
                </w14:textFill>
              </w:rPr>
              <w:t>GB38508-2020</w:t>
            </w:r>
            <w:r>
              <w:rPr>
                <w:rFonts w:hint="eastAsia" w:cs="Times New Roman"/>
                <w:color w:val="000000" w:themeColor="text1"/>
                <w:kern w:val="0"/>
                <w14:textFill>
                  <w14:solidFill>
                    <w14:schemeClr w14:val="tx1"/>
                  </w14:solidFill>
                </w14:textFill>
              </w:rPr>
              <w:t>）中有机溶剂清洗剂</w:t>
            </w:r>
            <w:r>
              <w:rPr>
                <w:rFonts w:cs="Times New Roman"/>
                <w:color w:val="000000" w:themeColor="text1"/>
                <w:kern w:val="0"/>
                <w14:textFill>
                  <w14:solidFill>
                    <w14:schemeClr w14:val="tx1"/>
                  </w14:solidFill>
                </w14:textFill>
              </w:rPr>
              <w:t>VOC</w:t>
            </w:r>
            <w:r>
              <w:rPr>
                <w:rFonts w:hint="eastAsia" w:cs="Times New Roman"/>
                <w:color w:val="000000" w:themeColor="text1"/>
                <w:kern w:val="0"/>
                <w14:textFill>
                  <w14:solidFill>
                    <w14:schemeClr w14:val="tx1"/>
                  </w14:solidFill>
                </w14:textFill>
              </w:rPr>
              <w:t>含量限值（≤</w:t>
            </w:r>
            <w:r>
              <w:rPr>
                <w:rFonts w:cs="Times New Roman"/>
                <w:color w:val="000000" w:themeColor="text1"/>
                <w:kern w:val="0"/>
                <w14:textFill>
                  <w14:solidFill>
                    <w14:schemeClr w14:val="tx1"/>
                  </w14:solidFill>
                </w14:textFill>
              </w:rPr>
              <w:t xml:space="preserve"> 900g/L</w:t>
            </w:r>
            <w:r>
              <w:rPr>
                <w:rFonts w:hint="eastAsia" w:cs="Times New Roman"/>
                <w:color w:val="000000" w:themeColor="text1"/>
                <w:kern w:val="0"/>
                <w14:textFill>
                  <w14:solidFill>
                    <w14:schemeClr w14:val="tx1"/>
                  </w14:solidFill>
                </w14:textFill>
              </w:rPr>
              <w:t>）的要求。</w:t>
            </w:r>
          </w:p>
          <w:p w14:paraId="2101B20B">
            <w:pPr>
              <w:pStyle w:val="301"/>
              <w:rPr>
                <w:rFonts w:cs="Times New Roman"/>
                <w:color w:val="000000" w:themeColor="text1"/>
                <w:kern w:val="0"/>
                <w14:textFill>
                  <w14:solidFill>
                    <w14:schemeClr w14:val="tx1"/>
                  </w14:solidFill>
                </w14:textFill>
              </w:rPr>
            </w:pPr>
            <w:r>
              <w:rPr>
                <w:rFonts w:cs="Times New Roman"/>
                <w:color w:val="000000" w:themeColor="text1"/>
                <w:kern w:val="0"/>
                <w14:textFill>
                  <w14:solidFill>
                    <w14:schemeClr w14:val="tx1"/>
                  </w14:solidFill>
                </w14:textFill>
              </w:rPr>
              <w:t>本</w:t>
            </w:r>
            <w:r>
              <w:rPr>
                <w:rFonts w:hint="eastAsia" w:cs="Times New Roman"/>
                <w:color w:val="000000" w:themeColor="text1"/>
                <w:kern w:val="0"/>
                <w:lang w:eastAsia="zh-CN"/>
                <w14:textFill>
                  <w14:solidFill>
                    <w14:schemeClr w14:val="tx1"/>
                  </w14:solidFill>
                </w14:textFill>
              </w:rPr>
              <w:t>项目</w:t>
            </w:r>
            <w:r>
              <w:rPr>
                <w:rFonts w:cs="Times New Roman"/>
                <w:color w:val="000000" w:themeColor="text1"/>
                <w:kern w:val="0"/>
                <w14:textFill>
                  <w14:solidFill>
                    <w14:schemeClr w14:val="tx1"/>
                  </w14:solidFill>
                </w14:textFill>
              </w:rPr>
              <w:t>使用的白电油清洗剂为</w:t>
            </w:r>
            <w:r>
              <w:rPr>
                <w:rFonts w:hint="eastAsia" w:cs="Times New Roman"/>
                <w:color w:val="000000" w:themeColor="text1"/>
                <w:kern w:val="0"/>
                <w14:textFill>
                  <w14:solidFill>
                    <w14:schemeClr w14:val="tx1"/>
                  </w14:solidFill>
                </w14:textFill>
              </w:rPr>
              <w:t>单一成分物质，其物质为己烷，相对密度（水</w:t>
            </w:r>
            <w:r>
              <w:rPr>
                <w:rFonts w:cs="Times New Roman"/>
                <w:color w:val="000000" w:themeColor="text1"/>
                <w:kern w:val="0"/>
                <w14:textFill>
                  <w14:solidFill>
                    <w14:schemeClr w14:val="tx1"/>
                  </w14:solidFill>
                </w14:textFill>
              </w:rPr>
              <w:t>=1</w:t>
            </w:r>
            <w:r>
              <w:rPr>
                <w:rFonts w:hint="eastAsia" w:cs="Times New Roman"/>
                <w:color w:val="000000" w:themeColor="text1"/>
                <w:kern w:val="0"/>
                <w14:textFill>
                  <w14:solidFill>
                    <w14:schemeClr w14:val="tx1"/>
                  </w14:solidFill>
                </w14:textFill>
              </w:rPr>
              <w:t>）为0</w:t>
            </w:r>
            <w:r>
              <w:rPr>
                <w:rFonts w:cs="Times New Roman"/>
                <w:color w:val="000000" w:themeColor="text1"/>
                <w:kern w:val="0"/>
                <w14:textFill>
                  <w14:solidFill>
                    <w14:schemeClr w14:val="tx1"/>
                  </w14:solidFill>
                </w14:textFill>
              </w:rPr>
              <w:t>.66</w:t>
            </w:r>
            <w:r>
              <w:rPr>
                <w:rFonts w:hint="eastAsia" w:cs="Times New Roman"/>
                <w:color w:val="000000" w:themeColor="text1"/>
                <w:kern w:val="0"/>
                <w14:textFill>
                  <w14:solidFill>
                    <w14:schemeClr w14:val="tx1"/>
                  </w14:solidFill>
                </w14:textFill>
              </w:rPr>
              <w:t>，按其有机物组分1</w:t>
            </w:r>
            <w:r>
              <w:rPr>
                <w:rFonts w:cs="Times New Roman"/>
                <w:color w:val="000000" w:themeColor="text1"/>
                <w:kern w:val="0"/>
                <w14:textFill>
                  <w14:solidFill>
                    <w14:schemeClr w14:val="tx1"/>
                  </w14:solidFill>
                </w14:textFill>
              </w:rPr>
              <w:t>00%</w:t>
            </w:r>
            <w:r>
              <w:rPr>
                <w:rFonts w:hint="eastAsia" w:cs="Times New Roman"/>
                <w:color w:val="000000" w:themeColor="text1"/>
                <w:kern w:val="0"/>
                <w14:textFill>
                  <w14:solidFill>
                    <w14:schemeClr w14:val="tx1"/>
                  </w14:solidFill>
                </w14:textFill>
              </w:rPr>
              <w:t>挥发计算，V</w:t>
            </w:r>
            <w:r>
              <w:rPr>
                <w:rFonts w:cs="Times New Roman"/>
                <w:color w:val="000000" w:themeColor="text1"/>
                <w:kern w:val="0"/>
                <w14:textFill>
                  <w14:solidFill>
                    <w14:schemeClr w14:val="tx1"/>
                  </w14:solidFill>
                </w14:textFill>
              </w:rPr>
              <w:t>OC</w:t>
            </w:r>
            <w:r>
              <w:rPr>
                <w:rFonts w:hint="eastAsia" w:cs="Times New Roman"/>
                <w:color w:val="000000" w:themeColor="text1"/>
                <w:kern w:val="0"/>
                <w14:textFill>
                  <w14:solidFill>
                    <w14:schemeClr w14:val="tx1"/>
                  </w14:solidFill>
                </w14:textFill>
              </w:rPr>
              <w:t>含量为6</w:t>
            </w:r>
            <w:r>
              <w:rPr>
                <w:rFonts w:cs="Times New Roman"/>
                <w:color w:val="000000" w:themeColor="text1"/>
                <w:kern w:val="0"/>
                <w14:textFill>
                  <w14:solidFill>
                    <w14:schemeClr w14:val="tx1"/>
                  </w14:solidFill>
                </w14:textFill>
              </w:rPr>
              <w:t>60g/L</w:t>
            </w:r>
            <w:r>
              <w:rPr>
                <w:rFonts w:hint="eastAsia" w:cs="Times New Roman"/>
                <w:color w:val="000000" w:themeColor="text1"/>
                <w:kern w:val="0"/>
                <w14:textFill>
                  <w14:solidFill>
                    <w14:schemeClr w14:val="tx1"/>
                  </w14:solidFill>
                </w14:textFill>
              </w:rPr>
              <w:t>，可以满足《清洗剂挥发性有机化合物含量限值》（GB38508-2020）中有机溶剂清洗剂VOC含量限值（≤ 900g/L）的要求。</w:t>
            </w:r>
          </w:p>
          <w:p w14:paraId="0FAB1386">
            <w:pPr>
              <w:pStyle w:val="301"/>
              <w:ind w:firstLine="0" w:firstLineChars="0"/>
              <w:rPr>
                <w:rFonts w:cs="Times New Roman"/>
                <w:b/>
                <w:color w:val="000000" w:themeColor="text1"/>
                <w:kern w:val="0"/>
                <w14:textFill>
                  <w14:solidFill>
                    <w14:schemeClr w14:val="tx1"/>
                  </w14:solidFill>
                </w14:textFill>
              </w:rPr>
            </w:pPr>
            <w:r>
              <w:rPr>
                <w:rFonts w:hint="eastAsia" w:cs="Times New Roman"/>
                <w:b/>
                <w:color w:val="000000" w:themeColor="text1"/>
                <w:kern w:val="0"/>
                <w14:textFill>
                  <w14:solidFill>
                    <w14:schemeClr w14:val="tx1"/>
                  </w14:solidFill>
                </w14:textFill>
              </w:rPr>
              <w:t>7、与《胶粘剂挥发性有机化合物限量》（G</w:t>
            </w:r>
            <w:r>
              <w:rPr>
                <w:rFonts w:cs="Times New Roman"/>
                <w:b/>
                <w:color w:val="000000" w:themeColor="text1"/>
                <w:kern w:val="0"/>
                <w14:textFill>
                  <w14:solidFill>
                    <w14:schemeClr w14:val="tx1"/>
                  </w14:solidFill>
                </w14:textFill>
              </w:rPr>
              <w:t>B33372-2020</w:t>
            </w:r>
            <w:r>
              <w:rPr>
                <w:rFonts w:hint="eastAsia" w:cs="Times New Roman"/>
                <w:b/>
                <w:color w:val="000000" w:themeColor="text1"/>
                <w:kern w:val="0"/>
                <w14:textFill>
                  <w14:solidFill>
                    <w14:schemeClr w14:val="tx1"/>
                  </w14:solidFill>
                </w14:textFill>
              </w:rPr>
              <w:t>）</w:t>
            </w:r>
          </w:p>
          <w:p w14:paraId="6989C3C2">
            <w:pPr>
              <w:autoSpaceDE w:val="0"/>
              <w:autoSpaceDN w:val="0"/>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本</w:t>
            </w:r>
            <w:r>
              <w:rPr>
                <w:rFonts w:hint="eastAsia" w:ascii="Times New Roman" w:hAnsi="Times New Roman"/>
                <w:color w:val="000000" w:themeColor="text1"/>
                <w:sz w:val="24"/>
                <w:lang w:eastAsia="zh-CN"/>
                <w14:textFill>
                  <w14:solidFill>
                    <w14:schemeClr w14:val="tx1"/>
                  </w14:solidFill>
                </w14:textFill>
              </w:rPr>
              <w:t>项目</w:t>
            </w:r>
            <w:r>
              <w:rPr>
                <w:rFonts w:ascii="Times New Roman" w:hAnsi="Times New Roman"/>
                <w:color w:val="000000" w:themeColor="text1"/>
                <w:sz w:val="24"/>
                <w14:textFill>
                  <w14:solidFill>
                    <w14:schemeClr w14:val="tx1"/>
                  </w14:solidFill>
                </w14:textFill>
              </w:rPr>
              <w:t>刷胶工序使用的硅酮胶，根据建设单位提供的挥发性有机物检测报告，硅酮胶挥发性有机物含量为</w:t>
            </w:r>
            <w:r>
              <w:rPr>
                <w:rFonts w:hint="eastAsia" w:ascii="Times New Roman" w:hAnsi="Times New Roman"/>
                <w:color w:val="000000" w:themeColor="text1"/>
                <w:sz w:val="24"/>
                <w14:textFill>
                  <w14:solidFill>
                    <w14:schemeClr w14:val="tx1"/>
                  </w14:solidFill>
                </w14:textFill>
              </w:rPr>
              <w:t>4</w:t>
            </w:r>
            <w:r>
              <w:rPr>
                <w:rFonts w:ascii="Times New Roman" w:hAnsi="Times New Roman"/>
                <w:color w:val="000000" w:themeColor="text1"/>
                <w:sz w:val="24"/>
                <w14:textFill>
                  <w14:solidFill>
                    <w14:schemeClr w14:val="tx1"/>
                  </w14:solidFill>
                </w14:textFill>
              </w:rPr>
              <w:t>2g/kg，</w:t>
            </w:r>
            <w:r>
              <w:rPr>
                <w:rFonts w:hint="eastAsia" w:ascii="Times New Roman" w:hAnsi="Times New Roman"/>
                <w:color w:val="000000" w:themeColor="text1"/>
                <w:sz w:val="24"/>
                <w14:textFill>
                  <w14:solidFill>
                    <w14:schemeClr w14:val="tx1"/>
                  </w14:solidFill>
                </w14:textFill>
              </w:rPr>
              <w:t>符合《胶粘剂挥发性有机化合物限量》（GB 33372-2020）中表3本体型胶粘剂VOCs相应含量限值要求（硅酮胶属于有机硅类，装配行业的限值为100g/kg）。</w:t>
            </w:r>
          </w:p>
          <w:p w14:paraId="4C0AF5CF">
            <w:pPr>
              <w:autoSpaceDE w:val="0"/>
              <w:autoSpaceDN w:val="0"/>
              <w:adjustRightInd w:val="0"/>
              <w:snapToGrid w:val="0"/>
              <w:spacing w:line="360" w:lineRule="auto"/>
              <w:rPr>
                <w:rFonts w:ascii="Times New Roman" w:hAnsi="Times New Roman"/>
                <w:b/>
                <w:color w:val="000000" w:themeColor="text1"/>
                <w:sz w:val="24"/>
                <w14:textFill>
                  <w14:solidFill>
                    <w14:schemeClr w14:val="tx1"/>
                  </w14:solidFill>
                </w14:textFill>
              </w:rPr>
            </w:pPr>
            <w:r>
              <w:rPr>
                <w:rFonts w:hint="eastAsia" w:ascii="Times New Roman" w:hAnsi="Times New Roman"/>
                <w:b/>
                <w:color w:val="000000" w:themeColor="text1"/>
                <w:sz w:val="24"/>
                <w14:textFill>
                  <w14:solidFill>
                    <w14:schemeClr w14:val="tx1"/>
                  </w14:solidFill>
                </w14:textFill>
              </w:rPr>
              <w:t>8、与韶关市人民政府关于印发《韶关市国土空间总体规划</w:t>
            </w:r>
            <w:r>
              <w:rPr>
                <w:rFonts w:hint="eastAsia" w:ascii="Times New Roman" w:hAnsi="Times New Roman"/>
                <w:b/>
                <w:color w:val="000000" w:themeColor="text1"/>
                <w:sz w:val="24"/>
                <w:lang w:eastAsia="zh-CN"/>
                <w14:textFill>
                  <w14:solidFill>
                    <w14:schemeClr w14:val="tx1"/>
                  </w14:solidFill>
                </w14:textFill>
              </w:rPr>
              <w:t>（</w:t>
            </w:r>
            <w:r>
              <w:rPr>
                <w:rFonts w:hint="eastAsia" w:ascii="Times New Roman" w:hAnsi="Times New Roman"/>
                <w:b/>
                <w:color w:val="000000" w:themeColor="text1"/>
                <w:sz w:val="24"/>
                <w14:textFill>
                  <w14:solidFill>
                    <w14:schemeClr w14:val="tx1"/>
                  </w14:solidFill>
                </w14:textFill>
              </w:rPr>
              <w:t>2</w:t>
            </w:r>
            <w:r>
              <w:rPr>
                <w:rFonts w:ascii="Times New Roman" w:hAnsi="Times New Roman"/>
                <w:b/>
                <w:color w:val="000000" w:themeColor="text1"/>
                <w:sz w:val="24"/>
                <w14:textFill>
                  <w14:solidFill>
                    <w14:schemeClr w14:val="tx1"/>
                  </w14:solidFill>
                </w14:textFill>
              </w:rPr>
              <w:t>021-2035年</w:t>
            </w:r>
            <w:r>
              <w:rPr>
                <w:rFonts w:hint="eastAsia" w:ascii="Times New Roman" w:hAnsi="Times New Roman"/>
                <w:b/>
                <w:color w:val="000000" w:themeColor="text1"/>
                <w:sz w:val="24"/>
                <w:lang w:eastAsia="zh-CN"/>
                <w14:textFill>
                  <w14:solidFill>
                    <w14:schemeClr w14:val="tx1"/>
                  </w14:solidFill>
                </w14:textFill>
              </w:rPr>
              <w:t>）</w:t>
            </w:r>
            <w:r>
              <w:rPr>
                <w:rFonts w:hint="eastAsia" w:ascii="Times New Roman" w:hAnsi="Times New Roman"/>
                <w:b/>
                <w:color w:val="000000" w:themeColor="text1"/>
                <w:sz w:val="24"/>
                <w14:textFill>
                  <w14:solidFill>
                    <w14:schemeClr w14:val="tx1"/>
                  </w14:solidFill>
                </w14:textFill>
              </w:rPr>
              <w:t>》的通知</w:t>
            </w:r>
            <w:r>
              <w:rPr>
                <w:rFonts w:hint="eastAsia" w:ascii="Times New Roman" w:hAnsi="Times New Roman"/>
                <w:b/>
                <w:bCs w:val="0"/>
                <w:color w:val="000000" w:themeColor="text1"/>
                <w:sz w:val="24"/>
                <w14:textFill>
                  <w14:solidFill>
                    <w14:schemeClr w14:val="tx1"/>
                  </w14:solidFill>
                </w14:textFill>
              </w:rPr>
              <w:t>（韶府</w:t>
            </w:r>
            <w:r>
              <w:rPr>
                <w:rFonts w:hint="default" w:ascii="Times New Roman" w:hAnsi="Times New Roman" w:cs="Times New Roman"/>
                <w:b/>
                <w:bCs w:val="0"/>
                <w:color w:val="auto"/>
                <w:sz w:val="24"/>
                <w:szCs w:val="22"/>
                <w:highlight w:val="none"/>
              </w:rPr>
              <w:t>〔202</w:t>
            </w:r>
            <w:r>
              <w:rPr>
                <w:rFonts w:hint="eastAsia" w:ascii="Times New Roman" w:hAnsi="Times New Roman" w:cs="Times New Roman"/>
                <w:b/>
                <w:bCs w:val="0"/>
                <w:color w:val="auto"/>
                <w:sz w:val="24"/>
                <w:szCs w:val="22"/>
                <w:highlight w:val="none"/>
                <w:lang w:val="en-US" w:eastAsia="zh-CN"/>
              </w:rPr>
              <w:t>4</w:t>
            </w:r>
            <w:r>
              <w:rPr>
                <w:rFonts w:hint="default" w:ascii="Times New Roman" w:hAnsi="Times New Roman" w:cs="Times New Roman"/>
                <w:b/>
                <w:bCs w:val="0"/>
                <w:color w:val="auto"/>
                <w:sz w:val="24"/>
                <w:szCs w:val="22"/>
                <w:highlight w:val="none"/>
              </w:rPr>
              <w:t>〕</w:t>
            </w:r>
            <w:r>
              <w:rPr>
                <w:rFonts w:hint="eastAsia" w:ascii="Times New Roman" w:hAnsi="Times New Roman"/>
                <w:b/>
                <w:bCs w:val="0"/>
                <w:color w:val="000000" w:themeColor="text1"/>
                <w:sz w:val="24"/>
                <w14:textFill>
                  <w14:solidFill>
                    <w14:schemeClr w14:val="tx1"/>
                  </w14:solidFill>
                </w14:textFill>
              </w:rPr>
              <w:t>1</w:t>
            </w:r>
            <w:r>
              <w:rPr>
                <w:rFonts w:ascii="Times New Roman" w:hAnsi="Times New Roman"/>
                <w:b/>
                <w:bCs w:val="0"/>
                <w:color w:val="000000" w:themeColor="text1"/>
                <w:sz w:val="24"/>
                <w14:textFill>
                  <w14:solidFill>
                    <w14:schemeClr w14:val="tx1"/>
                  </w14:solidFill>
                </w14:textFill>
              </w:rPr>
              <w:t>1号</w:t>
            </w:r>
            <w:r>
              <w:rPr>
                <w:rFonts w:hint="eastAsia" w:ascii="Times New Roman" w:hAnsi="Times New Roman"/>
                <w:b/>
                <w:bCs w:val="0"/>
                <w:color w:val="000000" w:themeColor="text1"/>
                <w:sz w:val="24"/>
                <w14:textFill>
                  <w14:solidFill>
                    <w14:schemeClr w14:val="tx1"/>
                  </w14:solidFill>
                </w14:textFill>
              </w:rPr>
              <w:t>）</w:t>
            </w:r>
            <w:r>
              <w:rPr>
                <w:rFonts w:hint="eastAsia" w:ascii="Times New Roman" w:hAnsi="Times New Roman"/>
                <w:b/>
                <w:color w:val="000000" w:themeColor="text1"/>
                <w:sz w:val="24"/>
                <w14:textFill>
                  <w14:solidFill>
                    <w14:schemeClr w14:val="tx1"/>
                  </w14:solidFill>
                </w14:textFill>
              </w:rPr>
              <w:t>相符性分析</w:t>
            </w:r>
          </w:p>
          <w:p w14:paraId="482D91D7">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优先保护农业和生态用地。优先保护耕地、林地、湿地等重要农业和生态功能用地。重点保障粮食、蔬菜等基本生产，引导农业结构向有利于增加耕地的方向调整，结合现代农业和特色农业发展，积极引导园地向丘陵、台地和荒坡地集中布局。严格保护天然林、国家级公益林，禁止过度人为活动，合理配置林地资源。积极拓展绿色空间和水源涵养空间，禁止侵占河流水系与自然湿地，提高湿地生态修复水平。</w:t>
            </w:r>
          </w:p>
          <w:p w14:paraId="1740B222">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优化建设用地结构。实施城乡建设用地增减挂钩，严格控制新增建设用地，重点保障产业平台、交通能源等重大项目和民生工程，促进建设用地集中高效配置。统筹全域城乡居住生活、基础设施、公共服务、产业发展用地布局，建立低效建设用地退出和腾挪机制，引导建设用地资源集中布局。统筹考虑军事设施发展需求，铁路、公路、机场等区域交通设施、电力油气和网络通信等布局选线应当兼顾军事设施保护需要，书面征求军事设施管理单位的意见。</w:t>
            </w:r>
          </w:p>
          <w:p w14:paraId="66AFC31E">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ascii="宋体" w:hAnsi="宋体" w:eastAsia="宋体" w:cs="宋体"/>
                <w:bCs/>
                <w:color w:val="000000" w:themeColor="text1"/>
                <w:kern w:val="0"/>
                <w:sz w:val="24"/>
                <w14:textFill>
                  <w14:solidFill>
                    <w14:schemeClr w14:val="tx1"/>
                  </w14:solidFill>
                </w14:textFill>
              </w:rPr>
              <w:t>本项目位于</w:t>
            </w:r>
            <w:r>
              <w:rPr>
                <w:rFonts w:hint="eastAsia" w:ascii="宋体" w:hAnsi="宋体" w:eastAsia="宋体" w:cs="宋体"/>
                <w:bCs/>
                <w:color w:val="000000" w:themeColor="text1"/>
                <w:kern w:val="0"/>
                <w:sz w:val="24"/>
                <w14:textFill>
                  <w14:solidFill>
                    <w14:schemeClr w14:val="tx1"/>
                  </w14:solidFill>
                </w14:textFill>
              </w:rPr>
              <w:t>韶关市乐昌市乐昌产业转移工业园环园东</w:t>
            </w:r>
            <w:r>
              <w:rPr>
                <w:rFonts w:ascii="Times New Roman" w:hAnsi="Times New Roman" w:eastAsia="宋体" w:cs="Times New Roman"/>
                <w:bCs/>
                <w:color w:val="000000" w:themeColor="text1"/>
                <w:kern w:val="0"/>
                <w:sz w:val="24"/>
                <w14:textFill>
                  <w14:solidFill>
                    <w14:schemeClr w14:val="tx1"/>
                  </w14:solidFill>
                </w14:textFill>
              </w:rPr>
              <w:t>路19号</w:t>
            </w:r>
            <w:r>
              <w:rPr>
                <w:rFonts w:hint="eastAsia" w:ascii="宋体" w:hAnsi="宋体" w:eastAsia="宋体" w:cs="宋体"/>
                <w:bCs/>
                <w:color w:val="000000" w:themeColor="text1"/>
                <w:kern w:val="0"/>
                <w:sz w:val="24"/>
                <w14:textFill>
                  <w14:solidFill>
                    <w14:schemeClr w14:val="tx1"/>
                  </w14:solidFill>
                </w14:textFill>
              </w:rPr>
              <w:t>，</w:t>
            </w:r>
            <w:r>
              <w:rPr>
                <w:rFonts w:ascii="宋体" w:hAnsi="宋体" w:eastAsia="宋体" w:cs="宋体"/>
                <w:bCs/>
                <w:color w:val="000000" w:themeColor="text1"/>
                <w:kern w:val="0"/>
                <w:sz w:val="24"/>
                <w14:textFill>
                  <w14:solidFill>
                    <w14:schemeClr w14:val="tx1"/>
                  </w14:solidFill>
                </w14:textFill>
              </w:rPr>
              <w:t>不属于耕地、林地、湿地等重要农业和生态功能用地，项目位于乐昌市产业转移工业园，不属于新增建设用地，项目位于核心发展区（详见附图</w:t>
            </w:r>
            <w:r>
              <w:rPr>
                <w:rFonts w:hint="eastAsia" w:ascii="宋体" w:hAnsi="宋体" w:eastAsia="宋体" w:cs="宋体"/>
                <w:bCs/>
                <w:color w:val="000000" w:themeColor="text1"/>
                <w:kern w:val="0"/>
                <w:sz w:val="24"/>
                <w14:textFill>
                  <w14:solidFill>
                    <w14:schemeClr w14:val="tx1"/>
                  </w14:solidFill>
                </w14:textFill>
              </w:rPr>
              <w:t>1</w:t>
            </w:r>
            <w:r>
              <w:rPr>
                <w:rFonts w:ascii="宋体" w:hAnsi="宋体" w:eastAsia="宋体" w:cs="宋体"/>
                <w:bCs/>
                <w:color w:val="000000" w:themeColor="text1"/>
                <w:kern w:val="0"/>
                <w:sz w:val="24"/>
                <w14:textFill>
                  <w14:solidFill>
                    <w14:schemeClr w14:val="tx1"/>
                  </w14:solidFill>
                </w14:textFill>
              </w:rPr>
              <w:t>3），与</w:t>
            </w:r>
            <w:r>
              <w:rPr>
                <w:rFonts w:hint="eastAsia" w:ascii="Times New Roman" w:hAnsi="Times New Roman"/>
                <w:color w:val="000000" w:themeColor="text1"/>
                <w:sz w:val="24"/>
                <w14:textFill>
                  <w14:solidFill>
                    <w14:schemeClr w14:val="tx1"/>
                  </w14:solidFill>
                </w14:textFill>
              </w:rPr>
              <w:t>《韶关市国土空间总体规划（2</w:t>
            </w:r>
            <w:r>
              <w:rPr>
                <w:rFonts w:ascii="Times New Roman" w:hAnsi="Times New Roman"/>
                <w:color w:val="000000" w:themeColor="text1"/>
                <w:sz w:val="24"/>
                <w14:textFill>
                  <w14:solidFill>
                    <w14:schemeClr w14:val="tx1"/>
                  </w14:solidFill>
                </w14:textFill>
              </w:rPr>
              <w:t>021-2035年</w:t>
            </w:r>
            <w:r>
              <w:rPr>
                <w:rFonts w:hint="eastAsia" w:ascii="Times New Roman" w:hAnsi="Times New Roman"/>
                <w:color w:val="000000" w:themeColor="text1"/>
                <w:sz w:val="24"/>
                <w14:textFill>
                  <w14:solidFill>
                    <w14:schemeClr w14:val="tx1"/>
                  </w14:solidFill>
                </w14:textFill>
              </w:rPr>
              <w:t>）》（韶府</w:t>
            </w:r>
            <w:r>
              <w:rPr>
                <w:rFonts w:hint="default" w:ascii="Times New Roman" w:hAnsi="Times New Roman" w:cs="Times New Roman"/>
                <w:color w:val="auto"/>
                <w:sz w:val="24"/>
                <w:szCs w:val="22"/>
                <w:highlight w:val="none"/>
              </w:rPr>
              <w:t>〔202</w:t>
            </w:r>
            <w:r>
              <w:rPr>
                <w:rFonts w:hint="eastAsia" w:ascii="Times New Roman" w:hAnsi="Times New Roman" w:cs="Times New Roman"/>
                <w:color w:val="auto"/>
                <w:sz w:val="24"/>
                <w:szCs w:val="22"/>
                <w:highlight w:val="none"/>
                <w:lang w:val="en-US" w:eastAsia="zh-CN"/>
              </w:rPr>
              <w:t>4</w:t>
            </w:r>
            <w:r>
              <w:rPr>
                <w:rFonts w:hint="default" w:ascii="Times New Roman" w:hAnsi="Times New Roman" w:cs="Times New Roman"/>
                <w:color w:val="auto"/>
                <w:sz w:val="24"/>
                <w:szCs w:val="22"/>
                <w:highlight w:val="none"/>
              </w:rPr>
              <w:t>〕</w:t>
            </w:r>
            <w:r>
              <w:rPr>
                <w:rFonts w:hint="eastAsia" w:ascii="Times New Roman" w:hAnsi="Times New Roman"/>
                <w:color w:val="000000" w:themeColor="text1"/>
                <w:sz w:val="24"/>
                <w14:textFill>
                  <w14:solidFill>
                    <w14:schemeClr w14:val="tx1"/>
                  </w14:solidFill>
                </w14:textFill>
              </w:rPr>
              <w:t>1</w:t>
            </w:r>
            <w:r>
              <w:rPr>
                <w:rFonts w:ascii="Times New Roman" w:hAnsi="Times New Roman"/>
                <w:color w:val="000000" w:themeColor="text1"/>
                <w:sz w:val="24"/>
                <w14:textFill>
                  <w14:solidFill>
                    <w14:schemeClr w14:val="tx1"/>
                  </w14:solidFill>
                </w14:textFill>
              </w:rPr>
              <w:t>1号</w:t>
            </w:r>
            <w:r>
              <w:rPr>
                <w:rFonts w:hint="eastAsia" w:ascii="Times New Roman" w:hAnsi="Times New Roman"/>
                <w:color w:val="000000" w:themeColor="text1"/>
                <w:sz w:val="24"/>
                <w14:textFill>
                  <w14:solidFill>
                    <w14:schemeClr w14:val="tx1"/>
                  </w14:solidFill>
                </w14:textFill>
              </w:rPr>
              <w:t>）相符。</w:t>
            </w:r>
          </w:p>
          <w:p w14:paraId="3549A7A5">
            <w:pPr>
              <w:autoSpaceDE w:val="0"/>
              <w:autoSpaceDN w:val="0"/>
              <w:adjustRightInd w:val="0"/>
              <w:snapToGrid w:val="0"/>
              <w:spacing w:line="360" w:lineRule="auto"/>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9、与乐昌市人民政府关于印发《乐昌市国土空间总体规划（</w:t>
            </w:r>
            <w:r>
              <w:rPr>
                <w:rFonts w:hint="eastAsia" w:ascii="Times New Roman" w:hAnsi="Times New Roman"/>
                <w:b/>
                <w:color w:val="000000" w:themeColor="text1"/>
                <w:sz w:val="24"/>
                <w14:textFill>
                  <w14:solidFill>
                    <w14:schemeClr w14:val="tx1"/>
                  </w14:solidFill>
                </w14:textFill>
              </w:rPr>
              <w:t>2</w:t>
            </w:r>
            <w:r>
              <w:rPr>
                <w:rFonts w:ascii="Times New Roman" w:hAnsi="Times New Roman"/>
                <w:b/>
                <w:color w:val="000000" w:themeColor="text1"/>
                <w:sz w:val="24"/>
                <w14:textFill>
                  <w14:solidFill>
                    <w14:schemeClr w14:val="tx1"/>
                  </w14:solidFill>
                </w14:textFill>
              </w:rPr>
              <w:t>021-2035年）》的通知</w:t>
            </w:r>
            <w:r>
              <w:rPr>
                <w:rFonts w:ascii="Times New Roman" w:hAnsi="Times New Roman"/>
                <w:b/>
                <w:bCs w:val="0"/>
                <w:color w:val="000000" w:themeColor="text1"/>
                <w:sz w:val="24"/>
                <w14:textFill>
                  <w14:solidFill>
                    <w14:schemeClr w14:val="tx1"/>
                  </w14:solidFill>
                </w14:textFill>
              </w:rPr>
              <w:t>（乐府</w:t>
            </w:r>
            <w:r>
              <w:rPr>
                <w:rFonts w:hint="default" w:ascii="Times New Roman" w:hAnsi="Times New Roman" w:cs="Times New Roman"/>
                <w:b/>
                <w:bCs w:val="0"/>
                <w:color w:val="auto"/>
                <w:sz w:val="24"/>
                <w:szCs w:val="22"/>
                <w:highlight w:val="none"/>
              </w:rPr>
              <w:t>〔202</w:t>
            </w:r>
            <w:r>
              <w:rPr>
                <w:rFonts w:hint="eastAsia" w:ascii="Times New Roman" w:hAnsi="Times New Roman" w:cs="Times New Roman"/>
                <w:b/>
                <w:bCs w:val="0"/>
                <w:color w:val="auto"/>
                <w:sz w:val="24"/>
                <w:szCs w:val="22"/>
                <w:highlight w:val="none"/>
                <w:lang w:val="en-US" w:eastAsia="zh-CN"/>
              </w:rPr>
              <w:t>5</w:t>
            </w:r>
            <w:r>
              <w:rPr>
                <w:rFonts w:hint="default" w:ascii="Times New Roman" w:hAnsi="Times New Roman" w:cs="Times New Roman"/>
                <w:b/>
                <w:bCs w:val="0"/>
                <w:color w:val="auto"/>
                <w:sz w:val="24"/>
                <w:szCs w:val="22"/>
                <w:highlight w:val="none"/>
              </w:rPr>
              <w:t>〕</w:t>
            </w:r>
            <w:r>
              <w:rPr>
                <w:rFonts w:ascii="Times New Roman" w:hAnsi="Times New Roman"/>
                <w:b/>
                <w:bCs w:val="0"/>
                <w:color w:val="000000" w:themeColor="text1"/>
                <w:sz w:val="24"/>
                <w14:textFill>
                  <w14:solidFill>
                    <w14:schemeClr w14:val="tx1"/>
                  </w14:solidFill>
                </w14:textFill>
              </w:rPr>
              <w:t>5号）</w:t>
            </w:r>
            <w:r>
              <w:rPr>
                <w:rFonts w:ascii="Times New Roman" w:hAnsi="Times New Roman"/>
                <w:b/>
                <w:color w:val="000000" w:themeColor="text1"/>
                <w:sz w:val="24"/>
                <w14:textFill>
                  <w14:solidFill>
                    <w14:schemeClr w14:val="tx1"/>
                  </w14:solidFill>
                </w14:textFill>
              </w:rPr>
              <w:t>相符性分析</w:t>
            </w:r>
          </w:p>
          <w:p w14:paraId="5CE29117">
            <w:pPr>
              <w:autoSpaceDE w:val="0"/>
              <w:autoSpaceDN w:val="0"/>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优先保护农业和生态用地。优先保护耕地、园地、林地、湿地等重要农业和生态功能用地。结合现代农业和特色农业发展，重点保障粮食、蔬菜等农业生产空间，重点保护廊田镇、北乡镇及长来镇连绵成片的优质耕地，重点保护“五山梯田”等兼具景观特色及粮食产出功能的优质耕地，保护“北乡马蹄”“白石板栗”“张溪香芋”等乐昌特色农作物种植空间。积极引导园地向丘陵、台地和荒坡地集中布局，扩充“九峰黄金奈李”“沿溪山白毛茶”“乐昌白毛茶”等乐昌品牌水果、茶叶的种植空间。合理配置林地资源，严格保护国家级、省级公益林和湿地。</w:t>
            </w:r>
          </w:p>
          <w:p w14:paraId="66B0984C">
            <w:pPr>
              <w:autoSpaceDE w:val="0"/>
              <w:autoSpaceDN w:val="0"/>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优化建设用地结构。实施城乡建设用地增减挂钩，严格控制新增建设用地，重点保障“一园三区”等产业平台，韶关港武江港口乐昌作业区等交通设施，乐昌 500kV 变电站、野猪山抽水蓄能等能源工程优先保护农业和生态用地。优先保护耕地、园地、林地、湿地等重要农业和生态功能用地。结合现代农业和特色农业发展，重点保障粮食、蔬菜等农业生产空间，重点保护廊田镇、北乡镇及长来镇连绵成片的优质耕地，重点保护“五山梯田”等兼具景观特色及粮食产出功能的优质耕地，保护“北乡马蹄”“白石板栗”“张溪香芋”等乐昌特色农作物种植空间。积极引导园地向丘陵、台地和荒坡地集中布局，扩充“九峰黄金奈李”“沿溪山白毛茶”“乐昌白毛茶”等乐昌品牌水果、茶叶的种植空间。合理配置林地资源，严格保护国家级、省级公益林和湿地。</w:t>
            </w:r>
          </w:p>
          <w:p w14:paraId="76BAF0FA">
            <w:pPr>
              <w:autoSpaceDE w:val="0"/>
              <w:autoSpaceDN w:val="0"/>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优化建设用地结构。实施城乡建设用地增减挂钩，严格控制新增建设用地，重点保障“一园三区”等产业平台，韶关港武江港口乐昌作业区等交通设施，乐昌 500kV 变电站、野猪山抽水蓄能等能源工程</w:t>
            </w:r>
          </w:p>
          <w:p w14:paraId="14FC374D">
            <w:pPr>
              <w:autoSpaceDE w:val="0"/>
              <w:autoSpaceDN w:val="0"/>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本项目位于韶关市乐昌市乐昌产业转移工业园环园东路19号，不属于耕地、林地、湿地等重要农业和生态功能用地，项目位于乐昌市产业转移工业园，不属于新增建设用地，项目位于南部核心发展区（详见附图1</w:t>
            </w:r>
            <w:r>
              <w:rPr>
                <w:rFonts w:ascii="Times New Roman" w:hAnsi="Times New Roman"/>
                <w:color w:val="000000" w:themeColor="text1"/>
                <w:sz w:val="24"/>
                <w14:textFill>
                  <w14:solidFill>
                    <w14:schemeClr w14:val="tx1"/>
                  </w14:solidFill>
                </w14:textFill>
              </w:rPr>
              <w:t>4</w:t>
            </w:r>
            <w:r>
              <w:rPr>
                <w:rFonts w:hint="eastAsia" w:ascii="Times New Roman" w:hAnsi="Times New Roman"/>
                <w:color w:val="000000" w:themeColor="text1"/>
                <w:sz w:val="24"/>
                <w14:textFill>
                  <w14:solidFill>
                    <w14:schemeClr w14:val="tx1"/>
                  </w14:solidFill>
                </w14:textFill>
              </w:rPr>
              <w:t>），与乐昌市人民政府关于印发《乐昌市国土空间总体规划（2021-2035年）》的通知（乐府</w:t>
            </w:r>
            <w:r>
              <w:rPr>
                <w:rFonts w:hint="default" w:ascii="Times New Roman" w:hAnsi="Times New Roman" w:cs="Times New Roman"/>
                <w:color w:val="auto"/>
                <w:sz w:val="24"/>
                <w:szCs w:val="22"/>
                <w:highlight w:val="none"/>
              </w:rPr>
              <w:t>〔202</w:t>
            </w:r>
            <w:r>
              <w:rPr>
                <w:rFonts w:hint="eastAsia" w:ascii="Times New Roman" w:hAnsi="Times New Roman" w:cs="Times New Roman"/>
                <w:color w:val="auto"/>
                <w:sz w:val="24"/>
                <w:szCs w:val="22"/>
                <w:highlight w:val="none"/>
                <w:lang w:val="en-US" w:eastAsia="zh-CN"/>
              </w:rPr>
              <w:t>5</w:t>
            </w:r>
            <w:r>
              <w:rPr>
                <w:rFonts w:hint="default" w:ascii="Times New Roman" w:hAnsi="Times New Roman" w:cs="Times New Roman"/>
                <w:color w:val="auto"/>
                <w:sz w:val="24"/>
                <w:szCs w:val="22"/>
                <w:highlight w:val="none"/>
              </w:rPr>
              <w:t>〕</w:t>
            </w:r>
            <w:r>
              <w:rPr>
                <w:rFonts w:hint="eastAsia" w:ascii="Times New Roman" w:hAnsi="Times New Roman"/>
                <w:color w:val="000000" w:themeColor="text1"/>
                <w:sz w:val="24"/>
                <w14:textFill>
                  <w14:solidFill>
                    <w14:schemeClr w14:val="tx1"/>
                  </w14:solidFill>
                </w14:textFill>
              </w:rPr>
              <w:t>5号）相符。</w:t>
            </w:r>
          </w:p>
        </w:tc>
      </w:tr>
    </w:tbl>
    <w:p w14:paraId="637652E8">
      <w:pPr>
        <w:spacing w:line="360" w:lineRule="auto"/>
        <w:rPr>
          <w:rFonts w:ascii="Times New Roman" w:hAnsi="Times New Roman" w:eastAsia="宋体" w:cs="Times New Roman"/>
          <w:sz w:val="24"/>
          <w:szCs w:val="22"/>
          <w:lang w:bidi="ar"/>
        </w:rPr>
        <w:sectPr>
          <w:footerReference r:id="rId4" w:type="default"/>
          <w:pgSz w:w="11906" w:h="16838"/>
          <w:pgMar w:top="1418" w:right="1418" w:bottom="1418" w:left="1418" w:header="851" w:footer="992" w:gutter="0"/>
          <w:pgNumType w:start="1"/>
          <w:cols w:space="425" w:num="1"/>
          <w:docGrid w:type="lines" w:linePitch="326" w:charSpace="0"/>
        </w:sectPr>
      </w:pPr>
    </w:p>
    <w:p w14:paraId="4D578CAF">
      <w:pPr>
        <w:pStyle w:val="39"/>
        <w:tabs>
          <w:tab w:val="left" w:pos="225"/>
          <w:tab w:val="left" w:pos="901"/>
          <w:tab w:val="center" w:pos="4535"/>
          <w:tab w:val="left" w:pos="6743"/>
        </w:tabs>
        <w:spacing w:before="100" w:after="100"/>
        <w:jc w:val="center"/>
        <w:outlineLvl w:val="0"/>
        <w:rPr>
          <w:rFonts w:hint="default" w:ascii="黑体" w:eastAsia="黑体" w:cs="黑体"/>
          <w:snapToGrid w:val="0"/>
          <w:sz w:val="32"/>
          <w:szCs w:val="32"/>
        </w:rPr>
      </w:pPr>
      <w:bookmarkStart w:id="7" w:name="_Toc12745"/>
      <w:bookmarkStart w:id="8" w:name="_Toc29641"/>
      <w:bookmarkStart w:id="9" w:name="_Toc137826735"/>
      <w:r>
        <w:rPr>
          <w:rFonts w:ascii="黑体" w:eastAsia="黑体" w:cs="黑体"/>
          <w:snapToGrid w:val="0"/>
          <w:sz w:val="32"/>
          <w:szCs w:val="32"/>
        </w:rPr>
        <w:t>二、建设项目</w:t>
      </w:r>
      <w:r>
        <w:rPr>
          <w:rFonts w:ascii="Times New Roman" w:hAnsi="Times New Roman" w:eastAsia="黑体"/>
          <w:snapToGrid w:val="0"/>
          <w:sz w:val="32"/>
          <w:szCs w:val="32"/>
        </w:rPr>
        <w:t>工程</w:t>
      </w:r>
      <w:r>
        <w:rPr>
          <w:rFonts w:ascii="黑体" w:eastAsia="黑体" w:cs="黑体"/>
          <w:snapToGrid w:val="0"/>
          <w:sz w:val="32"/>
          <w:szCs w:val="32"/>
        </w:rPr>
        <w:t>分析</w:t>
      </w:r>
      <w:bookmarkEnd w:id="7"/>
    </w:p>
    <w:tbl>
      <w:tblPr>
        <w:tblStyle w:val="4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3"/>
        <w:gridCol w:w="7813"/>
      </w:tblGrid>
      <w:tr w14:paraId="759DA2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843" w:type="dxa"/>
            <w:tcBorders>
              <w:top w:val="single" w:color="auto" w:sz="8" w:space="0"/>
              <w:left w:val="single" w:color="auto" w:sz="8" w:space="0"/>
              <w:bottom w:val="single" w:color="auto" w:sz="8" w:space="0"/>
              <w:right w:val="single" w:color="auto" w:sz="4" w:space="0"/>
            </w:tcBorders>
            <w:vAlign w:val="center"/>
          </w:tcPr>
          <w:p w14:paraId="32BCFFD3">
            <w:pPr>
              <w:pStyle w:val="39"/>
              <w:adjustRightInd w:val="0"/>
              <w:snapToGrid w:val="0"/>
              <w:spacing w:beforeAutospacing="0" w:afterAutospacing="0"/>
              <w:jc w:val="center"/>
              <w:rPr>
                <w:rFonts w:hint="default" w:cs="宋体"/>
                <w:color w:val="000000" w:themeColor="text1"/>
                <w:sz w:val="21"/>
                <w:szCs w:val="21"/>
                <w14:textFill>
                  <w14:solidFill>
                    <w14:schemeClr w14:val="tx1"/>
                  </w14:solidFill>
                </w14:textFill>
              </w:rPr>
            </w:pPr>
            <w:r>
              <w:rPr>
                <w:rFonts w:cs="宋体"/>
                <w:color w:val="000000" w:themeColor="text1"/>
                <w:sz w:val="21"/>
                <w:szCs w:val="21"/>
                <w14:textFill>
                  <w14:solidFill>
                    <w14:schemeClr w14:val="tx1"/>
                  </w14:solidFill>
                </w14:textFill>
              </w:rPr>
              <w:t>建设内容</w:t>
            </w:r>
          </w:p>
        </w:tc>
        <w:tc>
          <w:tcPr>
            <w:tcW w:w="8207" w:type="dxa"/>
            <w:tcBorders>
              <w:top w:val="single" w:color="auto" w:sz="8" w:space="0"/>
              <w:left w:val="single" w:color="auto" w:sz="4" w:space="0"/>
              <w:bottom w:val="single" w:color="auto" w:sz="8" w:space="0"/>
              <w:right w:val="single" w:color="auto" w:sz="8" w:space="0"/>
            </w:tcBorders>
            <w:vAlign w:val="center"/>
          </w:tcPr>
          <w:p w14:paraId="17AF0ADC">
            <w:pPr>
              <w:spacing w:line="360" w:lineRule="auto"/>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工程内容及规模：</w:t>
            </w:r>
          </w:p>
          <w:p w14:paraId="4B15A7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广东启轮金属制品有限公司原项目位于乐昌市乐昌产业转移工业园金岭一路</w:t>
            </w:r>
            <w:r>
              <w:rPr>
                <w:rFonts w:hint="eastAsia" w:ascii="Times New Roman" w:hAnsi="Times New Roman" w:eastAsia="宋体" w:cs="Times New Roman"/>
                <w:bCs/>
                <w:color w:val="000000" w:themeColor="text1"/>
                <w:sz w:val="24"/>
                <w14:textFill>
                  <w14:solidFill>
                    <w14:schemeClr w14:val="tx1"/>
                  </w14:solidFill>
                </w14:textFill>
              </w:rPr>
              <w:t>6号之一，主要从事脚轮制造，其主要工艺为金属制孔→抛丸→刷胶→浇注→烘干→脱模→修边除胶→喷漆→成品，</w:t>
            </w:r>
            <w:r>
              <w:rPr>
                <w:rFonts w:hint="eastAsia" w:ascii="Times New Roman" w:hAnsi="Times New Roman" w:eastAsia="宋体" w:cs="Times New Roman"/>
                <w:bCs/>
                <w:color w:val="000000" w:themeColor="text1"/>
                <w:sz w:val="24"/>
                <w:lang w:val="en-US" w:eastAsia="zh-CN"/>
                <w14:textFill>
                  <w14:solidFill>
                    <w14:schemeClr w14:val="tx1"/>
                  </w14:solidFill>
                </w14:textFill>
              </w:rPr>
              <w:t>2021年11月9日，</w:t>
            </w:r>
            <w:r>
              <w:rPr>
                <w:rFonts w:hint="eastAsia" w:ascii="Times New Roman" w:hAnsi="Times New Roman" w:eastAsia="宋体" w:cs="Times New Roman"/>
                <w:bCs/>
                <w:color w:val="000000" w:themeColor="text1"/>
                <w:sz w:val="24"/>
                <w14:textFill>
                  <w14:solidFill>
                    <w14:schemeClr w14:val="tx1"/>
                  </w14:solidFill>
                </w14:textFill>
              </w:rPr>
              <w:t>取得乐昌市生态环境局关于《乐昌市广东启轮金属制品有限公司年产脚轮1</w:t>
            </w:r>
            <w:r>
              <w:rPr>
                <w:rFonts w:ascii="Times New Roman" w:hAnsi="Times New Roman" w:eastAsia="宋体" w:cs="Times New Roman"/>
                <w:bCs/>
                <w:color w:val="000000" w:themeColor="text1"/>
                <w:sz w:val="24"/>
                <w14:textFill>
                  <w14:solidFill>
                    <w14:schemeClr w14:val="tx1"/>
                  </w14:solidFill>
                </w14:textFill>
              </w:rPr>
              <w:t>00万个新建项目</w:t>
            </w:r>
            <w:r>
              <w:rPr>
                <w:rFonts w:hint="eastAsia" w:ascii="Times New Roman" w:hAnsi="Times New Roman" w:eastAsia="宋体" w:cs="Times New Roman"/>
                <w:bCs/>
                <w:color w:val="000000" w:themeColor="text1"/>
                <w:sz w:val="24"/>
                <w14:textFill>
                  <w14:solidFill>
                    <w14:schemeClr w14:val="tx1"/>
                  </w14:solidFill>
                </w14:textFill>
              </w:rPr>
              <w:t>》（韶环乐审</w:t>
            </w:r>
            <w:r>
              <w:rPr>
                <w:rFonts w:hint="default" w:ascii="Times New Roman" w:hAnsi="Times New Roman" w:cs="Times New Roman"/>
                <w:color w:val="auto"/>
                <w:sz w:val="24"/>
                <w:szCs w:val="22"/>
                <w:highlight w:val="none"/>
              </w:rPr>
              <w:t>〔202</w:t>
            </w:r>
            <w:r>
              <w:rPr>
                <w:rFonts w:hint="eastAsia" w:ascii="Times New Roman" w:hAnsi="Times New Roman" w:cs="Times New Roman"/>
                <w:color w:val="auto"/>
                <w:sz w:val="24"/>
                <w:szCs w:val="22"/>
                <w:highlight w:val="none"/>
                <w:lang w:val="en-US" w:eastAsia="zh-CN"/>
              </w:rPr>
              <w:t>1</w:t>
            </w:r>
            <w:r>
              <w:rPr>
                <w:rFonts w:hint="default" w:ascii="Times New Roman" w:hAnsi="Times New Roman" w:cs="Times New Roman"/>
                <w:color w:val="auto"/>
                <w:sz w:val="24"/>
                <w:szCs w:val="22"/>
                <w:highlight w:val="none"/>
              </w:rPr>
              <w:t>〕</w:t>
            </w:r>
            <w:r>
              <w:rPr>
                <w:rFonts w:hint="eastAsia" w:ascii="Times New Roman" w:hAnsi="Times New Roman" w:eastAsia="宋体" w:cs="Times New Roman"/>
                <w:bCs/>
                <w:color w:val="000000" w:themeColor="text1"/>
                <w:sz w:val="24"/>
                <w14:textFill>
                  <w14:solidFill>
                    <w14:schemeClr w14:val="tx1"/>
                  </w14:solidFill>
                </w14:textFill>
              </w:rPr>
              <w:t>22号）的批复</w:t>
            </w:r>
            <w:r>
              <w:rPr>
                <w:rFonts w:hint="eastAsia" w:ascii="Times New Roman" w:hAnsi="Times New Roman" w:eastAsia="宋体" w:cs="Times New Roman"/>
                <w:bCs/>
                <w:color w:val="000000" w:themeColor="text1"/>
                <w:sz w:val="24"/>
                <w:lang w:eastAsia="zh-CN"/>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因公司发展需求，公司需升级改造，</w:t>
            </w:r>
            <w:r>
              <w:rPr>
                <w:rFonts w:ascii="Times New Roman" w:hAnsi="Times New Roman" w:eastAsia="宋体" w:cs="Times New Roman"/>
                <w:bCs/>
                <w:color w:val="000000" w:themeColor="text1"/>
                <w:sz w:val="24"/>
                <w14:textFill>
                  <w14:solidFill>
                    <w14:schemeClr w14:val="tx1"/>
                  </w14:solidFill>
                </w14:textFill>
              </w:rPr>
              <w:t>公司于</w:t>
            </w:r>
            <w:r>
              <w:rPr>
                <w:rFonts w:hint="eastAsia" w:ascii="Times New Roman" w:hAnsi="Times New Roman" w:eastAsia="宋体" w:cs="Times New Roman"/>
                <w:bCs/>
                <w:color w:val="000000" w:themeColor="text1"/>
                <w:sz w:val="24"/>
                <w14:textFill>
                  <w14:solidFill>
                    <w14:schemeClr w14:val="tx1"/>
                  </w14:solidFill>
                </w14:textFill>
              </w:rPr>
              <w:t>2</w:t>
            </w:r>
            <w:r>
              <w:rPr>
                <w:rFonts w:ascii="Times New Roman" w:hAnsi="Times New Roman" w:eastAsia="宋体" w:cs="Times New Roman"/>
                <w:bCs/>
                <w:color w:val="000000" w:themeColor="text1"/>
                <w:sz w:val="24"/>
                <w14:textFill>
                  <w14:solidFill>
                    <w14:schemeClr w14:val="tx1"/>
                  </w14:solidFill>
                </w14:textFill>
              </w:rPr>
              <w:t>025年</w:t>
            </w:r>
            <w:r>
              <w:rPr>
                <w:rFonts w:hint="eastAsia" w:ascii="Times New Roman" w:hAnsi="Times New Roman" w:eastAsia="宋体" w:cs="Times New Roman"/>
                <w:bCs/>
                <w:color w:val="000000" w:themeColor="text1"/>
                <w:sz w:val="24"/>
                <w:lang w:val="en-US" w:eastAsia="zh-CN"/>
                <w14:textFill>
                  <w14:solidFill>
                    <w14:schemeClr w14:val="tx1"/>
                  </w14:solidFill>
                </w14:textFill>
              </w:rPr>
              <w:t>在</w:t>
            </w:r>
            <w:r>
              <w:rPr>
                <w:rFonts w:hint="eastAsia" w:ascii="Times New Roman" w:hAnsi="Times New Roman" w:eastAsia="宋体" w:cs="Times New Roman"/>
                <w:bCs/>
                <w:color w:val="000000" w:themeColor="text1"/>
                <w:sz w:val="24"/>
                <w14:textFill>
                  <w14:solidFill>
                    <w14:schemeClr w14:val="tx1"/>
                  </w14:solidFill>
                </w14:textFill>
              </w:rPr>
              <w:t>韶关市乐昌市乐昌产业转移工业园环园东路19号</w:t>
            </w:r>
            <w:r>
              <w:rPr>
                <w:rFonts w:hint="eastAsia" w:ascii="Times New Roman" w:hAnsi="Times New Roman" w:eastAsia="宋体" w:cs="Times New Roman"/>
                <w:bCs/>
                <w:color w:val="000000" w:themeColor="text1"/>
                <w:sz w:val="24"/>
                <w:lang w:val="en-US" w:eastAsia="zh-CN"/>
                <w14:textFill>
                  <w14:solidFill>
                    <w14:schemeClr w14:val="tx1"/>
                  </w14:solidFill>
                </w14:textFill>
              </w:rPr>
              <w:t>新建“广东启轮金属制品有限公司年产100万个脚轮技术改造项目”并</w:t>
            </w:r>
            <w:r>
              <w:rPr>
                <w:rFonts w:hint="eastAsia" w:ascii="Times New Roman" w:hAnsi="Times New Roman" w:eastAsia="宋体" w:cs="Times New Roman"/>
                <w:bCs/>
                <w:color w:val="000000" w:themeColor="text1"/>
                <w:sz w:val="24"/>
                <w14:textFill>
                  <w14:solidFill>
                    <w14:schemeClr w14:val="tx1"/>
                  </w14:solidFill>
                </w14:textFill>
              </w:rPr>
              <w:t>委托广州德源环保科技有限公司编制了《</w:t>
            </w:r>
            <w:r>
              <w:rPr>
                <w:rFonts w:ascii="Times New Roman" w:hAnsi="Times New Roman" w:eastAsia="宋体" w:cs="Times New Roman"/>
                <w:bCs/>
                <w:color w:val="000000" w:themeColor="text1"/>
                <w:sz w:val="24"/>
                <w14:textFill>
                  <w14:solidFill>
                    <w14:schemeClr w14:val="tx1"/>
                  </w14:solidFill>
                </w14:textFill>
              </w:rPr>
              <w:t>广东启轮金属制品有限公司年产</w:t>
            </w:r>
            <w:r>
              <w:rPr>
                <w:rFonts w:hint="eastAsia" w:ascii="Times New Roman" w:hAnsi="Times New Roman" w:eastAsia="宋体" w:cs="Times New Roman"/>
                <w:bCs/>
                <w:color w:val="000000" w:themeColor="text1"/>
                <w:sz w:val="24"/>
                <w14:textFill>
                  <w14:solidFill>
                    <w14:schemeClr w14:val="tx1"/>
                  </w14:solidFill>
                </w14:textFill>
              </w:rPr>
              <w:t>1</w:t>
            </w:r>
            <w:r>
              <w:rPr>
                <w:rFonts w:ascii="Times New Roman" w:hAnsi="Times New Roman" w:eastAsia="宋体" w:cs="Times New Roman"/>
                <w:bCs/>
                <w:color w:val="000000" w:themeColor="text1"/>
                <w:sz w:val="24"/>
                <w14:textFill>
                  <w14:solidFill>
                    <w14:schemeClr w14:val="tx1"/>
                  </w14:solidFill>
                </w14:textFill>
              </w:rPr>
              <w:t>00万个脚轮技术改造项目</w:t>
            </w:r>
            <w:r>
              <w:rPr>
                <w:rFonts w:hint="eastAsia" w:ascii="Times New Roman" w:hAnsi="Times New Roman" w:eastAsia="宋体" w:cs="Times New Roman"/>
                <w:bCs/>
                <w:color w:val="000000" w:themeColor="text1"/>
                <w:sz w:val="24"/>
                <w14:textFill>
                  <w14:solidFill>
                    <w14:schemeClr w14:val="tx1"/>
                  </w14:solidFill>
                </w14:textFill>
              </w:rPr>
              <w:t>环境影响报告表》（以下简称“原项目”），于2025年4月2日取得韶关市生态环境局核发的</w:t>
            </w:r>
            <w:r>
              <w:rPr>
                <w:rFonts w:ascii="Times New Roman" w:hAnsi="Times New Roman" w:eastAsia="宋体" w:cs="Times New Roman"/>
                <w:bCs/>
                <w:color w:val="000000" w:themeColor="text1"/>
                <w:sz w:val="24"/>
                <w14:textFill>
                  <w14:solidFill>
                    <w14:schemeClr w14:val="tx1"/>
                  </w14:solidFill>
                </w14:textFill>
              </w:rPr>
              <w:t>《广东启轮金属制品有限公司年产</w:t>
            </w:r>
            <w:r>
              <w:rPr>
                <w:rFonts w:hint="eastAsia" w:ascii="Times New Roman" w:hAnsi="Times New Roman" w:eastAsia="宋体" w:cs="Times New Roman"/>
                <w:bCs/>
                <w:color w:val="000000" w:themeColor="text1"/>
                <w:sz w:val="24"/>
                <w14:textFill>
                  <w14:solidFill>
                    <w14:schemeClr w14:val="tx1"/>
                  </w14:solidFill>
                </w14:textFill>
              </w:rPr>
              <w:t>1</w:t>
            </w:r>
            <w:r>
              <w:rPr>
                <w:rFonts w:ascii="Times New Roman" w:hAnsi="Times New Roman" w:eastAsia="宋体" w:cs="Times New Roman"/>
                <w:bCs/>
                <w:color w:val="000000" w:themeColor="text1"/>
                <w:sz w:val="24"/>
                <w14:textFill>
                  <w14:solidFill>
                    <w14:schemeClr w14:val="tx1"/>
                  </w14:solidFill>
                </w14:textFill>
              </w:rPr>
              <w:t>00万个脚轮技术改造项目》</w:t>
            </w:r>
            <w:r>
              <w:rPr>
                <w:rFonts w:hint="eastAsia" w:ascii="Times New Roman" w:hAnsi="Times New Roman" w:eastAsia="宋体" w:cs="Times New Roman"/>
                <w:bCs/>
                <w:color w:val="000000" w:themeColor="text1"/>
                <w:sz w:val="24"/>
                <w14:textFill>
                  <w14:solidFill>
                    <w14:schemeClr w14:val="tx1"/>
                  </w14:solidFill>
                </w14:textFill>
              </w:rPr>
              <w:t>（韶环</w:t>
            </w:r>
            <w:r>
              <w:rPr>
                <w:rFonts w:ascii="Times New Roman" w:hAnsi="Times New Roman" w:eastAsia="宋体" w:cs="Times New Roman"/>
                <w:bCs/>
                <w:color w:val="000000" w:themeColor="text1"/>
                <w:sz w:val="24"/>
                <w14:textFill>
                  <w14:solidFill>
                    <w14:schemeClr w14:val="tx1"/>
                  </w14:solidFill>
                </w14:textFill>
              </w:rPr>
              <w:t>乐审</w:t>
            </w:r>
            <w:r>
              <w:rPr>
                <w:rFonts w:hint="default" w:ascii="Times New Roman" w:hAnsi="Times New Roman" w:cs="Times New Roman"/>
                <w:color w:val="auto"/>
                <w:sz w:val="24"/>
                <w:szCs w:val="22"/>
                <w:highlight w:val="none"/>
              </w:rPr>
              <w:t>〔202</w:t>
            </w:r>
            <w:r>
              <w:rPr>
                <w:rFonts w:hint="eastAsia" w:ascii="Times New Roman" w:hAnsi="Times New Roman" w:cs="Times New Roman"/>
                <w:color w:val="auto"/>
                <w:sz w:val="24"/>
                <w:szCs w:val="22"/>
                <w:highlight w:val="none"/>
                <w:lang w:val="en-US" w:eastAsia="zh-CN"/>
              </w:rPr>
              <w:t>5</w:t>
            </w:r>
            <w:r>
              <w:rPr>
                <w:rFonts w:hint="default" w:ascii="Times New Roman" w:hAnsi="Times New Roman" w:cs="Times New Roman"/>
                <w:color w:val="auto"/>
                <w:sz w:val="24"/>
                <w:szCs w:val="22"/>
                <w:highlight w:val="none"/>
              </w:rPr>
              <w:t>〕</w:t>
            </w:r>
            <w:r>
              <w:rPr>
                <w:rFonts w:hint="eastAsia" w:ascii="Times New Roman" w:hAnsi="Times New Roman" w:eastAsia="宋体" w:cs="Times New Roman"/>
                <w:bCs/>
                <w:color w:val="000000" w:themeColor="text1"/>
                <w:sz w:val="24"/>
                <w14:textFill>
                  <w14:solidFill>
                    <w14:schemeClr w14:val="tx1"/>
                  </w14:solidFill>
                </w14:textFill>
              </w:rPr>
              <w:t>09号，详见附件5）。</w:t>
            </w:r>
            <w:r>
              <w:rPr>
                <w:rFonts w:hint="eastAsia" w:ascii="Times New Roman" w:hAnsi="Times New Roman" w:eastAsia="宋体" w:cs="Times New Roman"/>
                <w:bCs/>
                <w:color w:val="000000" w:themeColor="text1"/>
                <w:sz w:val="24"/>
                <w:lang w:val="en-US" w:eastAsia="zh-CN"/>
                <w14:textFill>
                  <w14:solidFill>
                    <w14:schemeClr w14:val="tx1"/>
                  </w14:solidFill>
                </w14:textFill>
              </w:rPr>
              <w:t>其主要工艺为熔炼→浇注→冷却→落砂→打磨→抛丸，</w:t>
            </w:r>
            <w:r>
              <w:rPr>
                <w:rFonts w:hint="eastAsia" w:ascii="Times New Roman" w:hAnsi="Times New Roman" w:eastAsia="宋体" w:cs="Times New Roman"/>
                <w:bCs/>
                <w:color w:val="000000" w:themeColor="text1"/>
                <w:sz w:val="24"/>
                <w14:textFill>
                  <w14:solidFill>
                    <w14:schemeClr w14:val="tx1"/>
                  </w14:solidFill>
                </w14:textFill>
              </w:rPr>
              <w:t>项目总投资1500</w:t>
            </w:r>
            <w:r>
              <w:rPr>
                <w:rFonts w:hint="eastAsia" w:ascii="Times New Roman" w:hAnsi="Times New Roman" w:eastAsia="宋体" w:cs="Times New Roman"/>
                <w:bCs/>
                <w:color w:val="000000" w:themeColor="text1"/>
                <w:sz w:val="24"/>
                <w:lang w:eastAsia="zh-CN"/>
                <w14:textFill>
                  <w14:solidFill>
                    <w14:schemeClr w14:val="tx1"/>
                  </w14:solidFill>
                </w14:textFill>
              </w:rPr>
              <w:t>万元</w:t>
            </w:r>
            <w:r>
              <w:rPr>
                <w:rFonts w:hint="eastAsia" w:ascii="Times New Roman" w:hAnsi="Times New Roman" w:eastAsia="宋体" w:cs="Times New Roman"/>
                <w:bCs/>
                <w:color w:val="000000" w:themeColor="text1"/>
                <w:sz w:val="24"/>
                <w14:textFill>
                  <w14:solidFill>
                    <w14:schemeClr w14:val="tx1"/>
                  </w14:solidFill>
                </w14:textFill>
              </w:rPr>
              <w:t>，其中环保投资30</w:t>
            </w:r>
            <w:r>
              <w:rPr>
                <w:rFonts w:hint="eastAsia" w:ascii="Times New Roman" w:hAnsi="Times New Roman" w:eastAsia="宋体" w:cs="Times New Roman"/>
                <w:bCs/>
                <w:color w:val="000000" w:themeColor="text1"/>
                <w:sz w:val="24"/>
                <w:lang w:eastAsia="zh-CN"/>
                <w14:textFill>
                  <w14:solidFill>
                    <w14:schemeClr w14:val="tx1"/>
                  </w14:solidFill>
                </w14:textFill>
              </w:rPr>
              <w:t>万元</w:t>
            </w:r>
            <w:r>
              <w:rPr>
                <w:rFonts w:hint="eastAsia" w:ascii="Times New Roman" w:hAnsi="Times New Roman" w:eastAsia="宋体" w:cs="Times New Roman"/>
                <w:bCs/>
                <w:color w:val="000000" w:themeColor="text1"/>
                <w:sz w:val="24"/>
                <w14:textFill>
                  <w14:solidFill>
                    <w14:schemeClr w14:val="tx1"/>
                  </w14:solidFill>
                </w14:textFill>
              </w:rPr>
              <w:t>，项目占地面积10679.3m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，建筑面积6714.46m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,其中厂房5243.22m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，办公楼1471.24m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，年生产金属脚轮1</w:t>
            </w:r>
            <w:r>
              <w:rPr>
                <w:rFonts w:ascii="Times New Roman" w:hAnsi="Times New Roman" w:eastAsia="宋体" w:cs="Times New Roman"/>
                <w:bCs/>
                <w:color w:val="000000" w:themeColor="text1"/>
                <w:sz w:val="24"/>
                <w14:textFill>
                  <w14:solidFill>
                    <w14:schemeClr w14:val="tx1"/>
                  </w14:solidFill>
                </w14:textFill>
              </w:rPr>
              <w:t>00万个。</w:t>
            </w:r>
            <w:r>
              <w:rPr>
                <w:rFonts w:hint="eastAsia" w:ascii="Times New Roman" w:hAnsi="Times New Roman" w:eastAsia="宋体" w:cs="Times New Roman"/>
                <w:bCs/>
                <w:color w:val="000000" w:themeColor="text1"/>
                <w:sz w:val="24"/>
                <w:lang w:val="en-US" w:eastAsia="zh-CN"/>
                <w14:textFill>
                  <w14:solidFill>
                    <w14:schemeClr w14:val="tx1"/>
                  </w14:solidFill>
                </w14:textFill>
              </w:rPr>
              <w:t>原项目已取得排污许可证，正在调试。</w:t>
            </w:r>
          </w:p>
          <w:p w14:paraId="16A591AF">
            <w:pPr>
              <w:spacing w:line="360" w:lineRule="auto"/>
              <w:ind w:firstLine="480" w:firstLineChars="200"/>
              <w:rPr>
                <w:rFonts w:hint="eastAsia"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lang w:val="en-US" w:eastAsia="zh-CN"/>
                <w14:textFill>
                  <w14:solidFill>
                    <w14:schemeClr w14:val="tx1"/>
                  </w14:solidFill>
                </w14:textFill>
              </w:rPr>
              <w:t>现</w:t>
            </w:r>
            <w:r>
              <w:rPr>
                <w:rFonts w:hint="eastAsia" w:ascii="Times New Roman" w:hAnsi="Times New Roman" w:eastAsia="宋体" w:cs="Times New Roman"/>
                <w:bCs/>
                <w:color w:val="000000" w:themeColor="text1"/>
                <w:sz w:val="24"/>
                <w14:textFill>
                  <w14:solidFill>
                    <w14:schemeClr w14:val="tx1"/>
                  </w14:solidFill>
                </w14:textFill>
              </w:rPr>
              <w:t>建设单位拟将</w:t>
            </w:r>
            <w:r>
              <w:rPr>
                <w:rFonts w:hint="eastAsia" w:ascii="Times New Roman" w:hAnsi="Times New Roman" w:eastAsia="宋体" w:cs="Times New Roman"/>
                <w:bCs/>
                <w:color w:val="000000" w:themeColor="text1"/>
                <w:sz w:val="24"/>
                <w:lang w:eastAsia="zh-CN"/>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乐昌市广东启轮金属制品有限公司年产脚轮1</w:t>
            </w:r>
            <w:r>
              <w:rPr>
                <w:rFonts w:ascii="Times New Roman" w:hAnsi="Times New Roman" w:eastAsia="宋体" w:cs="Times New Roman"/>
                <w:bCs/>
                <w:color w:val="000000" w:themeColor="text1"/>
                <w:sz w:val="24"/>
                <w14:textFill>
                  <w14:solidFill>
                    <w14:schemeClr w14:val="tx1"/>
                  </w14:solidFill>
                </w14:textFill>
              </w:rPr>
              <w:t>00万个新建项目</w:t>
            </w:r>
            <w:r>
              <w:rPr>
                <w:rFonts w:hint="eastAsia" w:ascii="Times New Roman" w:hAnsi="Times New Roman" w:eastAsia="宋体" w:cs="Times New Roman"/>
                <w:bCs/>
                <w:color w:val="000000" w:themeColor="text1"/>
                <w:sz w:val="24"/>
                <w:lang w:eastAsia="zh-CN"/>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建设地点变更至</w:t>
            </w:r>
            <w:r>
              <w:rPr>
                <w:rFonts w:hint="eastAsia" w:ascii="Times New Roman" w:hAnsi="Times New Roman" w:eastAsia="宋体" w:cs="Times New Roman"/>
                <w:bCs/>
                <w:color w:val="000000" w:themeColor="text1"/>
                <w:sz w:val="24"/>
                <w14:textFill>
                  <w14:solidFill>
                    <w14:schemeClr w14:val="tx1"/>
                  </w14:solidFill>
                </w14:textFill>
              </w:rPr>
              <w:t>韶关市乐昌市乐昌产业转移工业园环园东路19号，项目正办理环评手续，原项目厂房已全部搬空，停产，所产生的污染物随之消失。</w:t>
            </w:r>
            <w:r>
              <w:rPr>
                <w:rFonts w:hint="eastAsia" w:ascii="Times New Roman" w:hAnsi="Times New Roman" w:eastAsia="宋体" w:cs="Times New Roman"/>
                <w:bCs/>
                <w:color w:val="000000" w:themeColor="text1"/>
                <w:sz w:val="24"/>
                <w:lang w:val="en-US" w:eastAsia="zh-CN"/>
                <w14:textFill>
                  <w14:solidFill>
                    <w14:schemeClr w14:val="tx1"/>
                  </w14:solidFill>
                </w14:textFill>
              </w:rPr>
              <w:t>因项目选址发生变化，</w:t>
            </w:r>
            <w:r>
              <w:rPr>
                <w:rFonts w:hint="eastAsia" w:ascii="Times New Roman" w:hAnsi="Times New Roman" w:eastAsia="宋体" w:cs="Times New Roman"/>
                <w:bCs/>
                <w:color w:val="000000" w:themeColor="text1"/>
                <w:sz w:val="24"/>
                <w14:textFill>
                  <w14:solidFill>
                    <w14:schemeClr w14:val="tx1"/>
                  </w14:solidFill>
                </w14:textFill>
              </w:rPr>
              <w:t>根据</w:t>
            </w:r>
            <w:r>
              <w:rPr>
                <w:rFonts w:ascii="Times New Roman" w:hAnsi="Times New Roman" w:eastAsia="宋体" w:cs="Times New Roman"/>
                <w:bCs/>
                <w:color w:val="000000" w:themeColor="text1"/>
                <w:sz w:val="24"/>
                <w14:textFill>
                  <w14:solidFill>
                    <w14:schemeClr w14:val="tx1"/>
                  </w14:solidFill>
                </w14:textFill>
              </w:rPr>
              <w:t>《关于印发《污染影响类建设项目重大变动清单（试行）》的通知》（环办环评函〔2020〕688号）</w:t>
            </w:r>
            <w:r>
              <w:rPr>
                <w:rFonts w:hint="eastAsia" w:ascii="Times New Roman" w:hAnsi="Times New Roman" w:eastAsia="宋体" w:cs="Times New Roman"/>
                <w:bCs/>
                <w:color w:val="000000" w:themeColor="text1"/>
                <w:sz w:val="24"/>
                <w14:textFill>
                  <w14:solidFill>
                    <w14:schemeClr w14:val="tx1"/>
                  </w14:solidFill>
                </w14:textFill>
              </w:rPr>
              <w:t>中第</w:t>
            </w:r>
            <w:r>
              <w:rPr>
                <w:rFonts w:hint="eastAsia" w:ascii="Times New Roman" w:hAnsi="Times New Roman" w:eastAsia="宋体" w:cs="Times New Roman"/>
                <w:bCs/>
                <w:color w:val="000000" w:themeColor="text1"/>
                <w:sz w:val="24"/>
                <w:lang w:val="en-US" w:eastAsia="zh-CN"/>
                <w14:textFill>
                  <w14:solidFill>
                    <w14:schemeClr w14:val="tx1"/>
                  </w14:solidFill>
                </w14:textFill>
              </w:rPr>
              <w:t>5</w:t>
            </w:r>
            <w:r>
              <w:rPr>
                <w:rFonts w:hint="eastAsia" w:ascii="Times New Roman" w:hAnsi="Times New Roman" w:eastAsia="宋体" w:cs="Times New Roman"/>
                <w:bCs/>
                <w:color w:val="000000" w:themeColor="text1"/>
                <w:sz w:val="24"/>
                <w14:textFill>
                  <w14:solidFill>
                    <w14:schemeClr w14:val="tx1"/>
                  </w14:solidFill>
                </w14:textFill>
              </w:rPr>
              <w:t>条：</w:t>
            </w:r>
            <w:r>
              <w:rPr>
                <w:rFonts w:ascii="Times New Roman" w:hAnsi="Times New Roman" w:eastAsia="宋体" w:cs="Times New Roman"/>
                <w:bCs/>
                <w:color w:val="000000" w:themeColor="text1"/>
                <w:sz w:val="24"/>
                <w:lang w:eastAsia="zh-CN"/>
                <w14:textFill>
                  <w14:solidFill>
                    <w14:schemeClr w14:val="tx1"/>
                  </w14:solidFill>
                </w14:textFill>
              </w:rPr>
              <w:t>重新选址；在原厂址附近调整（包括总平面布置变化）导致环境防护距离范围变化且新增敏感点的</w:t>
            </w:r>
            <w:r>
              <w:rPr>
                <w:rFonts w:hint="eastAsia" w:ascii="Times New Roman" w:hAnsi="Times New Roman" w:eastAsia="宋体" w:cs="Times New Roman"/>
                <w:bCs/>
                <w:color w:val="000000" w:themeColor="text1"/>
                <w:sz w:val="24"/>
                <w:lang w:eastAsia="zh-CN"/>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属于重大变动。</w:t>
            </w:r>
          </w:p>
          <w:p w14:paraId="7EA78609">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广东启轮金属制品有限公司拟在</w:t>
            </w:r>
            <w:r>
              <w:rPr>
                <w:rFonts w:hint="eastAsia" w:ascii="Times New Roman" w:hAnsi="Times New Roman" w:eastAsia="宋体" w:cs="Times New Roman"/>
                <w:bCs/>
                <w:color w:val="000000" w:themeColor="text1"/>
                <w:sz w:val="24"/>
                <w:lang w:val="en-US" w:eastAsia="zh-CN"/>
                <w14:textFill>
                  <w14:solidFill>
                    <w14:schemeClr w14:val="tx1"/>
                  </w14:solidFill>
                </w14:textFill>
              </w:rPr>
              <w:t>新</w:t>
            </w:r>
            <w:r>
              <w:rPr>
                <w:rFonts w:hint="eastAsia" w:ascii="Times New Roman" w:hAnsi="Times New Roman" w:eastAsia="宋体" w:cs="Times New Roman"/>
                <w:bCs/>
                <w:color w:val="000000" w:themeColor="text1"/>
                <w:sz w:val="24"/>
                <w14:textFill>
                  <w14:solidFill>
                    <w14:schemeClr w14:val="tx1"/>
                  </w14:solidFill>
                </w14:textFill>
              </w:rPr>
              <w:t>厂区内（</w:t>
            </w:r>
            <w:r>
              <w:rPr>
                <w:rFonts w:ascii="Times New Roman" w:hAnsi="Times New Roman" w:eastAsia="宋体" w:cs="Times New Roman"/>
                <w:bCs/>
                <w:color w:val="000000" w:themeColor="text1"/>
                <w:sz w:val="24"/>
                <w14:textFill>
                  <w14:solidFill>
                    <w14:schemeClr w14:val="tx1"/>
                  </w14:solidFill>
                </w14:textFill>
              </w:rPr>
              <w:t>韶关市乐昌市乐昌产业转移工业园环园东路</w:t>
            </w:r>
            <w:r>
              <w:rPr>
                <w:rFonts w:hint="eastAsia" w:ascii="Times New Roman" w:hAnsi="Times New Roman" w:eastAsia="宋体" w:cs="Times New Roman"/>
                <w:bCs/>
                <w:color w:val="000000" w:themeColor="text1"/>
                <w:sz w:val="24"/>
                <w14:textFill>
                  <w14:solidFill>
                    <w14:schemeClr w14:val="tx1"/>
                  </w14:solidFill>
                </w14:textFill>
              </w:rPr>
              <w:t>1</w:t>
            </w:r>
            <w:r>
              <w:rPr>
                <w:rFonts w:ascii="Times New Roman" w:hAnsi="Times New Roman" w:eastAsia="宋体" w:cs="Times New Roman"/>
                <w:bCs/>
                <w:color w:val="000000" w:themeColor="text1"/>
                <w:sz w:val="24"/>
                <w14:textFill>
                  <w14:solidFill>
                    <w14:schemeClr w14:val="tx1"/>
                  </w14:solidFill>
                </w14:textFill>
              </w:rPr>
              <w:t>9号</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建设“广东启轮金属制品有限公司年产</w:t>
            </w:r>
            <w:r>
              <w:rPr>
                <w:rFonts w:hint="eastAsia" w:ascii="Times New Roman" w:hAnsi="Times New Roman" w:eastAsia="宋体" w:cs="Times New Roman"/>
                <w:bCs/>
                <w:color w:val="000000" w:themeColor="text1"/>
                <w:sz w:val="24"/>
                <w14:textFill>
                  <w14:solidFill>
                    <w14:schemeClr w14:val="tx1"/>
                  </w14:solidFill>
                </w14:textFill>
              </w:rPr>
              <w:t>脚轮1</w:t>
            </w:r>
            <w:r>
              <w:rPr>
                <w:rFonts w:ascii="Times New Roman" w:hAnsi="Times New Roman" w:eastAsia="宋体" w:cs="Times New Roman"/>
                <w:bCs/>
                <w:color w:val="000000" w:themeColor="text1"/>
                <w:sz w:val="24"/>
                <w14:textFill>
                  <w14:solidFill>
                    <w14:schemeClr w14:val="tx1"/>
                  </w14:solidFill>
                </w14:textFill>
              </w:rPr>
              <w:t>00万个</w:t>
            </w:r>
            <w:r>
              <w:rPr>
                <w:rFonts w:hint="eastAsia" w:ascii="Times New Roman" w:hAnsi="Times New Roman" w:eastAsia="宋体" w:cs="Times New Roman"/>
                <w:bCs/>
                <w:color w:val="000000" w:themeColor="text1"/>
                <w:sz w:val="24"/>
                <w:lang w:val="en-US" w:eastAsia="zh-CN"/>
                <w14:textFill>
                  <w14:solidFill>
                    <w14:schemeClr w14:val="tx1"/>
                  </w14:solidFill>
                </w14:textFill>
              </w:rPr>
              <w:t>新建项目（重新报批）</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（以下简称</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本</w:t>
            </w:r>
            <w:r>
              <w:rPr>
                <w:rFonts w:ascii="Times New Roman" w:hAnsi="Times New Roman" w:eastAsia="宋体" w:cs="Times New Roman"/>
                <w:bCs/>
                <w:color w:val="000000" w:themeColor="text1"/>
                <w:sz w:val="24"/>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）。本</w:t>
            </w:r>
            <w:r>
              <w:rPr>
                <w:rFonts w:ascii="Times New Roman" w:hAnsi="Times New Roman" w:eastAsia="宋体" w:cs="Times New Roman"/>
                <w:bCs/>
                <w:color w:val="000000" w:themeColor="text1"/>
                <w:sz w:val="24"/>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用地中心</w:t>
            </w:r>
            <w:r>
              <w:rPr>
                <w:rFonts w:ascii="Times New Roman" w:hAnsi="Times New Roman" w:eastAsia="宋体" w:cs="Times New Roman"/>
                <w:bCs/>
                <w:color w:val="000000" w:themeColor="text1"/>
                <w:sz w:val="24"/>
                <w14:textFill>
                  <w14:solidFill>
                    <w14:schemeClr w14:val="tx1"/>
                  </w14:solidFill>
                </w14:textFill>
              </w:rPr>
              <w:t>地理位置为</w:t>
            </w:r>
            <w:r>
              <w:rPr>
                <w:rFonts w:ascii="Times New Roman" w:hAnsi="Times New Roman" w:eastAsia="宋体" w:cs="Times New Roman"/>
                <w:color w:val="000000" w:themeColor="text1"/>
                <w:sz w:val="24"/>
                <w14:textFill>
                  <w14:solidFill>
                    <w14:schemeClr w14:val="tx1"/>
                  </w14:solidFill>
                </w14:textFill>
              </w:rPr>
              <w:t>：</w:t>
            </w:r>
            <w:bookmarkStart w:id="10" w:name="_Hlk40282823"/>
            <w:r>
              <w:rPr>
                <w:rFonts w:ascii="Times New Roman" w:hAnsi="Times New Roman" w:eastAsia="宋体" w:cs="Times New Roman"/>
                <w:color w:val="000000" w:themeColor="text1"/>
                <w:sz w:val="24"/>
                <w14:textFill>
                  <w14:solidFill>
                    <w14:schemeClr w14:val="tx1"/>
                  </w14:solidFill>
                </w14:textFill>
              </w:rPr>
              <w:t>E113°24′35.26″，N25°</w:t>
            </w:r>
            <w:bookmarkEnd w:id="10"/>
            <w:r>
              <w:rPr>
                <w:rFonts w:ascii="Times New Roman" w:hAnsi="Times New Roman" w:eastAsia="宋体" w:cs="Times New Roman"/>
                <w:color w:val="000000" w:themeColor="text1"/>
                <w:sz w:val="24"/>
                <w14:textFill>
                  <w14:solidFill>
                    <w14:schemeClr w14:val="tx1"/>
                  </w14:solidFill>
                </w14:textFill>
              </w:rPr>
              <w:t>8′13.69″</w:t>
            </w:r>
            <w:r>
              <w:rPr>
                <w:rFonts w:hint="eastAsia" w:ascii="Times New Roman" w:hAnsi="Times New Roman" w:eastAsia="宋体" w:cs="Times New Roman"/>
                <w:color w:val="000000" w:themeColor="text1"/>
                <w:sz w:val="24"/>
                <w14:textFill>
                  <w14:solidFill>
                    <w14:schemeClr w14:val="tx1"/>
                  </w14:solidFill>
                </w14:textFill>
              </w:rPr>
              <w:t>，主要建设内容为：项目所在建筑已建设标准厂房和办公楼，不新增用地，新增投资500</w:t>
            </w:r>
            <w:r>
              <w:rPr>
                <w:rFonts w:hint="eastAsia" w:ascii="Times New Roman" w:hAnsi="Times New Roman" w:eastAsia="宋体" w:cs="Times New Roman"/>
                <w:color w:val="000000" w:themeColor="text1"/>
                <w:sz w:val="24"/>
                <w:lang w:eastAsia="zh-CN"/>
                <w14:textFill>
                  <w14:solidFill>
                    <w14:schemeClr w14:val="tx1"/>
                  </w14:solidFill>
                </w14:textFill>
              </w:rPr>
              <w:t>万元</w:t>
            </w:r>
            <w:r>
              <w:rPr>
                <w:rFonts w:hint="eastAsia" w:ascii="Times New Roman" w:hAnsi="Times New Roman" w:eastAsia="宋体" w:cs="Times New Roman"/>
                <w:color w:val="000000" w:themeColor="text1"/>
                <w:sz w:val="24"/>
                <w14:textFill>
                  <w14:solidFill>
                    <w14:schemeClr w14:val="tx1"/>
                  </w14:solidFill>
                </w14:textFill>
              </w:rPr>
              <w:t>，其中环保投资30万，新增脚轮100万个，建成后拟新增员工</w:t>
            </w:r>
            <w:r>
              <w:rPr>
                <w:rFonts w:ascii="Times New Roman" w:hAnsi="Times New Roman" w:eastAsia="宋体" w:cs="Times New Roman"/>
                <w:color w:val="000000" w:themeColor="text1"/>
                <w:sz w:val="24"/>
                <w14:textFill>
                  <w14:solidFill>
                    <w14:schemeClr w14:val="tx1"/>
                  </w14:solidFill>
                </w14:textFill>
              </w:rPr>
              <w:t>2</w:t>
            </w:r>
            <w:r>
              <w:rPr>
                <w:rFonts w:hint="eastAsia" w:ascii="Times New Roman" w:hAnsi="Times New Roman" w:eastAsia="宋体" w:cs="Times New Roman"/>
                <w:color w:val="000000" w:themeColor="text1"/>
                <w:sz w:val="24"/>
                <w14:textFill>
                  <w14:solidFill>
                    <w14:schemeClr w14:val="tx1"/>
                  </w14:solidFill>
                </w14:textFill>
              </w:rPr>
              <w:t>0人，均不在厂内食宿；本项目年开工300天，实行一班制，日工作8小时。本项目主要生产橡胶脚轮，年产橡胶脚轮1</w:t>
            </w:r>
            <w:r>
              <w:rPr>
                <w:rFonts w:ascii="Times New Roman" w:hAnsi="Times New Roman" w:eastAsia="宋体" w:cs="Times New Roman"/>
                <w:color w:val="000000" w:themeColor="text1"/>
                <w:sz w:val="24"/>
                <w14:textFill>
                  <w14:solidFill>
                    <w14:schemeClr w14:val="tx1"/>
                  </w14:solidFill>
                </w14:textFill>
              </w:rPr>
              <w:t>00万个。</w:t>
            </w:r>
          </w:p>
          <w:p w14:paraId="7420E114">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本项目建成后的生产总量为</w:t>
            </w:r>
            <w:r>
              <w:rPr>
                <w:rFonts w:hint="eastAsia" w:ascii="Times New Roman" w:hAnsi="Times New Roman" w:cs="Times New Roman"/>
                <w:color w:val="000000" w:themeColor="text1"/>
                <w:sz w:val="24"/>
                <w:szCs w:val="24"/>
                <w:lang w:val="en-US" w:eastAsia="zh-CN"/>
                <w14:textFill>
                  <w14:solidFill>
                    <w14:schemeClr w14:val="tx1"/>
                  </w14:solidFill>
                </w14:textFill>
              </w:rPr>
              <w:t>浇注喷漆线年生产</w:t>
            </w:r>
            <w:r>
              <w:rPr>
                <w:rFonts w:hint="default" w:ascii="Times New Roman" w:hAnsi="Times New Roman" w:cs="Times New Roman"/>
                <w:color w:val="000000" w:themeColor="text1"/>
                <w:sz w:val="24"/>
                <w:szCs w:val="24"/>
                <w:lang w:val="en-US" w:eastAsia="zh-CN"/>
                <w14:textFill>
                  <w14:solidFill>
                    <w14:schemeClr w14:val="tx1"/>
                  </w14:solidFill>
                </w14:textFill>
              </w:rPr>
              <w:t>100万个橡胶脚轮、铸造线</w:t>
            </w:r>
            <w:r>
              <w:rPr>
                <w:rFonts w:hint="eastAsia" w:ascii="Times New Roman" w:hAnsi="Times New Roman" w:cs="Times New Roman"/>
                <w:color w:val="000000" w:themeColor="text1"/>
                <w:sz w:val="24"/>
                <w:szCs w:val="24"/>
                <w:lang w:val="en-US" w:eastAsia="zh-CN"/>
                <w14:textFill>
                  <w14:solidFill>
                    <w14:schemeClr w14:val="tx1"/>
                  </w14:solidFill>
                </w14:textFill>
              </w:rPr>
              <w:t>年生产</w:t>
            </w:r>
            <w:r>
              <w:rPr>
                <w:rFonts w:hint="default" w:ascii="Times New Roman" w:hAnsi="Times New Roman" w:cs="Times New Roman"/>
                <w:color w:val="000000" w:themeColor="text1"/>
                <w:sz w:val="24"/>
                <w:szCs w:val="24"/>
                <w:lang w:val="en-US" w:eastAsia="zh-CN"/>
                <w14:textFill>
                  <w14:solidFill>
                    <w14:schemeClr w14:val="tx1"/>
                  </w14:solidFill>
                </w14:textFill>
              </w:rPr>
              <w:t>100万个金属脚轮。</w:t>
            </w:r>
          </w:p>
          <w:p w14:paraId="31405F28">
            <w:pPr>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一、环评类别判定说明</w:t>
            </w:r>
          </w:p>
          <w:p w14:paraId="0D8F5514">
            <w:pPr>
              <w:pStyle w:val="39"/>
              <w:widowControl w:val="0"/>
              <w:autoSpaceDE w:val="0"/>
              <w:autoSpaceDN w:val="0"/>
              <w:adjustRightInd w:val="0"/>
              <w:snapToGrid w:val="0"/>
              <w:spacing w:beforeAutospacing="0" w:afterAutospacing="0" w:line="240" w:lineRule="auto"/>
              <w:jc w:val="center"/>
              <w:rPr>
                <w:rFonts w:hint="default"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表</w:t>
            </w:r>
            <w:r>
              <w:rPr>
                <w:rFonts w:hint="default" w:ascii="Times New Roman" w:hAnsi="Times New Roman"/>
                <w:b/>
                <w:bCs/>
                <w:color w:val="000000" w:themeColor="text1"/>
                <w:sz w:val="21"/>
                <w:szCs w:val="21"/>
                <w14:textFill>
                  <w14:solidFill>
                    <w14:schemeClr w14:val="tx1"/>
                  </w14:solidFill>
                </w14:textFill>
              </w:rPr>
              <w:t xml:space="preserve">2-1 </w:t>
            </w:r>
            <w:r>
              <w:rPr>
                <w:rFonts w:ascii="Times New Roman" w:hAnsi="Times New Roman"/>
                <w:b/>
                <w:bCs/>
                <w:color w:val="000000" w:themeColor="text1"/>
                <w:sz w:val="21"/>
                <w:szCs w:val="21"/>
                <w14:textFill>
                  <w14:solidFill>
                    <w14:schemeClr w14:val="tx1"/>
                  </w14:solidFill>
                </w14:textFill>
              </w:rPr>
              <w:t>环评类别判定表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1134"/>
              <w:gridCol w:w="1276"/>
              <w:gridCol w:w="1275"/>
              <w:gridCol w:w="851"/>
              <w:gridCol w:w="2143"/>
            </w:tblGrid>
            <w:tr w14:paraId="58F4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Align w:val="center"/>
                </w:tcPr>
                <w:p w14:paraId="5BC537AD">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项目类别（一级）</w:t>
                  </w:r>
                </w:p>
              </w:tc>
              <w:tc>
                <w:tcPr>
                  <w:tcW w:w="1134" w:type="dxa"/>
                  <w:vAlign w:val="center"/>
                </w:tcPr>
                <w:p w14:paraId="37F5BFA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项目类别（二级）</w:t>
                  </w:r>
                </w:p>
              </w:tc>
              <w:tc>
                <w:tcPr>
                  <w:tcW w:w="1276" w:type="dxa"/>
                  <w:vAlign w:val="center"/>
                </w:tcPr>
                <w:p w14:paraId="69C6B21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环评类别（报告书）</w:t>
                  </w:r>
                </w:p>
              </w:tc>
              <w:tc>
                <w:tcPr>
                  <w:tcW w:w="1275" w:type="dxa"/>
                  <w:vAlign w:val="center"/>
                </w:tcPr>
                <w:p w14:paraId="06AB6504">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环评类别（报告表）</w:t>
                  </w:r>
                </w:p>
              </w:tc>
              <w:tc>
                <w:tcPr>
                  <w:tcW w:w="851" w:type="dxa"/>
                  <w:vAlign w:val="center"/>
                </w:tcPr>
                <w:p w14:paraId="784F0E8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环评类别（登记表）</w:t>
                  </w:r>
                </w:p>
              </w:tc>
              <w:tc>
                <w:tcPr>
                  <w:tcW w:w="2143" w:type="dxa"/>
                  <w:vAlign w:val="center"/>
                </w:tcPr>
                <w:p w14:paraId="0BEE886D">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判定依据和结论</w:t>
                  </w:r>
                </w:p>
              </w:tc>
            </w:tr>
            <w:tr w14:paraId="1EF3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Align w:val="center"/>
                </w:tcPr>
                <w:p w14:paraId="3571AE44">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二十六、橡胶制品业 29</w:t>
                  </w:r>
                </w:p>
              </w:tc>
              <w:tc>
                <w:tcPr>
                  <w:tcW w:w="1134" w:type="dxa"/>
                  <w:vAlign w:val="center"/>
                </w:tcPr>
                <w:p w14:paraId="653723EB">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52、</w:t>
                  </w:r>
                  <w:r>
                    <w:rPr>
                      <w:rFonts w:hint="eastAsia" w:ascii="Times New Roman" w:hAnsi="Times New Roman" w:eastAsia="宋体" w:cs="Times New Roman"/>
                      <w:bCs/>
                      <w:color w:val="000000" w:themeColor="text1"/>
                      <w:szCs w:val="21"/>
                      <w14:textFill>
                        <w14:solidFill>
                          <w14:schemeClr w14:val="tx1"/>
                        </w14:solidFill>
                      </w14:textFill>
                    </w:rPr>
                    <w:t>橡胶</w:t>
                  </w:r>
                  <w:r>
                    <w:rPr>
                      <w:rFonts w:ascii="Times New Roman" w:hAnsi="Times New Roman" w:eastAsia="宋体" w:cs="Times New Roman"/>
                      <w:bCs/>
                      <w:color w:val="000000" w:themeColor="text1"/>
                      <w:szCs w:val="21"/>
                      <w14:textFill>
                        <w14:solidFill>
                          <w14:schemeClr w14:val="tx1"/>
                        </w14:solidFill>
                      </w14:textFill>
                    </w:rPr>
                    <w:t>制品业</w:t>
                  </w:r>
                  <w:r>
                    <w:rPr>
                      <w:rFonts w:hint="eastAsia" w:ascii="Times New Roman" w:hAnsi="Times New Roman" w:eastAsia="宋体" w:cs="Times New Roman"/>
                      <w:bCs/>
                      <w:color w:val="000000" w:themeColor="text1"/>
                      <w:szCs w:val="21"/>
                      <w14:textFill>
                        <w14:solidFill>
                          <w14:schemeClr w14:val="tx1"/>
                        </w14:solidFill>
                      </w14:textFill>
                    </w:rPr>
                    <w:t xml:space="preserve"> 291</w:t>
                  </w:r>
                </w:p>
              </w:tc>
              <w:tc>
                <w:tcPr>
                  <w:tcW w:w="1276" w:type="dxa"/>
                  <w:vAlign w:val="center"/>
                </w:tcPr>
                <w:p w14:paraId="6A7FD6C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轮胎制造</w:t>
                  </w:r>
                  <w:r>
                    <w:rPr>
                      <w:rFonts w:ascii="Times New Roman" w:hAnsi="Times New Roman" w:eastAsia="宋体" w:cs="Times New Roman"/>
                      <w:bCs/>
                      <w:color w:val="000000" w:themeColor="text1"/>
                      <w:szCs w:val="21"/>
                      <w14:textFill>
                        <w14:solidFill>
                          <w14:schemeClr w14:val="tx1"/>
                        </w14:solidFill>
                      </w14:textFill>
                    </w:rPr>
                    <w:t>；再生橡胶制造（</w:t>
                  </w:r>
                  <w:r>
                    <w:rPr>
                      <w:rFonts w:hint="eastAsia" w:ascii="Times New Roman" w:hAnsi="Times New Roman" w:eastAsia="宋体" w:cs="Times New Roman"/>
                      <w:bCs/>
                      <w:color w:val="000000" w:themeColor="text1"/>
                      <w:szCs w:val="21"/>
                      <w14:textFill>
                        <w14:solidFill>
                          <w14:schemeClr w14:val="tx1"/>
                        </w14:solidFill>
                      </w14:textFill>
                    </w:rPr>
                    <w:t>常压</w:t>
                  </w:r>
                  <w:r>
                    <w:rPr>
                      <w:rFonts w:ascii="Times New Roman" w:hAnsi="Times New Roman" w:eastAsia="宋体" w:cs="Times New Roman"/>
                      <w:bCs/>
                      <w:color w:val="000000" w:themeColor="text1"/>
                      <w:szCs w:val="21"/>
                      <w14:textFill>
                        <w14:solidFill>
                          <w14:schemeClr w14:val="tx1"/>
                        </w14:solidFill>
                      </w14:textFill>
                    </w:rPr>
                    <w:t>连续脱硫工艺除外）</w:t>
                  </w:r>
                </w:p>
              </w:tc>
              <w:tc>
                <w:tcPr>
                  <w:tcW w:w="1275" w:type="dxa"/>
                  <w:vAlign w:val="center"/>
                </w:tcPr>
                <w:p w14:paraId="78468E3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其他</w:t>
                  </w:r>
                </w:p>
              </w:tc>
              <w:tc>
                <w:tcPr>
                  <w:tcW w:w="851" w:type="dxa"/>
                  <w:vAlign w:val="center"/>
                </w:tcPr>
                <w:p w14:paraId="45CAF36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w:t>
                  </w:r>
                </w:p>
              </w:tc>
              <w:tc>
                <w:tcPr>
                  <w:tcW w:w="2143" w:type="dxa"/>
                  <w:vAlign w:val="center"/>
                </w:tcPr>
                <w:p w14:paraId="3B7F552F">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本</w:t>
                  </w:r>
                  <w:r>
                    <w:rPr>
                      <w:rFonts w:hint="eastAsia" w:ascii="Times New Roman" w:hAnsi="Times New Roman" w:eastAsia="宋体" w:cs="Times New Roman"/>
                      <w:bCs/>
                      <w:color w:val="000000" w:themeColor="text1"/>
                      <w:szCs w:val="21"/>
                      <w:lang w:eastAsia="zh-CN"/>
                      <w14:textFill>
                        <w14:solidFill>
                          <w14:schemeClr w14:val="tx1"/>
                        </w14:solidFill>
                      </w14:textFill>
                    </w:rPr>
                    <w:t>项目</w:t>
                  </w:r>
                  <w:r>
                    <w:rPr>
                      <w:rFonts w:ascii="Times New Roman" w:hAnsi="Times New Roman" w:eastAsia="宋体" w:cs="Times New Roman"/>
                      <w:bCs/>
                      <w:color w:val="000000" w:themeColor="text1"/>
                      <w:szCs w:val="21"/>
                      <w14:textFill>
                        <w14:solidFill>
                          <w14:schemeClr w14:val="tx1"/>
                        </w14:solidFill>
                      </w14:textFill>
                    </w:rPr>
                    <w:t>主要</w:t>
                  </w:r>
                  <w:r>
                    <w:rPr>
                      <w:rFonts w:hint="eastAsia" w:ascii="Times New Roman" w:hAnsi="Times New Roman" w:eastAsia="宋体" w:cs="Times New Roman"/>
                      <w:bCs/>
                      <w:color w:val="000000" w:themeColor="text1"/>
                      <w:szCs w:val="21"/>
                      <w14:textFill>
                        <w14:solidFill>
                          <w14:schemeClr w14:val="tx1"/>
                        </w14:solidFill>
                      </w14:textFill>
                    </w:rPr>
                    <w:t>从事</w:t>
                  </w:r>
                  <w:r>
                    <w:rPr>
                      <w:rFonts w:ascii="Times New Roman" w:hAnsi="Times New Roman" w:eastAsia="宋体" w:cs="Times New Roman"/>
                      <w:bCs/>
                      <w:color w:val="000000" w:themeColor="text1"/>
                      <w:szCs w:val="21"/>
                      <w14:textFill>
                        <w14:solidFill>
                          <w14:schemeClr w14:val="tx1"/>
                        </w14:solidFill>
                      </w14:textFill>
                    </w:rPr>
                    <w:t>脚轮制造</w:t>
                  </w:r>
                  <w:r>
                    <w:rPr>
                      <w:rFonts w:hint="eastAsia" w:ascii="Times New Roman" w:hAnsi="Times New Roman" w:eastAsia="宋体" w:cs="Times New Roman"/>
                      <w:bCs/>
                      <w:color w:val="000000" w:themeColor="text1"/>
                      <w:szCs w:val="21"/>
                      <w14:textFill>
                        <w14:solidFill>
                          <w14:schemeClr w14:val="tx1"/>
                        </w14:solidFill>
                      </w14:textFill>
                    </w:rPr>
                    <w:t>，</w:t>
                  </w:r>
                  <w:r>
                    <w:rPr>
                      <w:rFonts w:hint="eastAsia" w:ascii="Times New Roman" w:hAnsi="Times New Roman" w:eastAsia="宋体" w:cs="Times New Roman"/>
                      <w:bCs/>
                      <w:color w:val="000000" w:themeColor="text1"/>
                      <w:szCs w:val="21"/>
                      <w:lang w:eastAsia="zh-CN"/>
                      <w14:textFill>
                        <w14:solidFill>
                          <w14:schemeClr w14:val="tx1"/>
                        </w14:solidFill>
                      </w14:textFill>
                    </w:rPr>
                    <w:t>项目</w:t>
                  </w:r>
                  <w:r>
                    <w:rPr>
                      <w:rFonts w:hint="eastAsia" w:ascii="Times New Roman" w:hAnsi="Times New Roman" w:eastAsia="宋体" w:cs="Times New Roman"/>
                      <w:bCs/>
                      <w:color w:val="000000" w:themeColor="text1"/>
                      <w:szCs w:val="21"/>
                      <w14:textFill>
                        <w14:solidFill>
                          <w14:schemeClr w14:val="tx1"/>
                        </w14:solidFill>
                      </w14:textFill>
                    </w:rPr>
                    <w:t>生产橡胶</w:t>
                  </w:r>
                  <w:r>
                    <w:rPr>
                      <w:rFonts w:ascii="Times New Roman" w:hAnsi="Times New Roman" w:eastAsia="宋体" w:cs="Times New Roman"/>
                      <w:bCs/>
                      <w:color w:val="000000" w:themeColor="text1"/>
                      <w:szCs w:val="21"/>
                      <w14:textFill>
                        <w14:solidFill>
                          <w14:schemeClr w14:val="tx1"/>
                        </w14:solidFill>
                      </w14:textFill>
                    </w:rPr>
                    <w:t>脚轮不涉及</w:t>
                  </w:r>
                  <w:r>
                    <w:rPr>
                      <w:rFonts w:hint="eastAsia" w:ascii="Times New Roman" w:hAnsi="Times New Roman" w:eastAsia="宋体" w:cs="Times New Roman"/>
                      <w:bCs/>
                      <w:color w:val="000000" w:themeColor="text1"/>
                      <w:szCs w:val="21"/>
                      <w14:textFill>
                        <w14:solidFill>
                          <w14:schemeClr w14:val="tx1"/>
                        </w14:solidFill>
                      </w14:textFill>
                    </w:rPr>
                    <w:t>轮胎</w:t>
                  </w:r>
                  <w:r>
                    <w:rPr>
                      <w:rFonts w:ascii="Times New Roman" w:hAnsi="Times New Roman" w:eastAsia="宋体" w:cs="Times New Roman"/>
                      <w:bCs/>
                      <w:color w:val="000000" w:themeColor="text1"/>
                      <w:szCs w:val="21"/>
                      <w14:textFill>
                        <w14:solidFill>
                          <w14:schemeClr w14:val="tx1"/>
                        </w14:solidFill>
                      </w14:textFill>
                    </w:rPr>
                    <w:t>制造；再生橡胶制造</w:t>
                  </w:r>
                  <w:r>
                    <w:rPr>
                      <w:rFonts w:hint="eastAsia" w:ascii="Times New Roman" w:hAnsi="Times New Roman" w:eastAsia="宋体" w:cs="Times New Roman"/>
                      <w:bCs/>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14:textFill>
                        <w14:solidFill>
                          <w14:schemeClr w14:val="tx1"/>
                        </w14:solidFill>
                      </w14:textFill>
                    </w:rPr>
                    <w:t>为报告表类别。</w:t>
                  </w:r>
                </w:p>
              </w:tc>
            </w:tr>
            <w:tr w14:paraId="59AF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Align w:val="center"/>
                </w:tcPr>
                <w:p w14:paraId="07A942F2">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三十、</w:t>
                  </w:r>
                  <w:r>
                    <w:rPr>
                      <w:rFonts w:hint="eastAsia" w:ascii="Times New Roman" w:hAnsi="Times New Roman" w:eastAsia="宋体" w:cs="Times New Roman"/>
                      <w:bCs/>
                      <w:color w:val="000000" w:themeColor="text1"/>
                      <w:szCs w:val="21"/>
                      <w14:textFill>
                        <w14:solidFill>
                          <w14:schemeClr w14:val="tx1"/>
                        </w14:solidFill>
                      </w14:textFill>
                    </w:rPr>
                    <w:t>金属</w:t>
                  </w:r>
                  <w:r>
                    <w:rPr>
                      <w:rFonts w:ascii="Times New Roman" w:hAnsi="Times New Roman" w:eastAsia="宋体" w:cs="Times New Roman"/>
                      <w:bCs/>
                      <w:color w:val="000000" w:themeColor="text1"/>
                      <w:szCs w:val="21"/>
                      <w14:textFill>
                        <w14:solidFill>
                          <w14:schemeClr w14:val="tx1"/>
                        </w14:solidFill>
                      </w14:textFill>
                    </w:rPr>
                    <w:t>制品业</w:t>
                  </w:r>
                  <w:r>
                    <w:rPr>
                      <w:rFonts w:hint="eastAsia" w:ascii="Times New Roman" w:hAnsi="Times New Roman" w:eastAsia="宋体" w:cs="Times New Roman"/>
                      <w:bCs/>
                      <w:color w:val="000000" w:themeColor="text1"/>
                      <w:szCs w:val="21"/>
                      <w14:textFill>
                        <w14:solidFill>
                          <w14:schemeClr w14:val="tx1"/>
                        </w14:solidFill>
                      </w14:textFill>
                    </w:rPr>
                    <w:t xml:space="preserve"> </w:t>
                  </w:r>
                  <w:r>
                    <w:rPr>
                      <w:rFonts w:ascii="Times New Roman" w:hAnsi="Times New Roman" w:eastAsia="宋体" w:cs="Times New Roman"/>
                      <w:bCs/>
                      <w:color w:val="000000" w:themeColor="text1"/>
                      <w:szCs w:val="21"/>
                      <w14:textFill>
                        <w14:solidFill>
                          <w14:schemeClr w14:val="tx1"/>
                        </w14:solidFill>
                      </w14:textFill>
                    </w:rPr>
                    <w:t>33</w:t>
                  </w:r>
                </w:p>
              </w:tc>
              <w:tc>
                <w:tcPr>
                  <w:tcW w:w="1134" w:type="dxa"/>
                  <w:vAlign w:val="center"/>
                </w:tcPr>
                <w:p w14:paraId="0379E482">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66</w:t>
                  </w:r>
                  <w:r>
                    <w:rPr>
                      <w:rFonts w:ascii="Times New Roman" w:hAnsi="Times New Roman" w:eastAsia="宋体" w:cs="Times New Roman"/>
                      <w:bCs/>
                      <w:color w:val="000000" w:themeColor="text1"/>
                      <w:szCs w:val="21"/>
                      <w14:textFill>
                        <w14:solidFill>
                          <w14:schemeClr w14:val="tx1"/>
                        </w14:solidFill>
                      </w14:textFill>
                    </w:rPr>
                    <w:t>、</w:t>
                  </w:r>
                  <w:r>
                    <w:rPr>
                      <w:rFonts w:hint="eastAsia" w:ascii="Times New Roman" w:hAnsi="Times New Roman" w:eastAsia="宋体" w:cs="Times New Roman"/>
                      <w:bCs/>
                      <w:color w:val="000000" w:themeColor="text1"/>
                      <w:szCs w:val="21"/>
                      <w14:textFill>
                        <w14:solidFill>
                          <w14:schemeClr w14:val="tx1"/>
                        </w14:solidFill>
                      </w14:textFill>
                    </w:rPr>
                    <w:t>建筑</w:t>
                  </w:r>
                  <w:r>
                    <w:rPr>
                      <w:rFonts w:ascii="Times New Roman" w:hAnsi="Times New Roman" w:eastAsia="宋体" w:cs="Times New Roman"/>
                      <w:bCs/>
                      <w:color w:val="000000" w:themeColor="text1"/>
                      <w:szCs w:val="21"/>
                      <w14:textFill>
                        <w14:solidFill>
                          <w14:schemeClr w14:val="tx1"/>
                        </w14:solidFill>
                      </w14:textFill>
                    </w:rPr>
                    <w:t>、安全用金属制品制造</w:t>
                  </w:r>
                  <w:r>
                    <w:rPr>
                      <w:rFonts w:hint="eastAsia" w:ascii="Times New Roman" w:hAnsi="Times New Roman" w:eastAsia="宋体" w:cs="Times New Roman"/>
                      <w:bCs/>
                      <w:color w:val="000000" w:themeColor="text1"/>
                      <w:szCs w:val="21"/>
                      <w14:textFill>
                        <w14:solidFill>
                          <w14:schemeClr w14:val="tx1"/>
                        </w14:solidFill>
                      </w14:textFill>
                    </w:rPr>
                    <w:t xml:space="preserve"> </w:t>
                  </w:r>
                  <w:r>
                    <w:rPr>
                      <w:rFonts w:ascii="Times New Roman" w:hAnsi="Times New Roman" w:eastAsia="宋体" w:cs="Times New Roman"/>
                      <w:bCs/>
                      <w:color w:val="000000" w:themeColor="text1"/>
                      <w:szCs w:val="21"/>
                      <w14:textFill>
                        <w14:solidFill>
                          <w14:schemeClr w14:val="tx1"/>
                        </w14:solidFill>
                      </w14:textFill>
                    </w:rPr>
                    <w:t>335</w:t>
                  </w:r>
                </w:p>
              </w:tc>
              <w:tc>
                <w:tcPr>
                  <w:tcW w:w="1276" w:type="dxa"/>
                  <w:vAlign w:val="center"/>
                </w:tcPr>
                <w:p w14:paraId="763FF13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有电镀工艺的；年用溶剂型涂料（含稀</w:t>
                  </w:r>
                </w:p>
                <w:p w14:paraId="0E16C33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释剂）10吨及以上的</w:t>
                  </w:r>
                </w:p>
              </w:tc>
              <w:tc>
                <w:tcPr>
                  <w:tcW w:w="1275" w:type="dxa"/>
                  <w:vAlign w:val="center"/>
                </w:tcPr>
                <w:p w14:paraId="1A4B2FC1">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其他（仅分割、焊接、组装的</w:t>
                  </w:r>
                </w:p>
                <w:p w14:paraId="5173C9B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除外；年用非溶剂型低VOCs含</w:t>
                  </w:r>
                </w:p>
                <w:p w14:paraId="620F549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量涂料10吨以下的除外）</w:t>
                  </w:r>
                </w:p>
              </w:tc>
              <w:tc>
                <w:tcPr>
                  <w:tcW w:w="851" w:type="dxa"/>
                  <w:vAlign w:val="center"/>
                </w:tcPr>
                <w:p w14:paraId="012C10A7">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w:t>
                  </w:r>
                </w:p>
              </w:tc>
              <w:tc>
                <w:tcPr>
                  <w:tcW w:w="2143" w:type="dxa"/>
                  <w:vAlign w:val="center"/>
                </w:tcPr>
                <w:p w14:paraId="12877F35">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本</w:t>
                  </w:r>
                  <w:r>
                    <w:rPr>
                      <w:rFonts w:hint="eastAsia" w:ascii="Times New Roman" w:hAnsi="Times New Roman" w:eastAsia="宋体" w:cs="Times New Roman"/>
                      <w:bCs/>
                      <w:color w:val="000000" w:themeColor="text1"/>
                      <w:szCs w:val="21"/>
                      <w:lang w:eastAsia="zh-CN"/>
                      <w14:textFill>
                        <w14:solidFill>
                          <w14:schemeClr w14:val="tx1"/>
                        </w14:solidFill>
                      </w14:textFill>
                    </w:rPr>
                    <w:t>项目</w:t>
                  </w:r>
                  <w:r>
                    <w:rPr>
                      <w:rFonts w:hint="eastAsia" w:ascii="Times New Roman" w:hAnsi="Times New Roman" w:eastAsia="宋体" w:cs="Times New Roman"/>
                      <w:bCs/>
                      <w:color w:val="000000" w:themeColor="text1"/>
                      <w:szCs w:val="21"/>
                      <w14:textFill>
                        <w14:solidFill>
                          <w14:schemeClr w14:val="tx1"/>
                        </w14:solidFill>
                      </w14:textFill>
                    </w:rPr>
                    <w:t>主要从事橡胶</w:t>
                  </w:r>
                  <w:r>
                    <w:rPr>
                      <w:rFonts w:ascii="Times New Roman" w:hAnsi="Times New Roman" w:eastAsia="宋体" w:cs="Times New Roman"/>
                      <w:bCs/>
                      <w:color w:val="000000" w:themeColor="text1"/>
                      <w:szCs w:val="21"/>
                      <w14:textFill>
                        <w14:solidFill>
                          <w14:schemeClr w14:val="tx1"/>
                        </w14:solidFill>
                      </w14:textFill>
                    </w:rPr>
                    <w:t>脚轮制造</w:t>
                  </w:r>
                  <w:r>
                    <w:rPr>
                      <w:rFonts w:hint="eastAsia" w:ascii="Times New Roman" w:hAnsi="Times New Roman" w:eastAsia="宋体" w:cs="Times New Roman"/>
                      <w:bCs/>
                      <w:color w:val="000000" w:themeColor="text1"/>
                      <w:szCs w:val="21"/>
                      <w14:textFill>
                        <w14:solidFill>
                          <w14:schemeClr w14:val="tx1"/>
                        </w14:solidFill>
                      </w14:textFill>
                    </w:rPr>
                    <w:t>，</w:t>
                  </w:r>
                  <w:r>
                    <w:rPr>
                      <w:rFonts w:hint="eastAsia" w:ascii="Times New Roman" w:hAnsi="Times New Roman" w:eastAsia="宋体" w:cs="Times New Roman"/>
                      <w:bCs/>
                      <w:color w:val="000000" w:themeColor="text1"/>
                      <w:szCs w:val="21"/>
                      <w:lang w:eastAsia="zh-CN"/>
                      <w14:textFill>
                        <w14:solidFill>
                          <w14:schemeClr w14:val="tx1"/>
                        </w14:solidFill>
                      </w14:textFill>
                    </w:rPr>
                    <w:t>项目</w:t>
                  </w:r>
                  <w:r>
                    <w:rPr>
                      <w:rFonts w:hint="eastAsia" w:ascii="Times New Roman" w:hAnsi="Times New Roman" w:eastAsia="宋体" w:cs="Times New Roman"/>
                      <w:bCs/>
                      <w:color w:val="000000" w:themeColor="text1"/>
                      <w:szCs w:val="21"/>
                      <w14:textFill>
                        <w14:solidFill>
                          <w14:schemeClr w14:val="tx1"/>
                        </w14:solidFill>
                      </w14:textFill>
                    </w:rPr>
                    <w:t>生产脚轮生产制造不涉及有电镀工艺的；年用溶剂型涂料（含稀</w:t>
                  </w:r>
                </w:p>
                <w:p w14:paraId="7327D1F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释剂）10吨及以上的。</w:t>
                  </w:r>
                  <w:r>
                    <w:rPr>
                      <w:rFonts w:hint="eastAsia" w:ascii="Times New Roman" w:hAnsi="Times New Roman" w:eastAsia="宋体" w:cs="Times New Roman"/>
                      <w:color w:val="000000" w:themeColor="text1"/>
                      <w:szCs w:val="21"/>
                      <w14:textFill>
                        <w14:solidFill>
                          <w14:schemeClr w14:val="tx1"/>
                        </w14:solidFill>
                      </w14:textFill>
                    </w:rPr>
                    <w:t>为报告表类别。</w:t>
                  </w:r>
                </w:p>
              </w:tc>
            </w:tr>
          </w:tbl>
          <w:p w14:paraId="321832CE">
            <w:pPr>
              <w:rPr>
                <w:rFonts w:ascii="宋体" w:hAnsi="宋体" w:eastAsia="宋体" w:cs="宋体"/>
                <w:bCs/>
                <w:color w:val="000000" w:themeColor="text1"/>
                <w:sz w:val="24"/>
                <w14:textFill>
                  <w14:solidFill>
                    <w14:schemeClr w14:val="tx1"/>
                  </w14:solidFill>
                </w14:textFill>
              </w:rPr>
            </w:pPr>
          </w:p>
          <w:p w14:paraId="0D5A3543">
            <w:pPr>
              <w:ind w:firstLine="480" w:firstLineChars="200"/>
              <w:rPr>
                <w:rFonts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二、项目建设内容</w:t>
            </w:r>
          </w:p>
          <w:p w14:paraId="58BA15AB">
            <w:pPr>
              <w:spacing w:line="360" w:lineRule="auto"/>
              <w:ind w:firstLine="480" w:firstLineChars="200"/>
              <w:rPr>
                <w:rFonts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1、基本信息</w:t>
            </w:r>
          </w:p>
          <w:p w14:paraId="21110BAE">
            <w:pPr>
              <w:pStyle w:val="71"/>
              <w:rPr>
                <w:color w:val="000000" w:themeColor="text1"/>
                <w14:textFill>
                  <w14:solidFill>
                    <w14:schemeClr w14:val="tx1"/>
                  </w14:solidFill>
                </w14:textFill>
              </w:rPr>
            </w:pPr>
            <w:r>
              <w:rPr>
                <w:rFonts w:hint="eastAsia"/>
                <w:color w:val="000000" w:themeColor="text1"/>
                <w14:textFill>
                  <w14:solidFill>
                    <w14:schemeClr w14:val="tx1"/>
                  </w14:solidFill>
                </w14:textFill>
              </w:rPr>
              <w:t>表2-</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 xml:space="preserve"> 项目工程组成一览表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709"/>
              <w:gridCol w:w="2268"/>
              <w:gridCol w:w="1701"/>
              <w:gridCol w:w="2144"/>
            </w:tblGrid>
            <w:tr w14:paraId="7628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gridSpan w:val="2"/>
                  <w:vMerge w:val="restart"/>
                  <w:vAlign w:val="center"/>
                </w:tcPr>
                <w:p w14:paraId="1E9CC936">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工程</w:t>
                  </w:r>
                </w:p>
              </w:tc>
              <w:tc>
                <w:tcPr>
                  <w:tcW w:w="6113" w:type="dxa"/>
                  <w:gridSpan w:val="3"/>
                  <w:vAlign w:val="center"/>
                </w:tcPr>
                <w:p w14:paraId="1B4D0E40">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建设内容</w:t>
                  </w:r>
                </w:p>
              </w:tc>
            </w:tr>
            <w:tr w14:paraId="4D4B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gridSpan w:val="2"/>
                  <w:vMerge w:val="continue"/>
                  <w:vAlign w:val="center"/>
                </w:tcPr>
                <w:p w14:paraId="0E70DB79">
                  <w:pPr>
                    <w:pStyle w:val="71"/>
                    <w:rPr>
                      <w:b w:val="0"/>
                      <w:color w:val="000000" w:themeColor="text1"/>
                      <w14:textFill>
                        <w14:solidFill>
                          <w14:schemeClr w14:val="tx1"/>
                        </w14:solidFill>
                      </w14:textFill>
                    </w:rPr>
                  </w:pPr>
                </w:p>
              </w:tc>
              <w:tc>
                <w:tcPr>
                  <w:tcW w:w="2268" w:type="dxa"/>
                  <w:vAlign w:val="center"/>
                </w:tcPr>
                <w:p w14:paraId="1AA076CB">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原项目</w:t>
                  </w:r>
                </w:p>
              </w:tc>
              <w:tc>
                <w:tcPr>
                  <w:tcW w:w="1701" w:type="dxa"/>
                  <w:vAlign w:val="center"/>
                </w:tcPr>
                <w:p w14:paraId="18FA0850">
                  <w:pPr>
                    <w:pStyle w:val="71"/>
                    <w:rPr>
                      <w:rFonts w:hint="eastAsia" w:eastAsia="宋体"/>
                      <w:b w:val="0"/>
                      <w:color w:val="000000" w:themeColor="text1"/>
                      <w:lang w:eastAsia="zh-CN"/>
                      <w14:textFill>
                        <w14:solidFill>
                          <w14:schemeClr w14:val="tx1"/>
                        </w14:solidFill>
                      </w14:textFill>
                    </w:rPr>
                  </w:pPr>
                  <w:r>
                    <w:rPr>
                      <w:b w:val="0"/>
                      <w:color w:val="000000" w:themeColor="text1"/>
                      <w14:textFill>
                        <w14:solidFill>
                          <w14:schemeClr w14:val="tx1"/>
                        </w14:solidFill>
                      </w14:textFill>
                    </w:rPr>
                    <w:t>本</w:t>
                  </w:r>
                  <w:r>
                    <w:rPr>
                      <w:rFonts w:hint="eastAsia"/>
                      <w:b w:val="0"/>
                      <w:color w:val="000000" w:themeColor="text1"/>
                      <w:lang w:eastAsia="zh-CN"/>
                      <w14:textFill>
                        <w14:solidFill>
                          <w14:schemeClr w14:val="tx1"/>
                        </w14:solidFill>
                      </w14:textFill>
                    </w:rPr>
                    <w:t>项目</w:t>
                  </w:r>
                </w:p>
              </w:tc>
              <w:tc>
                <w:tcPr>
                  <w:tcW w:w="2144" w:type="dxa"/>
                  <w:vAlign w:val="center"/>
                </w:tcPr>
                <w:p w14:paraId="4B1DB23D">
                  <w:pPr>
                    <w:pStyle w:val="71"/>
                    <w:rPr>
                      <w:b w:val="0"/>
                      <w:color w:val="000000" w:themeColor="text1"/>
                      <w14:textFill>
                        <w14:solidFill>
                          <w14:schemeClr w14:val="tx1"/>
                        </w14:solidFill>
                      </w14:textFill>
                    </w:rPr>
                  </w:pPr>
                  <w:r>
                    <w:rPr>
                      <w:rFonts w:hint="eastAsia"/>
                      <w:b w:val="0"/>
                      <w:color w:val="000000" w:themeColor="text1"/>
                      <w:lang w:val="en-US" w:eastAsia="zh-CN"/>
                      <w14:textFill>
                        <w14:solidFill>
                          <w14:schemeClr w14:val="tx1"/>
                        </w14:solidFill>
                      </w14:textFill>
                    </w:rPr>
                    <w:t>重新报批</w:t>
                  </w:r>
                  <w:r>
                    <w:rPr>
                      <w:b w:val="0"/>
                      <w:color w:val="000000" w:themeColor="text1"/>
                      <w14:textFill>
                        <w14:solidFill>
                          <w14:schemeClr w14:val="tx1"/>
                        </w14:solidFill>
                      </w14:textFill>
                    </w:rPr>
                    <w:t>后项目</w:t>
                  </w:r>
                </w:p>
              </w:tc>
            </w:tr>
            <w:tr w14:paraId="19BD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6AFD13B8">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主体工程</w:t>
                  </w:r>
                </w:p>
              </w:tc>
              <w:tc>
                <w:tcPr>
                  <w:tcW w:w="709" w:type="dxa"/>
                  <w:vAlign w:val="center"/>
                </w:tcPr>
                <w:p w14:paraId="09EA7BD9">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厂房</w:t>
                  </w:r>
                </w:p>
              </w:tc>
              <w:tc>
                <w:tcPr>
                  <w:tcW w:w="2268" w:type="dxa"/>
                  <w:vAlign w:val="center"/>
                </w:tcPr>
                <w:p w14:paraId="039DED02">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一层，高1</w:t>
                  </w:r>
                  <w:r>
                    <w:rPr>
                      <w:b w:val="0"/>
                      <w:color w:val="000000" w:themeColor="text1"/>
                      <w14:textFill>
                        <w14:solidFill>
                          <w14:schemeClr w14:val="tx1"/>
                        </w14:solidFill>
                      </w14:textFill>
                    </w:rPr>
                    <w:t>0m，</w:t>
                  </w:r>
                  <w:r>
                    <w:rPr>
                      <w:rFonts w:hint="eastAsia"/>
                      <w:b w:val="0"/>
                      <w:color w:val="000000" w:themeColor="text1"/>
                      <w14:textFill>
                        <w14:solidFill>
                          <w14:schemeClr w14:val="tx1"/>
                        </w14:solidFill>
                      </w14:textFill>
                    </w:rPr>
                    <w:t>钢结构，建筑面积5243.22m</w:t>
                  </w:r>
                  <w:r>
                    <w:rPr>
                      <w:rFonts w:hint="eastAsia"/>
                      <w:b w:val="0"/>
                      <w:color w:val="000000" w:themeColor="text1"/>
                      <w:vertAlign w:val="superscript"/>
                      <w14:textFill>
                        <w14:solidFill>
                          <w14:schemeClr w14:val="tx1"/>
                        </w14:solidFill>
                      </w14:textFill>
                    </w:rPr>
                    <w:t>2</w:t>
                  </w:r>
                  <w:r>
                    <w:rPr>
                      <w:rFonts w:hint="eastAsia"/>
                      <w:b w:val="0"/>
                      <w:color w:val="000000" w:themeColor="text1"/>
                      <w14:textFill>
                        <w14:solidFill>
                          <w14:schemeClr w14:val="tx1"/>
                        </w14:solidFill>
                      </w14:textFill>
                    </w:rPr>
                    <w:t>，厂区内分为造型区、熔炼区、浇注区、砂处理区、落砂区、打磨区、抛丸区。</w:t>
                  </w:r>
                </w:p>
              </w:tc>
              <w:tc>
                <w:tcPr>
                  <w:tcW w:w="1701" w:type="dxa"/>
                  <w:vAlign w:val="center"/>
                </w:tcPr>
                <w:p w14:paraId="5C9A098A">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新增橡胶浇注区、喷漆区、机加工区</w:t>
                  </w:r>
                </w:p>
              </w:tc>
              <w:tc>
                <w:tcPr>
                  <w:tcW w:w="2144" w:type="dxa"/>
                  <w:vAlign w:val="center"/>
                </w:tcPr>
                <w:p w14:paraId="1C6CEC98">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一层，高10m，钢结构，建筑面积5243.22m</w:t>
                  </w:r>
                  <w:r>
                    <w:rPr>
                      <w:rFonts w:hint="eastAsia"/>
                      <w:b w:val="0"/>
                      <w:color w:val="000000" w:themeColor="text1"/>
                      <w:vertAlign w:val="superscript"/>
                      <w14:textFill>
                        <w14:solidFill>
                          <w14:schemeClr w14:val="tx1"/>
                        </w14:solidFill>
                      </w14:textFill>
                    </w:rPr>
                    <w:t>2</w:t>
                  </w:r>
                  <w:r>
                    <w:rPr>
                      <w:rFonts w:hint="eastAsia"/>
                      <w:b w:val="0"/>
                      <w:color w:val="000000" w:themeColor="text1"/>
                      <w14:textFill>
                        <w14:solidFill>
                          <w14:schemeClr w14:val="tx1"/>
                        </w14:solidFill>
                      </w14:textFill>
                    </w:rPr>
                    <w:t>，厂区内分为造型区、熔炼区、浇注区、砂处理区、落砂区、打磨区、抛丸区、橡胶浇注区、喷漆区、机加工区。</w:t>
                  </w:r>
                </w:p>
              </w:tc>
            </w:tr>
            <w:tr w14:paraId="49BE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0D6EDF3E">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辅助工程</w:t>
                  </w:r>
                </w:p>
              </w:tc>
              <w:tc>
                <w:tcPr>
                  <w:tcW w:w="709" w:type="dxa"/>
                  <w:vAlign w:val="center"/>
                </w:tcPr>
                <w:p w14:paraId="7176FA07">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办公室</w:t>
                  </w:r>
                </w:p>
              </w:tc>
              <w:tc>
                <w:tcPr>
                  <w:tcW w:w="2268" w:type="dxa"/>
                  <w:vAlign w:val="center"/>
                </w:tcPr>
                <w:p w14:paraId="7C62DAB2">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四层，高1</w:t>
                  </w:r>
                  <w:r>
                    <w:rPr>
                      <w:b w:val="0"/>
                      <w:color w:val="000000" w:themeColor="text1"/>
                      <w14:textFill>
                        <w14:solidFill>
                          <w14:schemeClr w14:val="tx1"/>
                        </w14:solidFill>
                      </w14:textFill>
                    </w:rPr>
                    <w:t>2m</w:t>
                  </w:r>
                  <w:r>
                    <w:rPr>
                      <w:rFonts w:hint="eastAsia"/>
                      <w:b w:val="0"/>
                      <w:color w:val="000000" w:themeColor="text1"/>
                      <w14:textFill>
                        <w14:solidFill>
                          <w14:schemeClr w14:val="tx1"/>
                        </w14:solidFill>
                      </w14:textFill>
                    </w:rPr>
                    <w:t>，建筑面积1471.24m</w:t>
                  </w:r>
                  <w:r>
                    <w:rPr>
                      <w:rFonts w:hint="eastAsia"/>
                      <w:b w:val="0"/>
                      <w:color w:val="000000" w:themeColor="text1"/>
                      <w:vertAlign w:val="superscript"/>
                      <w14:textFill>
                        <w14:solidFill>
                          <w14:schemeClr w14:val="tx1"/>
                        </w14:solidFill>
                      </w14:textFill>
                    </w:rPr>
                    <w:t>2</w:t>
                  </w:r>
                  <w:r>
                    <w:rPr>
                      <w:rFonts w:hint="eastAsia"/>
                      <w:b w:val="0"/>
                      <w:color w:val="000000" w:themeColor="text1"/>
                      <w14:textFill>
                        <w14:solidFill>
                          <w14:schemeClr w14:val="tx1"/>
                        </w14:solidFill>
                      </w14:textFill>
                    </w:rPr>
                    <w:t>，</w:t>
                  </w:r>
                  <w:r>
                    <w:rPr>
                      <w:b w:val="0"/>
                      <w:color w:val="000000" w:themeColor="text1"/>
                      <w14:textFill>
                        <w14:solidFill>
                          <w14:schemeClr w14:val="tx1"/>
                        </w14:solidFill>
                      </w14:textFill>
                    </w:rPr>
                    <w:t>一、二层</w:t>
                  </w:r>
                  <w:r>
                    <w:rPr>
                      <w:rFonts w:hint="eastAsia"/>
                      <w:b w:val="0"/>
                      <w:color w:val="000000" w:themeColor="text1"/>
                      <w14:textFill>
                        <w14:solidFill>
                          <w14:schemeClr w14:val="tx1"/>
                        </w14:solidFill>
                      </w14:textFill>
                    </w:rPr>
                    <w:t>设办公区</w:t>
                  </w:r>
                  <w:r>
                    <w:rPr>
                      <w:b w:val="0"/>
                      <w:color w:val="000000" w:themeColor="text1"/>
                      <w14:textFill>
                        <w14:solidFill>
                          <w14:schemeClr w14:val="tx1"/>
                        </w14:solidFill>
                      </w14:textFill>
                    </w:rPr>
                    <w:t>，</w:t>
                  </w:r>
                  <w:r>
                    <w:rPr>
                      <w:rFonts w:hint="eastAsia"/>
                      <w:b w:val="0"/>
                      <w:color w:val="000000" w:themeColor="text1"/>
                      <w14:textFill>
                        <w14:solidFill>
                          <w14:schemeClr w14:val="tx1"/>
                        </w14:solidFill>
                      </w14:textFill>
                    </w:rPr>
                    <w:t>三</w:t>
                  </w:r>
                  <w:r>
                    <w:rPr>
                      <w:b w:val="0"/>
                      <w:color w:val="000000" w:themeColor="text1"/>
                      <w14:textFill>
                        <w14:solidFill>
                          <w14:schemeClr w14:val="tx1"/>
                        </w14:solidFill>
                      </w14:textFill>
                    </w:rPr>
                    <w:t>、四层</w:t>
                  </w:r>
                  <w:r>
                    <w:rPr>
                      <w:rFonts w:hint="eastAsia"/>
                      <w:b w:val="0"/>
                      <w:color w:val="000000" w:themeColor="text1"/>
                      <w14:textFill>
                        <w14:solidFill>
                          <w14:schemeClr w14:val="tx1"/>
                        </w14:solidFill>
                      </w14:textFill>
                    </w:rPr>
                    <w:t>设</w:t>
                  </w:r>
                  <w:r>
                    <w:rPr>
                      <w:b w:val="0"/>
                      <w:color w:val="000000" w:themeColor="text1"/>
                      <w14:textFill>
                        <w14:solidFill>
                          <w14:schemeClr w14:val="tx1"/>
                        </w14:solidFill>
                      </w14:textFill>
                    </w:rPr>
                    <w:t>接待室、休息</w:t>
                  </w:r>
                  <w:r>
                    <w:rPr>
                      <w:rFonts w:hint="eastAsia"/>
                      <w:b w:val="0"/>
                      <w:color w:val="000000" w:themeColor="text1"/>
                      <w14:textFill>
                        <w14:solidFill>
                          <w14:schemeClr w14:val="tx1"/>
                        </w14:solidFill>
                      </w14:textFill>
                    </w:rPr>
                    <w:t>区。</w:t>
                  </w:r>
                </w:p>
              </w:tc>
              <w:tc>
                <w:tcPr>
                  <w:tcW w:w="1701" w:type="dxa"/>
                  <w:vAlign w:val="center"/>
                </w:tcPr>
                <w:p w14:paraId="776CDE1D">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c>
                <w:tcPr>
                  <w:tcW w:w="2144" w:type="dxa"/>
                  <w:vAlign w:val="center"/>
                </w:tcPr>
                <w:p w14:paraId="2691FDB1">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四层，高1</w:t>
                  </w:r>
                  <w:r>
                    <w:rPr>
                      <w:b w:val="0"/>
                      <w:color w:val="000000" w:themeColor="text1"/>
                      <w14:textFill>
                        <w14:solidFill>
                          <w14:schemeClr w14:val="tx1"/>
                        </w14:solidFill>
                      </w14:textFill>
                    </w:rPr>
                    <w:t>2m，</w:t>
                  </w:r>
                  <w:r>
                    <w:rPr>
                      <w:rFonts w:hint="eastAsia"/>
                      <w:b w:val="0"/>
                      <w:color w:val="000000" w:themeColor="text1"/>
                      <w14:textFill>
                        <w14:solidFill>
                          <w14:schemeClr w14:val="tx1"/>
                        </w14:solidFill>
                      </w14:textFill>
                    </w:rPr>
                    <w:t>建筑面积1471.24m</w:t>
                  </w:r>
                  <w:r>
                    <w:rPr>
                      <w:rFonts w:hint="eastAsia"/>
                      <w:b w:val="0"/>
                      <w:color w:val="000000" w:themeColor="text1"/>
                      <w:vertAlign w:val="superscript"/>
                      <w14:textFill>
                        <w14:solidFill>
                          <w14:schemeClr w14:val="tx1"/>
                        </w14:solidFill>
                      </w14:textFill>
                    </w:rPr>
                    <w:t>2</w:t>
                  </w:r>
                  <w:r>
                    <w:rPr>
                      <w:rFonts w:hint="eastAsia"/>
                      <w:b w:val="0"/>
                      <w:color w:val="000000" w:themeColor="text1"/>
                      <w14:textFill>
                        <w14:solidFill>
                          <w14:schemeClr w14:val="tx1"/>
                        </w14:solidFill>
                      </w14:textFill>
                    </w:rPr>
                    <w:t>，</w:t>
                  </w:r>
                  <w:r>
                    <w:rPr>
                      <w:b w:val="0"/>
                      <w:color w:val="000000" w:themeColor="text1"/>
                      <w14:textFill>
                        <w14:solidFill>
                          <w14:schemeClr w14:val="tx1"/>
                        </w14:solidFill>
                      </w14:textFill>
                    </w:rPr>
                    <w:t>一、二层设办公区，三、四</w:t>
                  </w:r>
                  <w:r>
                    <w:rPr>
                      <w:rFonts w:hint="eastAsia"/>
                      <w:b w:val="0"/>
                      <w:color w:val="000000" w:themeColor="text1"/>
                      <w14:textFill>
                        <w14:solidFill>
                          <w14:schemeClr w14:val="tx1"/>
                        </w14:solidFill>
                      </w14:textFill>
                    </w:rPr>
                    <w:t>层</w:t>
                  </w:r>
                  <w:r>
                    <w:rPr>
                      <w:b w:val="0"/>
                      <w:color w:val="000000" w:themeColor="text1"/>
                      <w14:textFill>
                        <w14:solidFill>
                          <w14:schemeClr w14:val="tx1"/>
                        </w14:solidFill>
                      </w14:textFill>
                    </w:rPr>
                    <w:t>设接待室、休息</w:t>
                  </w:r>
                  <w:r>
                    <w:rPr>
                      <w:rFonts w:hint="eastAsia"/>
                      <w:b w:val="0"/>
                      <w:color w:val="000000" w:themeColor="text1"/>
                      <w14:textFill>
                        <w14:solidFill>
                          <w14:schemeClr w14:val="tx1"/>
                        </w14:solidFill>
                      </w14:textFill>
                    </w:rPr>
                    <w:t>区</w:t>
                  </w:r>
                  <w:r>
                    <w:rPr>
                      <w:b w:val="0"/>
                      <w:color w:val="000000" w:themeColor="text1"/>
                      <w14:textFill>
                        <w14:solidFill>
                          <w14:schemeClr w14:val="tx1"/>
                        </w14:solidFill>
                      </w14:textFill>
                    </w:rPr>
                    <w:t>。</w:t>
                  </w:r>
                </w:p>
              </w:tc>
            </w:tr>
            <w:tr w14:paraId="729D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570D2AFC">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储运工程</w:t>
                  </w:r>
                </w:p>
              </w:tc>
              <w:tc>
                <w:tcPr>
                  <w:tcW w:w="709" w:type="dxa"/>
                  <w:vAlign w:val="center"/>
                </w:tcPr>
                <w:p w14:paraId="2F36F02C">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仓库</w:t>
                  </w:r>
                </w:p>
              </w:tc>
              <w:tc>
                <w:tcPr>
                  <w:tcW w:w="2268" w:type="dxa"/>
                  <w:vAlign w:val="center"/>
                </w:tcPr>
                <w:p w14:paraId="69A88DAA">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原料仓库位于生产厂房内，建筑面积2</w:t>
                  </w:r>
                  <w:r>
                    <w:rPr>
                      <w:b w:val="0"/>
                      <w:color w:val="000000" w:themeColor="text1"/>
                      <w14:textFill>
                        <w14:solidFill>
                          <w14:schemeClr w14:val="tx1"/>
                        </w14:solidFill>
                      </w14:textFill>
                    </w:rPr>
                    <w:t>00m</w:t>
                  </w:r>
                  <w:r>
                    <w:rPr>
                      <w:b w:val="0"/>
                      <w:color w:val="000000" w:themeColor="text1"/>
                      <w:vertAlign w:val="superscript"/>
                      <w14:textFill>
                        <w14:solidFill>
                          <w14:schemeClr w14:val="tx1"/>
                        </w14:solidFill>
                      </w14:textFill>
                    </w:rPr>
                    <w:t>2</w:t>
                  </w:r>
                  <w:r>
                    <w:rPr>
                      <w:b w:val="0"/>
                      <w:color w:val="000000" w:themeColor="text1"/>
                      <w14:textFill>
                        <w14:solidFill>
                          <w14:schemeClr w14:val="tx1"/>
                        </w14:solidFill>
                      </w14:textFill>
                    </w:rPr>
                    <w:t>。</w:t>
                  </w:r>
                </w:p>
              </w:tc>
              <w:tc>
                <w:tcPr>
                  <w:tcW w:w="1701" w:type="dxa"/>
                  <w:vAlign w:val="center"/>
                </w:tcPr>
                <w:p w14:paraId="024FB01E">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依托现有原料仓库</w:t>
                  </w:r>
                </w:p>
              </w:tc>
              <w:tc>
                <w:tcPr>
                  <w:tcW w:w="2144" w:type="dxa"/>
                  <w:vAlign w:val="center"/>
                </w:tcPr>
                <w:p w14:paraId="46241DF4">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原料仓库位于生产厂房内，建筑面积200m</w:t>
                  </w:r>
                  <w:r>
                    <w:rPr>
                      <w:rFonts w:hint="eastAsia"/>
                      <w:b w:val="0"/>
                      <w:color w:val="000000" w:themeColor="text1"/>
                      <w:vertAlign w:val="superscript"/>
                      <w14:textFill>
                        <w14:solidFill>
                          <w14:schemeClr w14:val="tx1"/>
                        </w14:solidFill>
                      </w14:textFill>
                    </w:rPr>
                    <w:t>2</w:t>
                  </w:r>
                  <w:r>
                    <w:rPr>
                      <w:rFonts w:hint="eastAsia"/>
                      <w:b w:val="0"/>
                      <w:color w:val="000000" w:themeColor="text1"/>
                      <w14:textFill>
                        <w14:solidFill>
                          <w14:schemeClr w14:val="tx1"/>
                        </w14:solidFill>
                      </w14:textFill>
                    </w:rPr>
                    <w:t>。</w:t>
                  </w:r>
                </w:p>
              </w:tc>
            </w:tr>
            <w:tr w14:paraId="05AC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restart"/>
                  <w:vAlign w:val="center"/>
                </w:tcPr>
                <w:p w14:paraId="6DA56CEC">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环保设施</w:t>
                  </w:r>
                </w:p>
              </w:tc>
              <w:tc>
                <w:tcPr>
                  <w:tcW w:w="709" w:type="dxa"/>
                  <w:vMerge w:val="restart"/>
                  <w:vAlign w:val="center"/>
                </w:tcPr>
                <w:p w14:paraId="7E5094B0">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废气治理设施</w:t>
                  </w:r>
                </w:p>
              </w:tc>
              <w:tc>
                <w:tcPr>
                  <w:tcW w:w="2268" w:type="dxa"/>
                  <w:vAlign w:val="center"/>
                </w:tcPr>
                <w:p w14:paraId="746526FC">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造型、</w:t>
                  </w:r>
                  <w:r>
                    <w:rPr>
                      <w:rFonts w:hint="eastAsia"/>
                      <w:b w:val="0"/>
                      <w:color w:val="000000" w:themeColor="text1"/>
                      <w14:textFill>
                        <w14:solidFill>
                          <w14:schemeClr w14:val="tx1"/>
                        </w14:solidFill>
                      </w14:textFill>
                    </w:rPr>
                    <w:t>浇注废气</w:t>
                  </w:r>
                  <w:r>
                    <w:rPr>
                      <w:b w:val="0"/>
                      <w:color w:val="000000" w:themeColor="text1"/>
                      <w14:textFill>
                        <w14:solidFill>
                          <w14:schemeClr w14:val="tx1"/>
                        </w14:solidFill>
                      </w14:textFill>
                    </w:rPr>
                    <w:t>、熔炼废气经</w:t>
                  </w:r>
                  <w:r>
                    <w:rPr>
                      <w:rFonts w:hint="eastAsia"/>
                      <w:b w:val="0"/>
                      <w:color w:val="000000" w:themeColor="text1"/>
                      <w14:textFill>
                        <w14:solidFill>
                          <w14:schemeClr w14:val="tx1"/>
                        </w14:solidFill>
                      </w14:textFill>
                    </w:rPr>
                    <w:t>1套布袋除尘器处理后与经过二级布袋除尘器处理后的砂处理废气一同通过过1</w:t>
                  </w:r>
                  <w:r>
                    <w:rPr>
                      <w:b w:val="0"/>
                      <w:color w:val="000000" w:themeColor="text1"/>
                      <w14:textFill>
                        <w14:solidFill>
                          <w14:schemeClr w14:val="tx1"/>
                        </w14:solidFill>
                      </w14:textFill>
                    </w:rPr>
                    <w:t>5m高排气筒</w:t>
                  </w:r>
                  <w:r>
                    <w:rPr>
                      <w:rFonts w:hint="eastAsia"/>
                      <w:b w:val="0"/>
                      <w:color w:val="000000" w:themeColor="text1"/>
                      <w14:textFill>
                        <w14:solidFill>
                          <w14:schemeClr w14:val="tx1"/>
                        </w14:solidFill>
                      </w14:textFill>
                    </w:rPr>
                    <w:t>D</w:t>
                  </w:r>
                  <w:r>
                    <w:rPr>
                      <w:b w:val="0"/>
                      <w:color w:val="000000" w:themeColor="text1"/>
                      <w14:textFill>
                        <w14:solidFill>
                          <w14:schemeClr w14:val="tx1"/>
                        </w14:solidFill>
                      </w14:textFill>
                    </w:rPr>
                    <w:t>A001高空排放；</w:t>
                  </w:r>
                </w:p>
              </w:tc>
              <w:tc>
                <w:tcPr>
                  <w:tcW w:w="1701" w:type="dxa"/>
                  <w:vAlign w:val="center"/>
                </w:tcPr>
                <w:p w14:paraId="679585E9">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c>
                <w:tcPr>
                  <w:tcW w:w="2144" w:type="dxa"/>
                  <w:vAlign w:val="center"/>
                </w:tcPr>
                <w:p w14:paraId="6E3F18EE">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造型、浇注废气、熔炼废气经1套布袋除尘器处理后与经过二级布袋除尘器处理后的砂处理废气一同通过过15m高排气筒</w:t>
                  </w:r>
                  <w:r>
                    <w:rPr>
                      <w:b w:val="0"/>
                      <w:color w:val="000000" w:themeColor="text1"/>
                      <w14:textFill>
                        <w14:solidFill>
                          <w14:schemeClr w14:val="tx1"/>
                        </w14:solidFill>
                      </w14:textFill>
                    </w:rPr>
                    <w:t>DA001</w:t>
                  </w:r>
                  <w:r>
                    <w:rPr>
                      <w:rFonts w:hint="eastAsia"/>
                      <w:b w:val="0"/>
                      <w:color w:val="000000" w:themeColor="text1"/>
                      <w14:textFill>
                        <w14:solidFill>
                          <w14:schemeClr w14:val="tx1"/>
                        </w14:solidFill>
                      </w14:textFill>
                    </w:rPr>
                    <w:t>高空排放；</w:t>
                  </w:r>
                </w:p>
              </w:tc>
            </w:tr>
            <w:tr w14:paraId="2044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continue"/>
                  <w:vAlign w:val="center"/>
                </w:tcPr>
                <w:p w14:paraId="26DAD522">
                  <w:pPr>
                    <w:pStyle w:val="71"/>
                    <w:rPr>
                      <w:b w:val="0"/>
                      <w:color w:val="000000" w:themeColor="text1"/>
                      <w14:textFill>
                        <w14:solidFill>
                          <w14:schemeClr w14:val="tx1"/>
                        </w14:solidFill>
                      </w14:textFill>
                    </w:rPr>
                  </w:pPr>
                </w:p>
              </w:tc>
              <w:tc>
                <w:tcPr>
                  <w:tcW w:w="709" w:type="dxa"/>
                  <w:vMerge w:val="continue"/>
                  <w:vAlign w:val="center"/>
                </w:tcPr>
                <w:p w14:paraId="342F3B5D">
                  <w:pPr>
                    <w:pStyle w:val="71"/>
                    <w:rPr>
                      <w:b w:val="0"/>
                      <w:color w:val="000000" w:themeColor="text1"/>
                      <w14:textFill>
                        <w14:solidFill>
                          <w14:schemeClr w14:val="tx1"/>
                        </w14:solidFill>
                      </w14:textFill>
                    </w:rPr>
                  </w:pPr>
                </w:p>
              </w:tc>
              <w:tc>
                <w:tcPr>
                  <w:tcW w:w="2268" w:type="dxa"/>
                  <w:vAlign w:val="center"/>
                </w:tcPr>
                <w:p w14:paraId="1305399A">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打磨废气通过密闭罩收集后，经过二级布袋除尘器处理后同经过布袋除尘器处理后的</w:t>
                  </w:r>
                  <w:r>
                    <w:rPr>
                      <w:b w:val="0"/>
                      <w:color w:val="000000" w:themeColor="text1"/>
                      <w14:textFill>
                        <w14:solidFill>
                          <w14:schemeClr w14:val="tx1"/>
                        </w14:solidFill>
                      </w14:textFill>
                    </w:rPr>
                    <w:t>落砂废气一同</w:t>
                  </w:r>
                  <w:r>
                    <w:rPr>
                      <w:rFonts w:hint="eastAsia"/>
                      <w:b w:val="0"/>
                      <w:color w:val="000000" w:themeColor="text1"/>
                      <w14:textFill>
                        <w14:solidFill>
                          <w14:schemeClr w14:val="tx1"/>
                        </w14:solidFill>
                      </w14:textFill>
                    </w:rPr>
                    <w:t>通过1</w:t>
                  </w:r>
                  <w:r>
                    <w:rPr>
                      <w:b w:val="0"/>
                      <w:color w:val="000000" w:themeColor="text1"/>
                      <w14:textFill>
                        <w14:solidFill>
                          <w14:schemeClr w14:val="tx1"/>
                        </w14:solidFill>
                      </w14:textFill>
                    </w:rPr>
                    <w:t>5m高排气筒</w:t>
                  </w:r>
                  <w:r>
                    <w:rPr>
                      <w:rFonts w:hint="eastAsia"/>
                      <w:b w:val="0"/>
                      <w:color w:val="000000" w:themeColor="text1"/>
                      <w14:textFill>
                        <w14:solidFill>
                          <w14:schemeClr w14:val="tx1"/>
                        </w14:solidFill>
                      </w14:textFill>
                    </w:rPr>
                    <w:t>D</w:t>
                  </w:r>
                  <w:r>
                    <w:rPr>
                      <w:b w:val="0"/>
                      <w:color w:val="000000" w:themeColor="text1"/>
                      <w14:textFill>
                        <w14:solidFill>
                          <w14:schemeClr w14:val="tx1"/>
                        </w14:solidFill>
                      </w14:textFill>
                    </w:rPr>
                    <w:t>A002高空排放；</w:t>
                  </w:r>
                </w:p>
              </w:tc>
              <w:tc>
                <w:tcPr>
                  <w:tcW w:w="1701" w:type="dxa"/>
                  <w:vAlign w:val="center"/>
                </w:tcPr>
                <w:p w14:paraId="4A7F821E">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c>
                <w:tcPr>
                  <w:tcW w:w="2144" w:type="dxa"/>
                  <w:vAlign w:val="center"/>
                </w:tcPr>
                <w:p w14:paraId="18AF8315">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打磨废气通过密闭罩收集后，经过二级布袋除尘器处理后同经过布袋除尘器处理后的落砂废气一同通过15m高排气筒D</w:t>
                  </w:r>
                  <w:r>
                    <w:rPr>
                      <w:b w:val="0"/>
                      <w:color w:val="000000" w:themeColor="text1"/>
                      <w14:textFill>
                        <w14:solidFill>
                          <w14:schemeClr w14:val="tx1"/>
                        </w14:solidFill>
                      </w14:textFill>
                    </w:rPr>
                    <w:t>A002</w:t>
                  </w:r>
                  <w:r>
                    <w:rPr>
                      <w:rFonts w:hint="eastAsia"/>
                      <w:b w:val="0"/>
                      <w:color w:val="000000" w:themeColor="text1"/>
                      <w14:textFill>
                        <w14:solidFill>
                          <w14:schemeClr w14:val="tx1"/>
                        </w14:solidFill>
                      </w14:textFill>
                    </w:rPr>
                    <w:t>高空排放；</w:t>
                  </w:r>
                </w:p>
              </w:tc>
            </w:tr>
            <w:tr w14:paraId="2677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continue"/>
                  <w:vAlign w:val="center"/>
                </w:tcPr>
                <w:p w14:paraId="65F38CD3">
                  <w:pPr>
                    <w:pStyle w:val="71"/>
                    <w:rPr>
                      <w:b w:val="0"/>
                      <w:color w:val="000000" w:themeColor="text1"/>
                      <w14:textFill>
                        <w14:solidFill>
                          <w14:schemeClr w14:val="tx1"/>
                        </w14:solidFill>
                      </w14:textFill>
                    </w:rPr>
                  </w:pPr>
                </w:p>
              </w:tc>
              <w:tc>
                <w:tcPr>
                  <w:tcW w:w="709" w:type="dxa"/>
                  <w:vMerge w:val="continue"/>
                  <w:vAlign w:val="center"/>
                </w:tcPr>
                <w:p w14:paraId="4B6E69FF">
                  <w:pPr>
                    <w:pStyle w:val="71"/>
                    <w:rPr>
                      <w:b w:val="0"/>
                      <w:color w:val="000000" w:themeColor="text1"/>
                      <w14:textFill>
                        <w14:solidFill>
                          <w14:schemeClr w14:val="tx1"/>
                        </w14:solidFill>
                      </w14:textFill>
                    </w:rPr>
                  </w:pPr>
                </w:p>
              </w:tc>
              <w:tc>
                <w:tcPr>
                  <w:tcW w:w="2268" w:type="dxa"/>
                  <w:vAlign w:val="center"/>
                </w:tcPr>
                <w:p w14:paraId="65E53254">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抛丸粉尘经过密闭罩收集后经过1</w:t>
                  </w:r>
                  <w:r>
                    <w:rPr>
                      <w:rFonts w:hint="eastAsia"/>
                      <w:b w:val="0"/>
                      <w:color w:val="000000" w:themeColor="text1"/>
                      <w14:textFill>
                        <w14:solidFill>
                          <w14:schemeClr w14:val="tx1"/>
                        </w14:solidFill>
                      </w14:textFill>
                    </w:rPr>
                    <w:t>套</w:t>
                  </w:r>
                  <w:r>
                    <w:rPr>
                      <w:b w:val="0"/>
                      <w:color w:val="000000" w:themeColor="text1"/>
                      <w14:textFill>
                        <w14:solidFill>
                          <w14:schemeClr w14:val="tx1"/>
                        </w14:solidFill>
                      </w14:textFill>
                    </w:rPr>
                    <w:t>布袋除尘</w:t>
                  </w:r>
                  <w:r>
                    <w:rPr>
                      <w:rFonts w:hint="eastAsia"/>
                      <w:b w:val="0"/>
                      <w:color w:val="000000" w:themeColor="text1"/>
                      <w14:textFill>
                        <w14:solidFill>
                          <w14:schemeClr w14:val="tx1"/>
                        </w14:solidFill>
                      </w14:textFill>
                    </w:rPr>
                    <w:t>后经过</w:t>
                  </w:r>
                  <w:r>
                    <w:rPr>
                      <w:b w:val="0"/>
                      <w:color w:val="000000" w:themeColor="text1"/>
                      <w14:textFill>
                        <w14:solidFill>
                          <w14:schemeClr w14:val="tx1"/>
                        </w14:solidFill>
                      </w14:textFill>
                    </w:rPr>
                    <w:t>15m排气筒</w:t>
                  </w:r>
                  <w:r>
                    <w:rPr>
                      <w:rFonts w:hint="eastAsia"/>
                      <w:b w:val="0"/>
                      <w:color w:val="000000" w:themeColor="text1"/>
                      <w14:textFill>
                        <w14:solidFill>
                          <w14:schemeClr w14:val="tx1"/>
                        </w14:solidFill>
                      </w14:textFill>
                    </w:rPr>
                    <w:t>D</w:t>
                  </w:r>
                  <w:r>
                    <w:rPr>
                      <w:b w:val="0"/>
                      <w:color w:val="000000" w:themeColor="text1"/>
                      <w14:textFill>
                        <w14:solidFill>
                          <w14:schemeClr w14:val="tx1"/>
                        </w14:solidFill>
                      </w14:textFill>
                    </w:rPr>
                    <w:t>A003高空排放</w:t>
                  </w:r>
                </w:p>
              </w:tc>
              <w:tc>
                <w:tcPr>
                  <w:tcW w:w="1701" w:type="dxa"/>
                  <w:vAlign w:val="center"/>
                </w:tcPr>
                <w:p w14:paraId="24C8A06D">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c>
                <w:tcPr>
                  <w:tcW w:w="2144" w:type="dxa"/>
                  <w:vAlign w:val="center"/>
                </w:tcPr>
                <w:p w14:paraId="3FBF3C41">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抛丸粉尘经过密闭罩收集后经过1套布袋除尘经过15m排气筒D</w:t>
                  </w:r>
                  <w:r>
                    <w:rPr>
                      <w:b w:val="0"/>
                      <w:color w:val="000000" w:themeColor="text1"/>
                      <w14:textFill>
                        <w14:solidFill>
                          <w14:schemeClr w14:val="tx1"/>
                        </w14:solidFill>
                      </w14:textFill>
                    </w:rPr>
                    <w:t>A003</w:t>
                  </w:r>
                  <w:r>
                    <w:rPr>
                      <w:rFonts w:hint="eastAsia"/>
                      <w:b w:val="0"/>
                      <w:color w:val="000000" w:themeColor="text1"/>
                      <w14:textFill>
                        <w14:solidFill>
                          <w14:schemeClr w14:val="tx1"/>
                        </w14:solidFill>
                      </w14:textFill>
                    </w:rPr>
                    <w:t>高空排放</w:t>
                  </w:r>
                </w:p>
              </w:tc>
            </w:tr>
            <w:tr w14:paraId="7829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continue"/>
                  <w:vAlign w:val="center"/>
                </w:tcPr>
                <w:p w14:paraId="1790EE81">
                  <w:pPr>
                    <w:pStyle w:val="71"/>
                    <w:rPr>
                      <w:b w:val="0"/>
                      <w:color w:val="000000" w:themeColor="text1"/>
                      <w14:textFill>
                        <w14:solidFill>
                          <w14:schemeClr w14:val="tx1"/>
                        </w14:solidFill>
                      </w14:textFill>
                    </w:rPr>
                  </w:pPr>
                </w:p>
              </w:tc>
              <w:tc>
                <w:tcPr>
                  <w:tcW w:w="709" w:type="dxa"/>
                  <w:vMerge w:val="continue"/>
                  <w:vAlign w:val="center"/>
                </w:tcPr>
                <w:p w14:paraId="2E1A86CF">
                  <w:pPr>
                    <w:pStyle w:val="71"/>
                    <w:rPr>
                      <w:b w:val="0"/>
                      <w:color w:val="000000" w:themeColor="text1"/>
                      <w14:textFill>
                        <w14:solidFill>
                          <w14:schemeClr w14:val="tx1"/>
                        </w14:solidFill>
                      </w14:textFill>
                    </w:rPr>
                  </w:pPr>
                </w:p>
              </w:tc>
              <w:tc>
                <w:tcPr>
                  <w:tcW w:w="2268" w:type="dxa"/>
                  <w:vAlign w:val="center"/>
                </w:tcPr>
                <w:p w14:paraId="4AB272AA">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c>
                <w:tcPr>
                  <w:tcW w:w="1701" w:type="dxa"/>
                  <w:vAlign w:val="center"/>
                </w:tcPr>
                <w:p w14:paraId="3AE5B7D4">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抛丸工序产生的粉尘经抛丸设备自带的布袋除尘处理后汇同经集气罩收集后由布袋布袋除尘器处理后的制孔废气通过15m排气筒（D</w:t>
                  </w:r>
                  <w:r>
                    <w:rPr>
                      <w:b w:val="0"/>
                      <w:color w:val="000000" w:themeColor="text1"/>
                      <w14:textFill>
                        <w14:solidFill>
                          <w14:schemeClr w14:val="tx1"/>
                        </w14:solidFill>
                      </w14:textFill>
                    </w:rPr>
                    <w:t>A004</w:t>
                  </w:r>
                  <w:r>
                    <w:rPr>
                      <w:rFonts w:hint="eastAsia"/>
                      <w:b w:val="0"/>
                      <w:color w:val="000000" w:themeColor="text1"/>
                      <w14:textFill>
                        <w14:solidFill>
                          <w14:schemeClr w14:val="tx1"/>
                        </w14:solidFill>
                      </w14:textFill>
                    </w:rPr>
                    <w:t>）高空排放。</w:t>
                  </w:r>
                </w:p>
              </w:tc>
              <w:tc>
                <w:tcPr>
                  <w:tcW w:w="2144" w:type="dxa"/>
                  <w:vAlign w:val="center"/>
                </w:tcPr>
                <w:p w14:paraId="19CA1237">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抛丸工序产生的粉尘经抛丸设备自带的布袋除尘处理后汇同经集气罩收集后由布袋布袋除尘器处理后的制孔废气通过15m排气筒</w:t>
                  </w:r>
                  <w:r>
                    <w:rPr>
                      <w:rFonts w:hint="eastAsia"/>
                      <w:b w:val="0"/>
                      <w:color w:val="000000" w:themeColor="text1"/>
                      <w:lang w:eastAsia="zh-CN"/>
                      <w14:textFill>
                        <w14:solidFill>
                          <w14:schemeClr w14:val="tx1"/>
                        </w14:solidFill>
                      </w14:textFill>
                    </w:rPr>
                    <w:t>（</w:t>
                  </w:r>
                  <w:r>
                    <w:rPr>
                      <w:b w:val="0"/>
                      <w:color w:val="000000" w:themeColor="text1"/>
                      <w14:textFill>
                        <w14:solidFill>
                          <w14:schemeClr w14:val="tx1"/>
                        </w14:solidFill>
                      </w14:textFill>
                    </w:rPr>
                    <w:t>DA004</w:t>
                  </w:r>
                  <w:r>
                    <w:rPr>
                      <w:rFonts w:hint="eastAsia"/>
                      <w:b w:val="0"/>
                      <w:color w:val="000000" w:themeColor="text1"/>
                      <w:lang w:eastAsia="zh-CN"/>
                      <w14:textFill>
                        <w14:solidFill>
                          <w14:schemeClr w14:val="tx1"/>
                        </w14:solidFill>
                      </w14:textFill>
                    </w:rPr>
                    <w:t>）</w:t>
                  </w:r>
                  <w:r>
                    <w:rPr>
                      <w:rFonts w:hint="eastAsia"/>
                      <w:b w:val="0"/>
                      <w:color w:val="000000" w:themeColor="text1"/>
                      <w14:textFill>
                        <w14:solidFill>
                          <w14:schemeClr w14:val="tx1"/>
                        </w14:solidFill>
                      </w14:textFill>
                    </w:rPr>
                    <w:t>高空排放。</w:t>
                  </w:r>
                </w:p>
              </w:tc>
            </w:tr>
            <w:tr w14:paraId="6CD7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continue"/>
                  <w:vAlign w:val="center"/>
                </w:tcPr>
                <w:p w14:paraId="2761DCAF">
                  <w:pPr>
                    <w:pStyle w:val="71"/>
                    <w:rPr>
                      <w:b w:val="0"/>
                      <w:color w:val="000000" w:themeColor="text1"/>
                      <w14:textFill>
                        <w14:solidFill>
                          <w14:schemeClr w14:val="tx1"/>
                        </w14:solidFill>
                      </w14:textFill>
                    </w:rPr>
                  </w:pPr>
                </w:p>
              </w:tc>
              <w:tc>
                <w:tcPr>
                  <w:tcW w:w="709" w:type="dxa"/>
                  <w:vMerge w:val="continue"/>
                  <w:vAlign w:val="center"/>
                </w:tcPr>
                <w:p w14:paraId="705BE868">
                  <w:pPr>
                    <w:pStyle w:val="71"/>
                    <w:rPr>
                      <w:b w:val="0"/>
                      <w:color w:val="000000" w:themeColor="text1"/>
                      <w14:textFill>
                        <w14:solidFill>
                          <w14:schemeClr w14:val="tx1"/>
                        </w14:solidFill>
                      </w14:textFill>
                    </w:rPr>
                  </w:pPr>
                </w:p>
              </w:tc>
              <w:tc>
                <w:tcPr>
                  <w:tcW w:w="2268" w:type="dxa"/>
                  <w:vAlign w:val="center"/>
                </w:tcPr>
                <w:p w14:paraId="10EFDEE3">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c>
                <w:tcPr>
                  <w:tcW w:w="1701" w:type="dxa"/>
                  <w:vAlign w:val="center"/>
                </w:tcPr>
                <w:p w14:paraId="5D465CBE">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喷漆产生的废气经</w:t>
                  </w:r>
                  <w:r>
                    <w:rPr>
                      <w:rFonts w:hint="eastAsia"/>
                      <w:b w:val="0"/>
                      <w:color w:val="000000" w:themeColor="text1"/>
                      <w:lang w:val="en-US" w:eastAsia="zh-CN"/>
                      <w14:textFill>
                        <w14:solidFill>
                          <w14:schemeClr w14:val="tx1"/>
                        </w14:solidFill>
                      </w14:textFill>
                    </w:rPr>
                    <w:t>水喷淋+干式过滤器</w:t>
                  </w:r>
                  <w:r>
                    <w:rPr>
                      <w:rFonts w:hint="eastAsia"/>
                      <w:b w:val="0"/>
                      <w:color w:val="000000" w:themeColor="text1"/>
                      <w14:textFill>
                        <w14:solidFill>
                          <w14:schemeClr w14:val="tx1"/>
                        </w14:solidFill>
                      </w14:textFill>
                    </w:rPr>
                    <w:t>预处理后汇同刷胶、浇注、烘干、脱模工序产生的有机废气经过</w:t>
                  </w:r>
                  <w:r>
                    <w:rPr>
                      <w:rFonts w:hint="eastAsia"/>
                      <w:b w:val="0"/>
                      <w:color w:val="000000" w:themeColor="text1"/>
                      <w:lang w:val="en-US" w:eastAsia="zh-CN"/>
                      <w14:textFill>
                        <w14:solidFill>
                          <w14:schemeClr w14:val="tx1"/>
                        </w14:solidFill>
                      </w14:textFill>
                    </w:rPr>
                    <w:t>二级活性炭吸附</w:t>
                  </w:r>
                  <w:r>
                    <w:rPr>
                      <w:rFonts w:hint="eastAsia"/>
                      <w:b w:val="0"/>
                      <w:color w:val="000000" w:themeColor="text1"/>
                      <w14:textFill>
                        <w14:solidFill>
                          <w14:schemeClr w14:val="tx1"/>
                        </w14:solidFill>
                      </w14:textFill>
                    </w:rPr>
                    <w:t>处理装置处理后由15m高排气筒（D</w:t>
                  </w:r>
                  <w:r>
                    <w:rPr>
                      <w:b w:val="0"/>
                      <w:color w:val="000000" w:themeColor="text1"/>
                      <w14:textFill>
                        <w14:solidFill>
                          <w14:schemeClr w14:val="tx1"/>
                        </w14:solidFill>
                      </w14:textFill>
                    </w:rPr>
                    <w:t>A005</w:t>
                  </w:r>
                  <w:r>
                    <w:rPr>
                      <w:rFonts w:hint="eastAsia"/>
                      <w:b w:val="0"/>
                      <w:color w:val="000000" w:themeColor="text1"/>
                      <w14:textFill>
                        <w14:solidFill>
                          <w14:schemeClr w14:val="tx1"/>
                        </w14:solidFill>
                      </w14:textFill>
                    </w:rPr>
                    <w:t>）排放。</w:t>
                  </w:r>
                </w:p>
              </w:tc>
              <w:tc>
                <w:tcPr>
                  <w:tcW w:w="2144" w:type="dxa"/>
                  <w:vAlign w:val="center"/>
                </w:tcPr>
                <w:p w14:paraId="6F60BA4A">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喷漆产生的废气经</w:t>
                  </w:r>
                  <w:r>
                    <w:rPr>
                      <w:rFonts w:hint="eastAsia"/>
                      <w:b w:val="0"/>
                      <w:color w:val="000000" w:themeColor="text1"/>
                      <w:lang w:val="en-US" w:eastAsia="zh-CN"/>
                      <w14:textFill>
                        <w14:solidFill>
                          <w14:schemeClr w14:val="tx1"/>
                        </w14:solidFill>
                      </w14:textFill>
                    </w:rPr>
                    <w:t>水喷淋+干式过滤器</w:t>
                  </w:r>
                  <w:r>
                    <w:rPr>
                      <w:rFonts w:hint="eastAsia"/>
                      <w:b w:val="0"/>
                      <w:color w:val="000000" w:themeColor="text1"/>
                      <w14:textFill>
                        <w14:solidFill>
                          <w14:schemeClr w14:val="tx1"/>
                        </w14:solidFill>
                      </w14:textFill>
                    </w:rPr>
                    <w:t>预处理后汇同刷胶、浇注、烘干、脱模工序产生的有机废气经过</w:t>
                  </w:r>
                  <w:r>
                    <w:rPr>
                      <w:rFonts w:hint="eastAsia"/>
                      <w:b w:val="0"/>
                      <w:color w:val="000000" w:themeColor="text1"/>
                      <w:lang w:val="en-US" w:eastAsia="zh-CN"/>
                      <w14:textFill>
                        <w14:solidFill>
                          <w14:schemeClr w14:val="tx1"/>
                        </w14:solidFill>
                      </w14:textFill>
                    </w:rPr>
                    <w:t>二级活性炭吸附</w:t>
                  </w:r>
                  <w:r>
                    <w:rPr>
                      <w:rFonts w:hint="eastAsia"/>
                      <w:b w:val="0"/>
                      <w:color w:val="000000" w:themeColor="text1"/>
                      <w14:textFill>
                        <w14:solidFill>
                          <w14:schemeClr w14:val="tx1"/>
                        </w14:solidFill>
                      </w14:textFill>
                    </w:rPr>
                    <w:t>处理装置处理后由15m高排气筒（D</w:t>
                  </w:r>
                  <w:r>
                    <w:rPr>
                      <w:b w:val="0"/>
                      <w:color w:val="000000" w:themeColor="text1"/>
                      <w14:textFill>
                        <w14:solidFill>
                          <w14:schemeClr w14:val="tx1"/>
                        </w14:solidFill>
                      </w14:textFill>
                    </w:rPr>
                    <w:t>A005</w:t>
                  </w:r>
                  <w:r>
                    <w:rPr>
                      <w:rFonts w:hint="eastAsia"/>
                      <w:b w:val="0"/>
                      <w:color w:val="000000" w:themeColor="text1"/>
                      <w14:textFill>
                        <w14:solidFill>
                          <w14:schemeClr w14:val="tx1"/>
                        </w14:solidFill>
                      </w14:textFill>
                    </w:rPr>
                    <w:t>）排放。</w:t>
                  </w:r>
                </w:p>
              </w:tc>
            </w:tr>
            <w:tr w14:paraId="2A19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continue"/>
                  <w:vAlign w:val="center"/>
                </w:tcPr>
                <w:p w14:paraId="78458E08">
                  <w:pPr>
                    <w:pStyle w:val="71"/>
                    <w:rPr>
                      <w:b w:val="0"/>
                      <w:color w:val="000000" w:themeColor="text1"/>
                      <w14:textFill>
                        <w14:solidFill>
                          <w14:schemeClr w14:val="tx1"/>
                        </w14:solidFill>
                      </w14:textFill>
                    </w:rPr>
                  </w:pPr>
                </w:p>
              </w:tc>
              <w:tc>
                <w:tcPr>
                  <w:tcW w:w="709" w:type="dxa"/>
                  <w:vAlign w:val="center"/>
                </w:tcPr>
                <w:p w14:paraId="1F66D3D3">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废水处理设施</w:t>
                  </w:r>
                </w:p>
              </w:tc>
              <w:tc>
                <w:tcPr>
                  <w:tcW w:w="2268" w:type="dxa"/>
                  <w:vAlign w:val="center"/>
                </w:tcPr>
                <w:p w14:paraId="46D91680">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三级化粪池</w:t>
                  </w:r>
                </w:p>
              </w:tc>
              <w:tc>
                <w:tcPr>
                  <w:tcW w:w="1701" w:type="dxa"/>
                  <w:vAlign w:val="center"/>
                </w:tcPr>
                <w:p w14:paraId="114105F8">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间接冷却更换水汇同经三级化粪池预处理后的生活污水接入园区污水管网，由园区污水处理厂处理。</w:t>
                  </w:r>
                </w:p>
              </w:tc>
              <w:tc>
                <w:tcPr>
                  <w:tcW w:w="2144" w:type="dxa"/>
                  <w:vAlign w:val="center"/>
                </w:tcPr>
                <w:p w14:paraId="068EA9EE">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间接冷却更换水汇同经三级化粪池预处理后的生活污水接入园区污水管网，由园区污水处理厂处理。</w:t>
                  </w:r>
                </w:p>
              </w:tc>
            </w:tr>
            <w:tr w14:paraId="16C8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continue"/>
                  <w:vAlign w:val="center"/>
                </w:tcPr>
                <w:p w14:paraId="33B6CE2B">
                  <w:pPr>
                    <w:pStyle w:val="71"/>
                    <w:rPr>
                      <w:b w:val="0"/>
                      <w:color w:val="000000" w:themeColor="text1"/>
                      <w14:textFill>
                        <w14:solidFill>
                          <w14:schemeClr w14:val="tx1"/>
                        </w14:solidFill>
                      </w14:textFill>
                    </w:rPr>
                  </w:pPr>
                </w:p>
              </w:tc>
              <w:tc>
                <w:tcPr>
                  <w:tcW w:w="709" w:type="dxa"/>
                  <w:vAlign w:val="center"/>
                </w:tcPr>
                <w:p w14:paraId="071006A4">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噪声防治措施</w:t>
                  </w:r>
                </w:p>
              </w:tc>
              <w:tc>
                <w:tcPr>
                  <w:tcW w:w="2268" w:type="dxa"/>
                  <w:vAlign w:val="center"/>
                </w:tcPr>
                <w:p w14:paraId="0CDB6BD7">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消声、减震、隔声等措施</w:t>
                  </w:r>
                </w:p>
              </w:tc>
              <w:tc>
                <w:tcPr>
                  <w:tcW w:w="1701" w:type="dxa"/>
                  <w:vAlign w:val="center"/>
                </w:tcPr>
                <w:p w14:paraId="58C4DBAA">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消声、减震、隔声等措施</w:t>
                  </w:r>
                </w:p>
              </w:tc>
              <w:tc>
                <w:tcPr>
                  <w:tcW w:w="2144" w:type="dxa"/>
                  <w:vAlign w:val="center"/>
                </w:tcPr>
                <w:p w14:paraId="132BEA51">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消声、减震、隔声等措施</w:t>
                  </w:r>
                </w:p>
              </w:tc>
            </w:tr>
            <w:tr w14:paraId="1C2E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continue"/>
                  <w:vAlign w:val="center"/>
                </w:tcPr>
                <w:p w14:paraId="73EBB1AC">
                  <w:pPr>
                    <w:pStyle w:val="71"/>
                    <w:rPr>
                      <w:b w:val="0"/>
                      <w:color w:val="000000" w:themeColor="text1"/>
                      <w14:textFill>
                        <w14:solidFill>
                          <w14:schemeClr w14:val="tx1"/>
                        </w14:solidFill>
                      </w14:textFill>
                    </w:rPr>
                  </w:pPr>
                </w:p>
              </w:tc>
              <w:tc>
                <w:tcPr>
                  <w:tcW w:w="709" w:type="dxa"/>
                  <w:vMerge w:val="restart"/>
                  <w:vAlign w:val="center"/>
                </w:tcPr>
                <w:p w14:paraId="340C1603">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固废处理设施</w:t>
                  </w:r>
                </w:p>
              </w:tc>
              <w:tc>
                <w:tcPr>
                  <w:tcW w:w="2268" w:type="dxa"/>
                  <w:vAlign w:val="center"/>
                </w:tcPr>
                <w:p w14:paraId="4EB534C0">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危废暂存间（建筑面积10m</w:t>
                  </w:r>
                  <w:r>
                    <w:rPr>
                      <w:rFonts w:hint="eastAsia"/>
                      <w:b w:val="0"/>
                      <w:color w:val="000000" w:themeColor="text1"/>
                      <w:vertAlign w:val="superscript"/>
                      <w14:textFill>
                        <w14:solidFill>
                          <w14:schemeClr w14:val="tx1"/>
                        </w14:solidFill>
                      </w14:textFill>
                    </w:rPr>
                    <w:t>2</w:t>
                  </w:r>
                  <w:r>
                    <w:rPr>
                      <w:rFonts w:hint="eastAsia"/>
                      <w:b w:val="0"/>
                      <w:color w:val="000000" w:themeColor="text1"/>
                      <w14:textFill>
                        <w14:solidFill>
                          <w14:schemeClr w14:val="tx1"/>
                        </w14:solidFill>
                      </w14:textFill>
                    </w:rPr>
                    <w:t>）</w:t>
                  </w:r>
                </w:p>
              </w:tc>
              <w:tc>
                <w:tcPr>
                  <w:tcW w:w="1701" w:type="dxa"/>
                  <w:vAlign w:val="center"/>
                </w:tcPr>
                <w:p w14:paraId="18B5846A">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依托现有危废暂存间</w:t>
                  </w:r>
                </w:p>
              </w:tc>
              <w:tc>
                <w:tcPr>
                  <w:tcW w:w="2144" w:type="dxa"/>
                  <w:vAlign w:val="center"/>
                </w:tcPr>
                <w:p w14:paraId="06A5A81C">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危废暂存间（建筑面积10m</w:t>
                  </w:r>
                  <w:r>
                    <w:rPr>
                      <w:rFonts w:hint="eastAsia"/>
                      <w:b w:val="0"/>
                      <w:color w:val="000000" w:themeColor="text1"/>
                      <w:vertAlign w:val="superscript"/>
                      <w14:textFill>
                        <w14:solidFill>
                          <w14:schemeClr w14:val="tx1"/>
                        </w14:solidFill>
                      </w14:textFill>
                    </w:rPr>
                    <w:t>2</w:t>
                  </w:r>
                  <w:r>
                    <w:rPr>
                      <w:rFonts w:hint="eastAsia"/>
                      <w:b w:val="0"/>
                      <w:color w:val="000000" w:themeColor="text1"/>
                      <w14:textFill>
                        <w14:solidFill>
                          <w14:schemeClr w14:val="tx1"/>
                        </w14:solidFill>
                      </w14:textFill>
                    </w:rPr>
                    <w:t>）</w:t>
                  </w:r>
                </w:p>
              </w:tc>
            </w:tr>
            <w:tr w14:paraId="4ACF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continue"/>
                  <w:vAlign w:val="center"/>
                </w:tcPr>
                <w:p w14:paraId="1493CF1C">
                  <w:pPr>
                    <w:pStyle w:val="71"/>
                    <w:rPr>
                      <w:b w:val="0"/>
                      <w:color w:val="000000" w:themeColor="text1"/>
                      <w14:textFill>
                        <w14:solidFill>
                          <w14:schemeClr w14:val="tx1"/>
                        </w14:solidFill>
                      </w14:textFill>
                    </w:rPr>
                  </w:pPr>
                </w:p>
              </w:tc>
              <w:tc>
                <w:tcPr>
                  <w:tcW w:w="709" w:type="dxa"/>
                  <w:vMerge w:val="continue"/>
                  <w:vAlign w:val="center"/>
                </w:tcPr>
                <w:p w14:paraId="057D283D">
                  <w:pPr>
                    <w:pStyle w:val="71"/>
                    <w:rPr>
                      <w:b w:val="0"/>
                      <w:color w:val="000000" w:themeColor="text1"/>
                      <w14:textFill>
                        <w14:solidFill>
                          <w14:schemeClr w14:val="tx1"/>
                        </w14:solidFill>
                      </w14:textFill>
                    </w:rPr>
                  </w:pPr>
                </w:p>
              </w:tc>
              <w:tc>
                <w:tcPr>
                  <w:tcW w:w="2268" w:type="dxa"/>
                  <w:vAlign w:val="center"/>
                </w:tcPr>
                <w:p w14:paraId="2D7D4F14">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一般固废暂存间（建筑面积30m</w:t>
                  </w:r>
                  <w:r>
                    <w:rPr>
                      <w:rFonts w:hint="eastAsia"/>
                      <w:b w:val="0"/>
                      <w:color w:val="000000" w:themeColor="text1"/>
                      <w:vertAlign w:val="superscript"/>
                      <w14:textFill>
                        <w14:solidFill>
                          <w14:schemeClr w14:val="tx1"/>
                        </w14:solidFill>
                      </w14:textFill>
                    </w:rPr>
                    <w:t>2</w:t>
                  </w:r>
                  <w:r>
                    <w:rPr>
                      <w:rFonts w:hint="eastAsia"/>
                      <w:b w:val="0"/>
                      <w:color w:val="000000" w:themeColor="text1"/>
                      <w14:textFill>
                        <w14:solidFill>
                          <w14:schemeClr w14:val="tx1"/>
                        </w14:solidFill>
                      </w14:textFill>
                    </w:rPr>
                    <w:t>）</w:t>
                  </w:r>
                </w:p>
              </w:tc>
              <w:tc>
                <w:tcPr>
                  <w:tcW w:w="1701" w:type="dxa"/>
                  <w:vAlign w:val="center"/>
                </w:tcPr>
                <w:p w14:paraId="3B4F7E78">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依托现有一般固废暂存间</w:t>
                  </w:r>
                </w:p>
              </w:tc>
              <w:tc>
                <w:tcPr>
                  <w:tcW w:w="2144" w:type="dxa"/>
                  <w:vAlign w:val="center"/>
                </w:tcPr>
                <w:p w14:paraId="73B39104">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一般固废暂存间（建筑面积30m</w:t>
                  </w:r>
                  <w:r>
                    <w:rPr>
                      <w:rFonts w:hint="eastAsia"/>
                      <w:b w:val="0"/>
                      <w:color w:val="000000" w:themeColor="text1"/>
                      <w:vertAlign w:val="superscript"/>
                      <w14:textFill>
                        <w14:solidFill>
                          <w14:schemeClr w14:val="tx1"/>
                        </w14:solidFill>
                      </w14:textFill>
                    </w:rPr>
                    <w:t>2</w:t>
                  </w:r>
                  <w:r>
                    <w:rPr>
                      <w:rFonts w:hint="eastAsia"/>
                      <w:b w:val="0"/>
                      <w:color w:val="000000" w:themeColor="text1"/>
                      <w14:textFill>
                        <w14:solidFill>
                          <w14:schemeClr w14:val="tx1"/>
                        </w14:solidFill>
                      </w14:textFill>
                    </w:rPr>
                    <w:t>）</w:t>
                  </w:r>
                </w:p>
              </w:tc>
            </w:tr>
            <w:tr w14:paraId="3CB0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restart"/>
                  <w:vAlign w:val="center"/>
                </w:tcPr>
                <w:p w14:paraId="013182D3">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公共工程</w:t>
                  </w:r>
                </w:p>
              </w:tc>
              <w:tc>
                <w:tcPr>
                  <w:tcW w:w="709" w:type="dxa"/>
                  <w:vAlign w:val="center"/>
                </w:tcPr>
                <w:p w14:paraId="637491BF">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供水</w:t>
                  </w:r>
                </w:p>
              </w:tc>
              <w:tc>
                <w:tcPr>
                  <w:tcW w:w="2268" w:type="dxa"/>
                  <w:vAlign w:val="center"/>
                </w:tcPr>
                <w:p w14:paraId="0A0835F7">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由园区供水管网供应</w:t>
                  </w:r>
                </w:p>
              </w:tc>
              <w:tc>
                <w:tcPr>
                  <w:tcW w:w="1701" w:type="dxa"/>
                  <w:vAlign w:val="center"/>
                </w:tcPr>
                <w:p w14:paraId="780B010B">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由园区供水管网供应</w:t>
                  </w:r>
                </w:p>
              </w:tc>
              <w:tc>
                <w:tcPr>
                  <w:tcW w:w="2144" w:type="dxa"/>
                  <w:vAlign w:val="center"/>
                </w:tcPr>
                <w:p w14:paraId="59340BAA">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由园区供水管网供应</w:t>
                  </w:r>
                </w:p>
              </w:tc>
            </w:tr>
            <w:tr w14:paraId="4F35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Merge w:val="continue"/>
                  <w:vAlign w:val="center"/>
                </w:tcPr>
                <w:p w14:paraId="5B9D9E5B">
                  <w:pPr>
                    <w:pStyle w:val="71"/>
                    <w:rPr>
                      <w:b w:val="0"/>
                      <w:color w:val="000000" w:themeColor="text1"/>
                      <w14:textFill>
                        <w14:solidFill>
                          <w14:schemeClr w14:val="tx1"/>
                        </w14:solidFill>
                      </w14:textFill>
                    </w:rPr>
                  </w:pPr>
                </w:p>
              </w:tc>
              <w:tc>
                <w:tcPr>
                  <w:tcW w:w="709" w:type="dxa"/>
                  <w:vAlign w:val="center"/>
                </w:tcPr>
                <w:p w14:paraId="48D0F52E">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供电</w:t>
                  </w:r>
                </w:p>
              </w:tc>
              <w:tc>
                <w:tcPr>
                  <w:tcW w:w="2268" w:type="dxa"/>
                  <w:vAlign w:val="center"/>
                </w:tcPr>
                <w:p w14:paraId="135AC3AD">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由园区供电电网供应</w:t>
                  </w:r>
                </w:p>
              </w:tc>
              <w:tc>
                <w:tcPr>
                  <w:tcW w:w="1701" w:type="dxa"/>
                  <w:vAlign w:val="center"/>
                </w:tcPr>
                <w:p w14:paraId="1C116EC9">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由园区供电电网供应</w:t>
                  </w:r>
                </w:p>
              </w:tc>
              <w:tc>
                <w:tcPr>
                  <w:tcW w:w="2144" w:type="dxa"/>
                  <w:vAlign w:val="center"/>
                </w:tcPr>
                <w:p w14:paraId="63D3CB91">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由园区供电电网供应</w:t>
                  </w:r>
                </w:p>
              </w:tc>
            </w:tr>
          </w:tbl>
          <w:p w14:paraId="359942B6">
            <w:pPr>
              <w:rPr>
                <w:bCs/>
                <w:color w:val="000000" w:themeColor="text1"/>
                <w14:textFill>
                  <w14:solidFill>
                    <w14:schemeClr w14:val="tx1"/>
                  </w14:solidFill>
                </w14:textFill>
              </w:rPr>
            </w:pPr>
          </w:p>
          <w:p w14:paraId="53A10593">
            <w:pPr>
              <w:numPr>
                <w:ilvl w:val="0"/>
                <w:numId w:val="3"/>
              </w:numPr>
              <w:spacing w:line="360" w:lineRule="auto"/>
              <w:ind w:firstLine="480" w:firstLineChars="200"/>
              <w:rPr>
                <w:rFonts w:ascii="宋体" w:hAnsi="宋体" w:eastAsia="宋体" w:cs="宋体"/>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主要产品及产</w:t>
            </w:r>
            <w:r>
              <w:rPr>
                <w:rFonts w:hint="eastAsia" w:ascii="宋体" w:hAnsi="宋体" w:eastAsia="宋体" w:cs="宋体"/>
                <w:bCs/>
                <w:color w:val="000000" w:themeColor="text1"/>
                <w:sz w:val="24"/>
                <w14:textFill>
                  <w14:solidFill>
                    <w14:schemeClr w14:val="tx1"/>
                  </w14:solidFill>
                </w14:textFill>
              </w:rPr>
              <w:t>能</w:t>
            </w:r>
          </w:p>
          <w:p w14:paraId="66DC2FDA">
            <w:pPr>
              <w:pStyle w:val="71"/>
              <w:rPr>
                <w:color w:val="000000" w:themeColor="text1"/>
                <w14:textFill>
                  <w14:solidFill>
                    <w14:schemeClr w14:val="tx1"/>
                  </w14:solidFill>
                </w14:textFill>
              </w:rPr>
            </w:pPr>
            <w:r>
              <w:rPr>
                <w:color w:val="000000" w:themeColor="text1"/>
                <w14:textFill>
                  <w14:solidFill>
                    <w14:schemeClr w14:val="tx1"/>
                  </w14:solidFill>
                </w14:textFill>
              </w:rPr>
              <w:t>表2-4 产品规格一览表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158"/>
              <w:gridCol w:w="1404"/>
              <w:gridCol w:w="1414"/>
              <w:gridCol w:w="1414"/>
              <w:gridCol w:w="1414"/>
            </w:tblGrid>
            <w:tr w14:paraId="675D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5" w:type="dxa"/>
                  <w:vAlign w:val="center"/>
                </w:tcPr>
                <w:p w14:paraId="23AE22AA">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序号</w:t>
                  </w:r>
                </w:p>
              </w:tc>
              <w:tc>
                <w:tcPr>
                  <w:tcW w:w="1460" w:type="dxa"/>
                  <w:vAlign w:val="center"/>
                </w:tcPr>
                <w:p w14:paraId="6A748DC0">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产品名称</w:t>
                  </w:r>
                </w:p>
              </w:tc>
              <w:tc>
                <w:tcPr>
                  <w:tcW w:w="1783" w:type="dxa"/>
                  <w:vAlign w:val="center"/>
                </w:tcPr>
                <w:p w14:paraId="146EFAB9">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年产量</w:t>
                  </w:r>
                </w:p>
              </w:tc>
              <w:tc>
                <w:tcPr>
                  <w:tcW w:w="1796" w:type="dxa"/>
                  <w:vAlign w:val="center"/>
                </w:tcPr>
                <w:p w14:paraId="00953FA9">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用途</w:t>
                  </w:r>
                </w:p>
              </w:tc>
              <w:tc>
                <w:tcPr>
                  <w:tcW w:w="1796" w:type="dxa"/>
                  <w:vAlign w:val="center"/>
                </w:tcPr>
                <w:p w14:paraId="61B29340">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规格</w:t>
                  </w:r>
                </w:p>
              </w:tc>
              <w:tc>
                <w:tcPr>
                  <w:tcW w:w="1796" w:type="dxa"/>
                  <w:vAlign w:val="center"/>
                </w:tcPr>
                <w:p w14:paraId="0687FAC0">
                  <w:pPr>
                    <w:pStyle w:val="71"/>
                    <w:rPr>
                      <w:rFonts w:hint="eastAsia" w:eastAsia="宋体"/>
                      <w:b w:val="0"/>
                      <w:color w:val="000000" w:themeColor="text1"/>
                      <w:lang w:val="en-US" w:eastAsia="zh-CN"/>
                      <w14:textFill>
                        <w14:solidFill>
                          <w14:schemeClr w14:val="tx1"/>
                        </w14:solidFill>
                      </w14:textFill>
                    </w:rPr>
                  </w:pPr>
                  <w:r>
                    <w:rPr>
                      <w:rFonts w:hint="eastAsia"/>
                      <w:b w:val="0"/>
                      <w:color w:val="000000" w:themeColor="text1"/>
                      <w:lang w:val="en-US" w:eastAsia="zh-CN"/>
                      <w14:textFill>
                        <w14:solidFill>
                          <w14:schemeClr w14:val="tx1"/>
                        </w14:solidFill>
                      </w14:textFill>
                    </w:rPr>
                    <w:t>备注</w:t>
                  </w:r>
                </w:p>
              </w:tc>
            </w:tr>
            <w:tr w14:paraId="626E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5" w:type="dxa"/>
                  <w:vAlign w:val="center"/>
                </w:tcPr>
                <w:p w14:paraId="436E57DB">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1</w:t>
                  </w:r>
                </w:p>
              </w:tc>
              <w:tc>
                <w:tcPr>
                  <w:tcW w:w="1460" w:type="dxa"/>
                  <w:vAlign w:val="center"/>
                </w:tcPr>
                <w:p w14:paraId="7B2D4B31">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橡胶脚轮</w:t>
                  </w:r>
                </w:p>
              </w:tc>
              <w:tc>
                <w:tcPr>
                  <w:tcW w:w="1783" w:type="dxa"/>
                  <w:vAlign w:val="center"/>
                </w:tcPr>
                <w:p w14:paraId="13AA8074">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100万个</w:t>
                  </w:r>
                </w:p>
              </w:tc>
              <w:tc>
                <w:tcPr>
                  <w:tcW w:w="1796" w:type="dxa"/>
                  <w:vAlign w:val="center"/>
                </w:tcPr>
                <w:p w14:paraId="0F0E9A1E">
                  <w:pPr>
                    <w:pStyle w:val="71"/>
                    <w:rPr>
                      <w:b w:val="0"/>
                      <w:color w:val="000000" w:themeColor="text1"/>
                      <w14:textFill>
                        <w14:solidFill>
                          <w14:schemeClr w14:val="tx1"/>
                        </w14:solidFill>
                      </w14:textFill>
                    </w:rPr>
                  </w:pPr>
                  <w:r>
                    <w:rPr>
                      <w:b w:val="0"/>
                      <w:color w:val="000000" w:themeColor="text1"/>
                      <w14:textFill>
                        <w14:solidFill>
                          <w14:schemeClr w14:val="tx1"/>
                        </w14:solidFill>
                      </w14:textFill>
                    </w:rPr>
                    <w:t>用于制作工业推车</w:t>
                  </w:r>
                </w:p>
              </w:tc>
              <w:tc>
                <w:tcPr>
                  <w:tcW w:w="1796" w:type="dxa"/>
                  <w:vAlign w:val="center"/>
                </w:tcPr>
                <w:p w14:paraId="00635467">
                  <w:pPr>
                    <w:pStyle w:val="71"/>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1</w:t>
                  </w:r>
                  <w:r>
                    <w:rPr>
                      <w:b w:val="0"/>
                      <w:color w:val="000000" w:themeColor="text1"/>
                      <w14:textFill>
                        <w14:solidFill>
                          <w14:schemeClr w14:val="tx1"/>
                        </w14:solidFill>
                      </w14:textFill>
                    </w:rPr>
                    <w:t>.1kg/个</w:t>
                  </w:r>
                </w:p>
              </w:tc>
              <w:tc>
                <w:tcPr>
                  <w:tcW w:w="1796" w:type="dxa"/>
                  <w:vAlign w:val="center"/>
                </w:tcPr>
                <w:p w14:paraId="5EC1B2A4">
                  <w:pPr>
                    <w:pStyle w:val="71"/>
                    <w:rPr>
                      <w:rFonts w:hint="default" w:eastAsia="宋体"/>
                      <w:b w:val="0"/>
                      <w:color w:val="000000" w:themeColor="text1"/>
                      <w:lang w:val="en-US" w:eastAsia="zh-CN"/>
                      <w14:textFill>
                        <w14:solidFill>
                          <w14:schemeClr w14:val="tx1"/>
                        </w14:solidFill>
                      </w14:textFill>
                    </w:rPr>
                  </w:pPr>
                  <w:r>
                    <w:rPr>
                      <w:rFonts w:hint="eastAsia"/>
                      <w:b w:val="0"/>
                      <w:color w:val="000000" w:themeColor="text1"/>
                      <w:lang w:val="en-US" w:eastAsia="zh-CN"/>
                      <w14:textFill>
                        <w14:solidFill>
                          <w14:schemeClr w14:val="tx1"/>
                        </w14:solidFill>
                      </w14:textFill>
                    </w:rPr>
                    <w:t>迁建项目</w:t>
                  </w:r>
                </w:p>
              </w:tc>
            </w:tr>
            <w:tr w14:paraId="54A2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5" w:type="dxa"/>
                  <w:vAlign w:val="center"/>
                </w:tcPr>
                <w:p w14:paraId="3D25B08B">
                  <w:pPr>
                    <w:pStyle w:val="71"/>
                    <w:rPr>
                      <w:rFonts w:hint="eastAsia" w:eastAsia="宋体"/>
                      <w:b w:val="0"/>
                      <w:color w:val="000000" w:themeColor="text1"/>
                      <w:lang w:val="en-US" w:eastAsia="zh-CN"/>
                      <w14:textFill>
                        <w14:solidFill>
                          <w14:schemeClr w14:val="tx1"/>
                        </w14:solidFill>
                      </w14:textFill>
                    </w:rPr>
                  </w:pPr>
                  <w:r>
                    <w:rPr>
                      <w:rFonts w:hint="eastAsia"/>
                      <w:b w:val="0"/>
                      <w:color w:val="000000" w:themeColor="text1"/>
                      <w:lang w:val="en-US" w:eastAsia="zh-CN"/>
                      <w14:textFill>
                        <w14:solidFill>
                          <w14:schemeClr w14:val="tx1"/>
                        </w14:solidFill>
                      </w14:textFill>
                    </w:rPr>
                    <w:t>2</w:t>
                  </w:r>
                </w:p>
              </w:tc>
              <w:tc>
                <w:tcPr>
                  <w:tcW w:w="1460" w:type="dxa"/>
                  <w:vAlign w:val="center"/>
                </w:tcPr>
                <w:p w14:paraId="5BAE5ED0">
                  <w:pPr>
                    <w:pStyle w:val="71"/>
                    <w:rPr>
                      <w:rFonts w:hint="default" w:eastAsia="宋体"/>
                      <w:b w:val="0"/>
                      <w:color w:val="000000" w:themeColor="text1"/>
                      <w:lang w:val="en-US" w:eastAsia="zh-CN"/>
                      <w14:textFill>
                        <w14:solidFill>
                          <w14:schemeClr w14:val="tx1"/>
                        </w14:solidFill>
                      </w14:textFill>
                    </w:rPr>
                  </w:pPr>
                  <w:r>
                    <w:rPr>
                      <w:rFonts w:hint="eastAsia"/>
                      <w:b w:val="0"/>
                      <w:color w:val="000000" w:themeColor="text1"/>
                      <w:lang w:val="en-US" w:eastAsia="zh-CN"/>
                      <w14:textFill>
                        <w14:solidFill>
                          <w14:schemeClr w14:val="tx1"/>
                        </w14:solidFill>
                      </w14:textFill>
                    </w:rPr>
                    <w:t>金属脚轮</w:t>
                  </w:r>
                </w:p>
              </w:tc>
              <w:tc>
                <w:tcPr>
                  <w:tcW w:w="1783" w:type="dxa"/>
                  <w:vAlign w:val="center"/>
                </w:tcPr>
                <w:p w14:paraId="0822F5EA">
                  <w:pPr>
                    <w:pStyle w:val="71"/>
                    <w:rPr>
                      <w:rFonts w:hint="default" w:eastAsia="宋体"/>
                      <w:b w:val="0"/>
                      <w:color w:val="000000" w:themeColor="text1"/>
                      <w:lang w:val="en-US" w:eastAsia="zh-CN"/>
                      <w14:textFill>
                        <w14:solidFill>
                          <w14:schemeClr w14:val="tx1"/>
                        </w14:solidFill>
                      </w14:textFill>
                    </w:rPr>
                  </w:pPr>
                  <w:r>
                    <w:rPr>
                      <w:rFonts w:hint="eastAsia"/>
                      <w:b w:val="0"/>
                      <w:color w:val="000000" w:themeColor="text1"/>
                      <w:lang w:val="en-US" w:eastAsia="zh-CN"/>
                      <w14:textFill>
                        <w14:solidFill>
                          <w14:schemeClr w14:val="tx1"/>
                        </w14:solidFill>
                      </w14:textFill>
                    </w:rPr>
                    <w:t>100万个</w:t>
                  </w:r>
                </w:p>
              </w:tc>
              <w:tc>
                <w:tcPr>
                  <w:tcW w:w="1796" w:type="dxa"/>
                  <w:vAlign w:val="center"/>
                </w:tcPr>
                <w:p w14:paraId="0F41FCB5">
                  <w:pPr>
                    <w:pStyle w:val="71"/>
                    <w:rPr>
                      <w:rFonts w:hint="default" w:eastAsia="宋体"/>
                      <w:b w:val="0"/>
                      <w:color w:val="000000" w:themeColor="text1"/>
                      <w:lang w:val="en-US" w:eastAsia="zh-CN"/>
                      <w14:textFill>
                        <w14:solidFill>
                          <w14:schemeClr w14:val="tx1"/>
                        </w14:solidFill>
                      </w14:textFill>
                    </w:rPr>
                  </w:pPr>
                  <w:r>
                    <w:rPr>
                      <w:rFonts w:hint="eastAsia"/>
                      <w:b w:val="0"/>
                      <w:color w:val="000000" w:themeColor="text1"/>
                      <w:lang w:val="en-US" w:eastAsia="zh-CN"/>
                      <w14:textFill>
                        <w14:solidFill>
                          <w14:schemeClr w14:val="tx1"/>
                        </w14:solidFill>
                      </w14:textFill>
                    </w:rPr>
                    <w:t>用于制作工业推车</w:t>
                  </w:r>
                </w:p>
              </w:tc>
              <w:tc>
                <w:tcPr>
                  <w:tcW w:w="1796" w:type="dxa"/>
                  <w:vAlign w:val="center"/>
                </w:tcPr>
                <w:p w14:paraId="6047F72A">
                  <w:pPr>
                    <w:pStyle w:val="71"/>
                    <w:rPr>
                      <w:rFonts w:hint="eastAsia"/>
                      <w:b w:val="0"/>
                      <w:color w:val="000000" w:themeColor="text1"/>
                      <w14:textFill>
                        <w14:solidFill>
                          <w14:schemeClr w14:val="tx1"/>
                        </w14:solidFill>
                      </w14:textFill>
                    </w:rPr>
                  </w:pPr>
                  <w:r>
                    <w:rPr>
                      <w:b w:val="0"/>
                      <w:color w:val="000000" w:themeColor="text1"/>
                      <w14:textFill>
                        <w14:solidFill>
                          <w14:schemeClr w14:val="tx1"/>
                        </w14:solidFill>
                      </w14:textFill>
                    </w:rPr>
                    <w:t>3kg/个、12kg/个、25kg/个</w:t>
                  </w:r>
                </w:p>
              </w:tc>
              <w:tc>
                <w:tcPr>
                  <w:tcW w:w="1796" w:type="dxa"/>
                  <w:vAlign w:val="center"/>
                </w:tcPr>
                <w:p w14:paraId="32E8B729">
                  <w:pPr>
                    <w:pStyle w:val="71"/>
                    <w:rPr>
                      <w:rFonts w:hint="default" w:eastAsia="宋体"/>
                      <w:b w:val="0"/>
                      <w:color w:val="000000" w:themeColor="text1"/>
                      <w:lang w:val="en-US" w:eastAsia="zh-CN"/>
                      <w14:textFill>
                        <w14:solidFill>
                          <w14:schemeClr w14:val="tx1"/>
                        </w14:solidFill>
                      </w14:textFill>
                    </w:rPr>
                  </w:pPr>
                  <w:r>
                    <w:rPr>
                      <w:rFonts w:hint="eastAsia"/>
                      <w:b w:val="0"/>
                      <w:color w:val="000000" w:themeColor="text1"/>
                      <w:lang w:val="en-US" w:eastAsia="zh-CN"/>
                      <w14:textFill>
                        <w14:solidFill>
                          <w14:schemeClr w14:val="tx1"/>
                        </w14:solidFill>
                      </w14:textFill>
                    </w:rPr>
                    <w:t>原有项目</w:t>
                  </w:r>
                </w:p>
              </w:tc>
            </w:tr>
          </w:tbl>
          <w:p w14:paraId="798C577B">
            <w:pPr>
              <w:rPr>
                <w:rFonts w:ascii="Times New Roman" w:hAnsi="Times New Roman" w:cs="Times New Roman"/>
                <w:bCs/>
                <w:color w:val="000000" w:themeColor="text1"/>
                <w:szCs w:val="21"/>
                <w14:textFill>
                  <w14:solidFill>
                    <w14:schemeClr w14:val="tx1"/>
                  </w14:solidFill>
                </w14:textFill>
              </w:rPr>
            </w:pPr>
            <w:r>
              <w:rPr>
                <w:rFonts w:ascii="Times New Roman" w:hAnsi="Times New Roman" w:cs="Times New Roman"/>
                <w:bCs/>
                <w:color w:val="000000" w:themeColor="text1"/>
                <w:szCs w:val="21"/>
                <w14:textFill>
                  <w14:solidFill>
                    <w14:schemeClr w14:val="tx1"/>
                  </w14:solidFill>
                </w14:textFill>
              </w:rPr>
              <w:t>注：</w:t>
            </w:r>
            <w:r>
              <w:rPr>
                <w:rFonts w:hint="eastAsia" w:ascii="Times New Roman" w:hAnsi="Times New Roman" w:cs="Times New Roman"/>
                <w:bCs/>
                <w:color w:val="000000" w:themeColor="text1"/>
                <w:szCs w:val="21"/>
                <w:lang w:eastAsia="zh-CN"/>
                <w14:textFill>
                  <w14:solidFill>
                    <w14:schemeClr w14:val="tx1"/>
                  </w14:solidFill>
                </w14:textFill>
              </w:rPr>
              <w:t>项目</w:t>
            </w:r>
            <w:r>
              <w:rPr>
                <w:rFonts w:ascii="Times New Roman" w:hAnsi="Times New Roman" w:cs="Times New Roman"/>
                <w:bCs/>
                <w:color w:val="000000" w:themeColor="text1"/>
                <w:szCs w:val="21"/>
                <w14:textFill>
                  <w14:solidFill>
                    <w14:schemeClr w14:val="tx1"/>
                  </w14:solidFill>
                </w14:textFill>
              </w:rPr>
              <w:t>生产的脚轮：2寸脚轮直径50mm，轮宽22mm，单个重量为1.1kg</w:t>
            </w:r>
          </w:p>
          <w:p w14:paraId="1804F07D">
            <w:pPr>
              <w:numPr>
                <w:ilvl w:val="0"/>
                <w:numId w:val="3"/>
              </w:numPr>
              <w:spacing w:line="360" w:lineRule="auto"/>
              <w:ind w:firstLine="480" w:firstLineChars="200"/>
              <w:rPr>
                <w:rFonts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主要原辅材料</w:t>
            </w:r>
          </w:p>
          <w:p w14:paraId="49FC050B">
            <w:pPr>
              <w:spacing w:line="360" w:lineRule="auto"/>
              <w:ind w:left="482"/>
              <w:rPr>
                <w:rFonts w:ascii="宋体" w:hAnsi="宋体" w:eastAsia="宋体" w:cs="宋体"/>
                <w:bCs/>
                <w:color w:val="000000" w:themeColor="text1"/>
                <w:sz w:val="24"/>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w:t>
            </w:r>
            <w:r>
              <w:rPr>
                <w:rFonts w:hint="eastAsia" w:ascii="宋体" w:hAnsi="宋体" w:eastAsia="宋体" w:cs="宋体"/>
                <w:bCs/>
                <w:color w:val="000000" w:themeColor="text1"/>
                <w:sz w:val="24"/>
                <w14:textFill>
                  <w14:solidFill>
                    <w14:schemeClr w14:val="tx1"/>
                  </w14:solidFill>
                </w14:textFill>
              </w:rPr>
              <w:t>1</w:t>
            </w:r>
            <w:r>
              <w:rPr>
                <w:rFonts w:ascii="宋体" w:hAnsi="宋体" w:eastAsia="宋体" w:cs="宋体"/>
                <w:bCs/>
                <w:color w:val="000000" w:themeColor="text1"/>
                <w:sz w:val="24"/>
                <w14:textFill>
                  <w14:solidFill>
                    <w14:schemeClr w14:val="tx1"/>
                  </w14:solidFill>
                </w14:textFill>
              </w:rPr>
              <w:t>）主要原辅材料用量</w:t>
            </w:r>
          </w:p>
          <w:p w14:paraId="158F8BBE">
            <w:pPr>
              <w:spacing w:line="360" w:lineRule="auto"/>
              <w:ind w:left="482"/>
              <w:rPr>
                <w:rFonts w:ascii="宋体" w:hAnsi="宋体" w:eastAsia="宋体" w:cs="宋体"/>
                <w:bCs/>
                <w:color w:val="000000" w:themeColor="text1"/>
                <w:sz w:val="24"/>
                <w14:textFill>
                  <w14:solidFill>
                    <w14:schemeClr w14:val="tx1"/>
                  </w14:solidFill>
                </w14:textFill>
              </w:rPr>
            </w:pPr>
            <w:r>
              <w:rPr>
                <w:rFonts w:ascii="宋体" w:hAnsi="宋体" w:eastAsia="宋体" w:cs="宋体"/>
                <w:bCs/>
                <w:color w:val="000000" w:themeColor="text1"/>
                <w:sz w:val="24"/>
                <w14:textFill>
                  <w14:solidFill>
                    <w14:schemeClr w14:val="tx1"/>
                  </w14:solidFill>
                </w14:textFill>
              </w:rPr>
              <w:t>本</w:t>
            </w:r>
            <w:r>
              <w:rPr>
                <w:rFonts w:hint="eastAsia" w:ascii="宋体" w:hAnsi="宋体" w:eastAsia="宋体" w:cs="宋体"/>
                <w:bCs/>
                <w:color w:val="000000" w:themeColor="text1"/>
                <w:sz w:val="24"/>
                <w:lang w:eastAsia="zh-CN"/>
                <w14:textFill>
                  <w14:solidFill>
                    <w14:schemeClr w14:val="tx1"/>
                  </w14:solidFill>
                </w14:textFill>
              </w:rPr>
              <w:t>项目</w:t>
            </w:r>
            <w:r>
              <w:rPr>
                <w:rFonts w:ascii="宋体" w:hAnsi="宋体" w:eastAsia="宋体" w:cs="宋体"/>
                <w:bCs/>
                <w:color w:val="000000" w:themeColor="text1"/>
                <w:sz w:val="24"/>
                <w14:textFill>
                  <w14:solidFill>
                    <w14:schemeClr w14:val="tx1"/>
                  </w14:solidFill>
                </w14:textFill>
              </w:rPr>
              <w:t>主要原辅材料一览表</w:t>
            </w:r>
          </w:p>
          <w:p w14:paraId="108AA6FB">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表2-5 本项目主要原辅材料消耗一览表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5"/>
              <w:gridCol w:w="1896"/>
              <w:gridCol w:w="1898"/>
              <w:gridCol w:w="1898"/>
            </w:tblGrid>
            <w:tr w14:paraId="40B7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64" w:type="dxa"/>
                  <w:vAlign w:val="center"/>
                </w:tcPr>
                <w:p w14:paraId="06B6B434">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序号</w:t>
                  </w:r>
                </w:p>
              </w:tc>
              <w:tc>
                <w:tcPr>
                  <w:tcW w:w="1264" w:type="dxa"/>
                  <w:vAlign w:val="center"/>
                </w:tcPr>
                <w:p w14:paraId="2A2BEC8F">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名称</w:t>
                  </w:r>
                </w:p>
              </w:tc>
              <w:tc>
                <w:tcPr>
                  <w:tcW w:w="1265" w:type="dxa"/>
                  <w:vAlign w:val="center"/>
                </w:tcPr>
                <w:p w14:paraId="27F2EFCF">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本</w:t>
                  </w:r>
                  <w:r>
                    <w:rPr>
                      <w:rFonts w:hint="eastAsia" w:ascii="Times New Roman" w:hAnsi="Times New Roman" w:eastAsia="宋体" w:cs="Times New Roman"/>
                      <w:bCs/>
                      <w:color w:val="000000" w:themeColor="text1"/>
                      <w:kern w:val="0"/>
                      <w:szCs w:val="21"/>
                      <w:lang w:eastAsia="zh-CN"/>
                      <w14:textFill>
                        <w14:solidFill>
                          <w14:schemeClr w14:val="tx1"/>
                        </w14:solidFill>
                      </w14:textFill>
                    </w:rPr>
                    <w:t>项目</w:t>
                  </w:r>
                  <w:r>
                    <w:rPr>
                      <w:rFonts w:ascii="Times New Roman" w:hAnsi="Times New Roman" w:eastAsia="宋体" w:cs="Times New Roman"/>
                      <w:bCs/>
                      <w:color w:val="000000" w:themeColor="text1"/>
                      <w:kern w:val="0"/>
                      <w:szCs w:val="21"/>
                      <w14:textFill>
                        <w14:solidFill>
                          <w14:schemeClr w14:val="tx1"/>
                        </w14:solidFill>
                      </w14:textFill>
                    </w:rPr>
                    <w:t>使用量</w:t>
                  </w: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t/a</w:t>
                  </w:r>
                </w:p>
              </w:tc>
              <w:tc>
                <w:tcPr>
                  <w:tcW w:w="1265" w:type="dxa"/>
                  <w:vAlign w:val="center"/>
                </w:tcPr>
                <w:p w14:paraId="0671397F">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状态</w:t>
                  </w:r>
                </w:p>
              </w:tc>
            </w:tr>
            <w:tr w14:paraId="5A83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vAlign w:val="center"/>
                </w:tcPr>
                <w:p w14:paraId="0429DB40">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1</w:t>
                  </w:r>
                </w:p>
              </w:tc>
              <w:tc>
                <w:tcPr>
                  <w:tcW w:w="1264" w:type="dxa"/>
                  <w:vAlign w:val="center"/>
                </w:tcPr>
                <w:p w14:paraId="54CCDC33">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金属五金件</w:t>
                  </w:r>
                </w:p>
              </w:tc>
              <w:tc>
                <w:tcPr>
                  <w:tcW w:w="1265" w:type="dxa"/>
                  <w:vAlign w:val="center"/>
                </w:tcPr>
                <w:p w14:paraId="7243784D">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1</w:t>
                  </w: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0</w:t>
                  </w:r>
                  <w:r>
                    <w:rPr>
                      <w:rFonts w:ascii="Times New Roman" w:hAnsi="Times New Roman" w:eastAsia="宋体" w:cs="Times New Roman"/>
                      <w:bCs/>
                      <w:color w:val="000000" w:themeColor="text1"/>
                      <w:kern w:val="0"/>
                      <w:szCs w:val="21"/>
                      <w14:textFill>
                        <w14:solidFill>
                          <w14:schemeClr w14:val="tx1"/>
                        </w14:solidFill>
                      </w14:textFill>
                    </w:rPr>
                    <w:t>0</w:t>
                  </w:r>
                  <w:r>
                    <w:rPr>
                      <w:rFonts w:hint="eastAsia" w:ascii="Times New Roman" w:hAnsi="Times New Roman" w:eastAsia="宋体" w:cs="Times New Roman"/>
                      <w:bCs/>
                      <w:color w:val="000000" w:themeColor="text1"/>
                      <w:kern w:val="0"/>
                      <w:szCs w:val="21"/>
                      <w14:textFill>
                        <w14:solidFill>
                          <w14:schemeClr w14:val="tx1"/>
                        </w14:solidFill>
                      </w14:textFill>
                    </w:rPr>
                    <w:t>0</w:t>
                  </w:r>
                </w:p>
              </w:tc>
              <w:tc>
                <w:tcPr>
                  <w:tcW w:w="1265" w:type="dxa"/>
                  <w:vAlign w:val="center"/>
                </w:tcPr>
                <w:p w14:paraId="2627A8CE">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固体</w:t>
                  </w:r>
                </w:p>
              </w:tc>
            </w:tr>
            <w:tr w14:paraId="345F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vAlign w:val="center"/>
                </w:tcPr>
                <w:p w14:paraId="02D9DF77">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2</w:t>
                  </w:r>
                </w:p>
              </w:tc>
              <w:tc>
                <w:tcPr>
                  <w:tcW w:w="1264" w:type="dxa"/>
                  <w:vAlign w:val="center"/>
                </w:tcPr>
                <w:p w14:paraId="7B5E9D29">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聚氨酯</w:t>
                  </w:r>
                </w:p>
              </w:tc>
              <w:tc>
                <w:tcPr>
                  <w:tcW w:w="1265" w:type="dxa"/>
                  <w:vAlign w:val="center"/>
                </w:tcPr>
                <w:p w14:paraId="23565684">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110</w:t>
                  </w:r>
                </w:p>
              </w:tc>
              <w:tc>
                <w:tcPr>
                  <w:tcW w:w="1265" w:type="dxa"/>
                  <w:vAlign w:val="center"/>
                </w:tcPr>
                <w:p w14:paraId="72B211BF">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液体</w:t>
                  </w:r>
                </w:p>
              </w:tc>
            </w:tr>
            <w:tr w14:paraId="063A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vAlign w:val="center"/>
                </w:tcPr>
                <w:p w14:paraId="6164C58C">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3</w:t>
                  </w:r>
                </w:p>
              </w:tc>
              <w:tc>
                <w:tcPr>
                  <w:tcW w:w="1264" w:type="dxa"/>
                  <w:vAlign w:val="center"/>
                </w:tcPr>
                <w:p w14:paraId="71FB67CB">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硅酮胶</w:t>
                  </w:r>
                </w:p>
              </w:tc>
              <w:tc>
                <w:tcPr>
                  <w:tcW w:w="1265" w:type="dxa"/>
                  <w:vAlign w:val="center"/>
                </w:tcPr>
                <w:p w14:paraId="5D8D2281">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1.</w:t>
                  </w:r>
                  <w:r>
                    <w:rPr>
                      <w:rFonts w:ascii="Times New Roman" w:hAnsi="Times New Roman" w:eastAsia="宋体" w:cs="Times New Roman"/>
                      <w:bCs/>
                      <w:color w:val="000000" w:themeColor="text1"/>
                      <w:kern w:val="0"/>
                      <w:szCs w:val="21"/>
                      <w14:textFill>
                        <w14:solidFill>
                          <w14:schemeClr w14:val="tx1"/>
                        </w14:solidFill>
                      </w14:textFill>
                    </w:rPr>
                    <w:t>6</w:t>
                  </w:r>
                </w:p>
              </w:tc>
              <w:tc>
                <w:tcPr>
                  <w:tcW w:w="1265" w:type="dxa"/>
                  <w:vAlign w:val="center"/>
                </w:tcPr>
                <w:p w14:paraId="4281BCF3">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液体</w:t>
                  </w:r>
                </w:p>
              </w:tc>
            </w:tr>
            <w:tr w14:paraId="1E3E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vAlign w:val="center"/>
                </w:tcPr>
                <w:p w14:paraId="4E24C539">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4</w:t>
                  </w:r>
                </w:p>
              </w:tc>
              <w:tc>
                <w:tcPr>
                  <w:tcW w:w="1264" w:type="dxa"/>
                  <w:vAlign w:val="center"/>
                </w:tcPr>
                <w:p w14:paraId="73AEF17F">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白电油</w:t>
                  </w:r>
                </w:p>
              </w:tc>
              <w:tc>
                <w:tcPr>
                  <w:tcW w:w="1265" w:type="dxa"/>
                  <w:vAlign w:val="center"/>
                </w:tcPr>
                <w:p w14:paraId="02155DB4">
                  <w:pPr>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1.</w:t>
                  </w: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802</w:t>
                  </w:r>
                </w:p>
              </w:tc>
              <w:tc>
                <w:tcPr>
                  <w:tcW w:w="1265" w:type="dxa"/>
                  <w:vAlign w:val="center"/>
                </w:tcPr>
                <w:p w14:paraId="2888AC13">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液体</w:t>
                  </w:r>
                </w:p>
              </w:tc>
            </w:tr>
            <w:tr w14:paraId="0CE5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vAlign w:val="center"/>
                </w:tcPr>
                <w:p w14:paraId="6DC8315B">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5</w:t>
                  </w:r>
                </w:p>
              </w:tc>
              <w:tc>
                <w:tcPr>
                  <w:tcW w:w="1264" w:type="dxa"/>
                  <w:vAlign w:val="center"/>
                </w:tcPr>
                <w:p w14:paraId="341A622D">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异丙醇</w:t>
                  </w:r>
                </w:p>
              </w:tc>
              <w:tc>
                <w:tcPr>
                  <w:tcW w:w="1265" w:type="dxa"/>
                  <w:vAlign w:val="center"/>
                </w:tcPr>
                <w:p w14:paraId="58C244E7">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0.776</w:t>
                  </w:r>
                </w:p>
              </w:tc>
              <w:tc>
                <w:tcPr>
                  <w:tcW w:w="1265" w:type="dxa"/>
                  <w:vAlign w:val="center"/>
                </w:tcPr>
                <w:p w14:paraId="6428D0F8">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液体</w:t>
                  </w:r>
                </w:p>
              </w:tc>
            </w:tr>
            <w:tr w14:paraId="53F9C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64" w:type="dxa"/>
                  <w:vAlign w:val="center"/>
                </w:tcPr>
                <w:p w14:paraId="2CE69F53">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6</w:t>
                  </w:r>
                </w:p>
              </w:tc>
              <w:tc>
                <w:tcPr>
                  <w:tcW w:w="1264" w:type="dxa"/>
                  <w:vAlign w:val="center"/>
                </w:tcPr>
                <w:p w14:paraId="267B0CE9">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面漆</w:t>
                  </w:r>
                </w:p>
              </w:tc>
              <w:tc>
                <w:tcPr>
                  <w:tcW w:w="1265" w:type="dxa"/>
                  <w:vAlign w:val="center"/>
                </w:tcPr>
                <w:p w14:paraId="107C6B2A">
                  <w:pPr>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0.991</w:t>
                  </w:r>
                </w:p>
              </w:tc>
              <w:tc>
                <w:tcPr>
                  <w:tcW w:w="1265" w:type="dxa"/>
                  <w:vAlign w:val="center"/>
                </w:tcPr>
                <w:p w14:paraId="64BA23BC">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液体</w:t>
                  </w:r>
                </w:p>
              </w:tc>
            </w:tr>
            <w:tr w14:paraId="414B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vAlign w:val="center"/>
                </w:tcPr>
                <w:p w14:paraId="278B97B5">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7</w:t>
                  </w:r>
                </w:p>
              </w:tc>
              <w:tc>
                <w:tcPr>
                  <w:tcW w:w="1264" w:type="dxa"/>
                  <w:vAlign w:val="center"/>
                </w:tcPr>
                <w:p w14:paraId="3147B905">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银粉</w:t>
                  </w:r>
                </w:p>
              </w:tc>
              <w:tc>
                <w:tcPr>
                  <w:tcW w:w="1265" w:type="dxa"/>
                  <w:vAlign w:val="center"/>
                </w:tcPr>
                <w:p w14:paraId="1F5E7875">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0.135</w:t>
                  </w:r>
                </w:p>
              </w:tc>
              <w:tc>
                <w:tcPr>
                  <w:tcW w:w="1265" w:type="dxa"/>
                  <w:vAlign w:val="center"/>
                </w:tcPr>
                <w:p w14:paraId="5A4C6F00">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固态</w:t>
                  </w:r>
                </w:p>
              </w:tc>
            </w:tr>
            <w:tr w14:paraId="29BF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vAlign w:val="center"/>
                </w:tcPr>
                <w:p w14:paraId="3952CDAA">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8</w:t>
                  </w:r>
                </w:p>
              </w:tc>
              <w:tc>
                <w:tcPr>
                  <w:tcW w:w="1264" w:type="dxa"/>
                  <w:vAlign w:val="center"/>
                </w:tcPr>
                <w:p w14:paraId="38A8C242">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面漆稀释剂</w:t>
                  </w:r>
                </w:p>
              </w:tc>
              <w:tc>
                <w:tcPr>
                  <w:tcW w:w="1265" w:type="dxa"/>
                  <w:vAlign w:val="center"/>
                </w:tcPr>
                <w:p w14:paraId="229C1118">
                  <w:pPr>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0.082</w:t>
                  </w:r>
                </w:p>
              </w:tc>
              <w:tc>
                <w:tcPr>
                  <w:tcW w:w="1265" w:type="dxa"/>
                  <w:vAlign w:val="center"/>
                </w:tcPr>
                <w:p w14:paraId="7160CDAF">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液态</w:t>
                  </w:r>
                </w:p>
              </w:tc>
            </w:tr>
            <w:tr w14:paraId="1F21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64" w:type="dxa"/>
                  <w:vAlign w:val="center"/>
                </w:tcPr>
                <w:p w14:paraId="727490A6">
                  <w:pPr>
                    <w:jc w:val="center"/>
                    <w:rPr>
                      <w:rFonts w:hint="eastAsia"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9</w:t>
                  </w:r>
                </w:p>
              </w:tc>
              <w:tc>
                <w:tcPr>
                  <w:tcW w:w="1264" w:type="dxa"/>
                  <w:vAlign w:val="center"/>
                </w:tcPr>
                <w:p w14:paraId="7CDE2018">
                  <w:pPr>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切削液</w:t>
                  </w:r>
                </w:p>
              </w:tc>
              <w:tc>
                <w:tcPr>
                  <w:tcW w:w="1265" w:type="dxa"/>
                  <w:vAlign w:val="center"/>
                </w:tcPr>
                <w:p w14:paraId="4EDA06F7">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5</w:t>
                  </w:r>
                </w:p>
              </w:tc>
              <w:tc>
                <w:tcPr>
                  <w:tcW w:w="1265" w:type="dxa"/>
                  <w:vAlign w:val="center"/>
                </w:tcPr>
                <w:p w14:paraId="3B2F42C8">
                  <w:pPr>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液态</w:t>
                  </w:r>
                </w:p>
              </w:tc>
            </w:tr>
            <w:tr w14:paraId="07A4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vAlign w:val="center"/>
                </w:tcPr>
                <w:p w14:paraId="38E3DDA4">
                  <w:pPr>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10</w:t>
                  </w:r>
                </w:p>
              </w:tc>
              <w:tc>
                <w:tcPr>
                  <w:tcW w:w="1264" w:type="dxa"/>
                  <w:vAlign w:val="center"/>
                </w:tcPr>
                <w:p w14:paraId="2D0A5873">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机油</w:t>
                  </w:r>
                </w:p>
              </w:tc>
              <w:tc>
                <w:tcPr>
                  <w:tcW w:w="1265" w:type="dxa"/>
                  <w:vAlign w:val="center"/>
                </w:tcPr>
                <w:p w14:paraId="216B828C">
                  <w:pPr>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0.5</w:t>
                  </w:r>
                </w:p>
              </w:tc>
              <w:tc>
                <w:tcPr>
                  <w:tcW w:w="1265" w:type="dxa"/>
                  <w:vAlign w:val="center"/>
                </w:tcPr>
                <w:p w14:paraId="76BDCAA3">
                  <w:pPr>
                    <w:jc w:val="cente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液态</w:t>
                  </w:r>
                </w:p>
              </w:tc>
            </w:tr>
          </w:tbl>
          <w:p w14:paraId="726D23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default"/>
                <w:b/>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val="0"/>
                <w:color w:val="000000" w:themeColor="text1"/>
                <w:kern w:val="0"/>
                <w:szCs w:val="21"/>
                <w:lang w:val="en-US" w:eastAsia="zh-CN"/>
                <w14:textFill>
                  <w14:solidFill>
                    <w14:schemeClr w14:val="tx1"/>
                  </w14:solidFill>
                </w14:textFill>
              </w:rPr>
              <w:t>注：</w:t>
            </w:r>
            <w:r>
              <w:rPr>
                <w:rFonts w:hint="eastAsia" w:ascii="Times New Roman" w:hAnsi="Times New Roman" w:eastAsia="宋体" w:cs="Times New Roman"/>
                <w:b/>
                <w:bCs w:val="0"/>
                <w:color w:val="000000" w:themeColor="text1"/>
                <w:kern w:val="0"/>
                <w:sz w:val="21"/>
                <w:szCs w:val="21"/>
                <w:lang w:val="en-US" w:eastAsia="zh-CN"/>
                <w14:textFill>
                  <w14:solidFill>
                    <w14:schemeClr w14:val="tx1"/>
                  </w14:solidFill>
                </w14:textFill>
              </w:rPr>
              <w:t>根据原环评，项目采用二氯甲烷作为清洗剂，</w:t>
            </w:r>
            <w:r>
              <w:rPr>
                <w:rFonts w:hint="eastAsia"/>
                <w:b/>
                <w:bCs w:val="0"/>
                <w:color w:val="000000" w:themeColor="text1"/>
                <w:sz w:val="21"/>
                <w:szCs w:val="21"/>
                <w:lang w:val="en-US" w:eastAsia="zh-CN"/>
                <w14:textFill>
                  <w14:solidFill>
                    <w14:schemeClr w14:val="tx1"/>
                  </w14:solidFill>
                </w14:textFill>
              </w:rPr>
              <w:t>由于二氯甲烷涉新型污染物，企业从源头替代</w:t>
            </w:r>
            <w:r>
              <w:rPr>
                <w:rFonts w:hint="default" w:ascii="Times New Roman" w:hAnsi="Times New Roman" w:cs="Times New Roman"/>
                <w:b/>
                <w:bCs w:val="0"/>
                <w:color w:val="000000" w:themeColor="text1"/>
                <w:sz w:val="21"/>
                <w:szCs w:val="21"/>
                <w:lang w:val="en-US" w:eastAsia="zh-CN"/>
                <w14:textFill>
                  <w14:solidFill>
                    <w14:schemeClr w14:val="tx1"/>
                  </w14:solidFill>
                </w14:textFill>
              </w:rPr>
              <w:t>，企业于202</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2</w:t>
            </w:r>
            <w:r>
              <w:rPr>
                <w:rFonts w:hint="default" w:ascii="Times New Roman" w:hAnsi="Times New Roman" w:cs="Times New Roman"/>
                <w:b/>
                <w:bCs w:val="0"/>
                <w:color w:val="000000" w:themeColor="text1"/>
                <w:sz w:val="21"/>
                <w:szCs w:val="21"/>
                <w:lang w:val="en-US" w:eastAsia="zh-CN"/>
                <w14:textFill>
                  <w14:solidFill>
                    <w14:schemeClr w14:val="tx1"/>
                  </w14:solidFill>
                </w14:textFill>
              </w:rPr>
              <w:t>年</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2</w:t>
            </w:r>
            <w:r>
              <w:rPr>
                <w:rFonts w:hint="default" w:ascii="Times New Roman" w:hAnsi="Times New Roman" w:cs="Times New Roman"/>
                <w:b/>
                <w:bCs w:val="0"/>
                <w:color w:val="000000" w:themeColor="text1"/>
                <w:sz w:val="21"/>
                <w:szCs w:val="21"/>
                <w:lang w:val="en-US" w:eastAsia="zh-CN"/>
                <w14:textFill>
                  <w14:solidFill>
                    <w14:schemeClr w14:val="tx1"/>
                  </w14:solidFill>
                </w14:textFill>
              </w:rPr>
              <w:t>月起采用</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白电油</w:t>
            </w:r>
            <w:r>
              <w:rPr>
                <w:rFonts w:hint="default" w:ascii="Times New Roman" w:hAnsi="Times New Roman" w:cs="Times New Roman"/>
                <w:b/>
                <w:bCs w:val="0"/>
                <w:color w:val="000000" w:themeColor="text1"/>
                <w:sz w:val="21"/>
                <w:szCs w:val="21"/>
                <w:lang w:val="en-US" w:eastAsia="zh-CN"/>
                <w14:textFill>
                  <w14:solidFill>
                    <w14:schemeClr w14:val="tx1"/>
                  </w14:solidFill>
                </w14:textFill>
              </w:rPr>
              <w:t>替代作为清洗剂，减少对环境影响。项目浇注机采用</w:t>
            </w:r>
            <w:r>
              <w:rPr>
                <w:rFonts w:hint="eastAsia" w:ascii="Times New Roman" w:hAnsi="Times New Roman" w:cs="Times New Roman"/>
                <w:b/>
                <w:bCs w:val="0"/>
                <w:color w:val="000000" w:themeColor="text1"/>
                <w:sz w:val="21"/>
                <w:szCs w:val="21"/>
                <w:lang w:val="en-US" w:eastAsia="zh-CN"/>
                <w14:textFill>
                  <w14:solidFill>
                    <w14:schemeClr w14:val="tx1"/>
                  </w14:solidFill>
                </w14:textFill>
              </w:rPr>
              <w:t>白电油清洗</w:t>
            </w:r>
            <w:r>
              <w:rPr>
                <w:rFonts w:hint="eastAsia"/>
                <w:b/>
                <w:bCs w:val="0"/>
                <w:color w:val="000000" w:themeColor="text1"/>
                <w:sz w:val="21"/>
                <w:szCs w:val="21"/>
                <w:lang w:val="en-US" w:eastAsia="zh-CN"/>
                <w14:textFill>
                  <w14:solidFill>
                    <w14:schemeClr w14:val="tx1"/>
                  </w14:solidFill>
                </w14:textFill>
              </w:rPr>
              <w:t>，项目每</w:t>
            </w:r>
            <w:r>
              <w:rPr>
                <w:rFonts w:hint="default" w:ascii="Times New Roman" w:hAnsi="Times New Roman" w:cs="Times New Roman"/>
                <w:b/>
                <w:bCs w:val="0"/>
                <w:color w:val="000000" w:themeColor="text1"/>
                <w:sz w:val="21"/>
                <w:szCs w:val="21"/>
                <w:lang w:val="en-US" w:eastAsia="zh-CN"/>
                <w14:textFill>
                  <w14:solidFill>
                    <w14:schemeClr w14:val="tx1"/>
                  </w14:solidFill>
                </w14:textFill>
              </w:rPr>
              <w:t>小时使用白电油清洗浇注机1次，</w:t>
            </w:r>
            <w:r>
              <w:rPr>
                <w:rFonts w:hint="eastAsia"/>
                <w:b/>
                <w:bCs w:val="0"/>
                <w:color w:val="000000" w:themeColor="text1"/>
                <w:sz w:val="21"/>
                <w:szCs w:val="21"/>
                <w:lang w:val="en-US" w:eastAsia="zh-CN"/>
                <w14:textFill>
                  <w14:solidFill>
                    <w14:schemeClr w14:val="tx1"/>
                  </w14:solidFill>
                </w14:textFill>
              </w:rPr>
              <w:t>白电油可满足清洗要求。</w:t>
            </w:r>
          </w:p>
          <w:p w14:paraId="612C4157">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表2-6 本</w:t>
            </w:r>
            <w:r>
              <w:rPr>
                <w:rFonts w:hint="eastAsia" w:ascii="Times New Roman" w:hAnsi="Times New Roman" w:eastAsia="宋体" w:cs="Times New Roman"/>
                <w:b/>
                <w:bCs/>
                <w:color w:val="000000" w:themeColor="text1"/>
                <w:szCs w:val="21"/>
                <w:lang w:eastAsia="zh-CN"/>
                <w14:textFill>
                  <w14:solidFill>
                    <w14:schemeClr w14:val="tx1"/>
                  </w14:solidFill>
                </w14:textFill>
              </w:rPr>
              <w:t>项目</w:t>
            </w:r>
            <w:r>
              <w:rPr>
                <w:rFonts w:ascii="Times New Roman" w:hAnsi="Times New Roman" w:eastAsia="宋体" w:cs="Times New Roman"/>
                <w:b/>
                <w:bCs/>
                <w:color w:val="000000" w:themeColor="text1"/>
                <w:szCs w:val="21"/>
                <w14:textFill>
                  <w14:solidFill>
                    <w14:schemeClr w14:val="tx1"/>
                  </w14:solidFill>
                </w14:textFill>
              </w:rPr>
              <w:t>原辅材料使用情况</w:t>
            </w:r>
          </w:p>
          <w:tbl>
            <w:tblPr>
              <w:tblStyle w:val="187"/>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4"/>
              <w:gridCol w:w="541"/>
              <w:gridCol w:w="746"/>
              <w:gridCol w:w="897"/>
              <w:gridCol w:w="613"/>
              <w:gridCol w:w="1008"/>
              <w:gridCol w:w="1008"/>
              <w:gridCol w:w="1075"/>
              <w:gridCol w:w="601"/>
            </w:tblGrid>
            <w:tr w14:paraId="5E1D2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jc w:val="center"/>
              </w:trPr>
              <w:tc>
                <w:tcPr>
                  <w:tcW w:w="1135" w:type="dxa"/>
                  <w:tcBorders>
                    <w:left w:val="single" w:color="auto" w:sz="4" w:space="0"/>
                  </w:tcBorders>
                  <w:vAlign w:val="center"/>
                </w:tcPr>
                <w:p w14:paraId="4D6FB7FA">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名称</w:t>
                  </w:r>
                </w:p>
              </w:tc>
              <w:tc>
                <w:tcPr>
                  <w:tcW w:w="556" w:type="dxa"/>
                  <w:vAlign w:val="center"/>
                </w:tcPr>
                <w:p w14:paraId="51F1D2A0">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物态</w:t>
                  </w:r>
                </w:p>
              </w:tc>
              <w:tc>
                <w:tcPr>
                  <w:tcW w:w="767" w:type="dxa"/>
                  <w:vAlign w:val="center"/>
                </w:tcPr>
                <w:p w14:paraId="452A380A">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年用量 （t/a）</w:t>
                  </w:r>
                </w:p>
              </w:tc>
              <w:tc>
                <w:tcPr>
                  <w:tcW w:w="922" w:type="dxa"/>
                  <w:vAlign w:val="center"/>
                </w:tcPr>
                <w:p w14:paraId="7FB4B165">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最大储存 量（t/a）</w:t>
                  </w:r>
                </w:p>
              </w:tc>
              <w:tc>
                <w:tcPr>
                  <w:tcW w:w="630" w:type="dxa"/>
                  <w:vAlign w:val="center"/>
                </w:tcPr>
                <w:p w14:paraId="520660C2">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包装 方式</w:t>
                  </w:r>
                </w:p>
              </w:tc>
              <w:tc>
                <w:tcPr>
                  <w:tcW w:w="1036" w:type="dxa"/>
                  <w:vAlign w:val="center"/>
                </w:tcPr>
                <w:p w14:paraId="251D465E">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包装规格</w:t>
                  </w:r>
                </w:p>
              </w:tc>
              <w:tc>
                <w:tcPr>
                  <w:tcW w:w="1036" w:type="dxa"/>
                  <w:vAlign w:val="center"/>
                </w:tcPr>
                <w:p w14:paraId="59BAD010">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所在工序</w:t>
                  </w:r>
                </w:p>
              </w:tc>
              <w:tc>
                <w:tcPr>
                  <w:tcW w:w="1105" w:type="dxa"/>
                  <w:vAlign w:val="center"/>
                </w:tcPr>
                <w:p w14:paraId="6ECCCAA1">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是否属于环 境风险物质</w:t>
                  </w:r>
                </w:p>
              </w:tc>
              <w:tc>
                <w:tcPr>
                  <w:tcW w:w="618" w:type="dxa"/>
                  <w:vAlign w:val="center"/>
                </w:tcPr>
                <w:p w14:paraId="41867401">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临界  量（t）</w:t>
                  </w:r>
                </w:p>
              </w:tc>
            </w:tr>
            <w:tr w14:paraId="32244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jc w:val="center"/>
              </w:trPr>
              <w:tc>
                <w:tcPr>
                  <w:tcW w:w="1135" w:type="dxa"/>
                  <w:vAlign w:val="center"/>
                </w:tcPr>
                <w:p w14:paraId="2016A426">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金属五金件</w:t>
                  </w:r>
                </w:p>
              </w:tc>
              <w:tc>
                <w:tcPr>
                  <w:tcW w:w="556" w:type="dxa"/>
                  <w:vAlign w:val="center"/>
                </w:tcPr>
                <w:p w14:paraId="1FA41335">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固体</w:t>
                  </w:r>
                </w:p>
              </w:tc>
              <w:tc>
                <w:tcPr>
                  <w:tcW w:w="767" w:type="dxa"/>
                  <w:vAlign w:val="center"/>
                </w:tcPr>
                <w:p w14:paraId="7481A414">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1000</w:t>
                  </w:r>
                </w:p>
              </w:tc>
              <w:tc>
                <w:tcPr>
                  <w:tcW w:w="922" w:type="dxa"/>
                  <w:vAlign w:val="center"/>
                </w:tcPr>
                <w:p w14:paraId="2C808C93">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100</w:t>
                  </w:r>
                </w:p>
              </w:tc>
              <w:tc>
                <w:tcPr>
                  <w:tcW w:w="630" w:type="dxa"/>
                  <w:vAlign w:val="center"/>
                </w:tcPr>
                <w:p w14:paraId="5A9DC03D">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铁笼</w:t>
                  </w:r>
                </w:p>
              </w:tc>
              <w:tc>
                <w:tcPr>
                  <w:tcW w:w="1036" w:type="dxa"/>
                  <w:vAlign w:val="center"/>
                </w:tcPr>
                <w:p w14:paraId="6ADB0A37">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5</w:t>
                  </w:r>
                  <w:r>
                    <w:rPr>
                      <w:rFonts w:hint="default"/>
                      <w:b w:val="0"/>
                      <w:color w:val="000000" w:themeColor="text1"/>
                      <w:lang w:eastAsia="zh-CN"/>
                      <w14:textFill>
                        <w14:solidFill>
                          <w14:schemeClr w14:val="tx1"/>
                        </w14:solidFill>
                      </w14:textFill>
                    </w:rPr>
                    <w:t>00kg/</w:t>
                  </w:r>
                  <w:r>
                    <w:rPr>
                      <w:rFonts w:hint="eastAsia"/>
                      <w:b w:val="0"/>
                      <w:color w:val="000000" w:themeColor="text1"/>
                      <w:lang w:eastAsia="zh-CN"/>
                      <w14:textFill>
                        <w14:solidFill>
                          <w14:schemeClr w14:val="tx1"/>
                        </w14:solidFill>
                      </w14:textFill>
                    </w:rPr>
                    <w:t>箱</w:t>
                  </w:r>
                </w:p>
              </w:tc>
              <w:tc>
                <w:tcPr>
                  <w:tcW w:w="1036" w:type="dxa"/>
                  <w:vAlign w:val="center"/>
                </w:tcPr>
                <w:p w14:paraId="70E4C005">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制孔、抛丸</w:t>
                  </w:r>
                </w:p>
              </w:tc>
              <w:tc>
                <w:tcPr>
                  <w:tcW w:w="1105" w:type="dxa"/>
                  <w:vAlign w:val="center"/>
                </w:tcPr>
                <w:p w14:paraId="12A7742F">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否</w:t>
                  </w:r>
                </w:p>
              </w:tc>
              <w:tc>
                <w:tcPr>
                  <w:tcW w:w="618" w:type="dxa"/>
                  <w:vAlign w:val="center"/>
                </w:tcPr>
                <w:p w14:paraId="3D20E5FF">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w:t>
                  </w:r>
                </w:p>
              </w:tc>
            </w:tr>
            <w:tr w14:paraId="001E0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jc w:val="center"/>
              </w:trPr>
              <w:tc>
                <w:tcPr>
                  <w:tcW w:w="1135" w:type="dxa"/>
                  <w:vAlign w:val="center"/>
                </w:tcPr>
                <w:p w14:paraId="34C28D8D">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聚氨酯</w:t>
                  </w:r>
                </w:p>
              </w:tc>
              <w:tc>
                <w:tcPr>
                  <w:tcW w:w="556" w:type="dxa"/>
                  <w:vAlign w:val="center"/>
                </w:tcPr>
                <w:p w14:paraId="26BD39AF">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液体</w:t>
                  </w:r>
                </w:p>
              </w:tc>
              <w:tc>
                <w:tcPr>
                  <w:tcW w:w="767" w:type="dxa"/>
                  <w:vAlign w:val="center"/>
                </w:tcPr>
                <w:p w14:paraId="445AB1C9">
                  <w:pPr>
                    <w:pStyle w:val="71"/>
                    <w:rPr>
                      <w:rFonts w:hint="default"/>
                      <w:b w:val="0"/>
                      <w:color w:val="000000" w:themeColor="text1"/>
                      <w:lang w:val="en-US" w:eastAsia="zh-CN"/>
                      <w14:textFill>
                        <w14:solidFill>
                          <w14:schemeClr w14:val="tx1"/>
                        </w14:solidFill>
                      </w14:textFill>
                    </w:rPr>
                  </w:pPr>
                  <w:r>
                    <w:rPr>
                      <w:rFonts w:hint="eastAsia"/>
                      <w:b w:val="0"/>
                      <w:color w:val="000000" w:themeColor="text1"/>
                      <w:lang w:eastAsia="zh-CN"/>
                      <w14:textFill>
                        <w14:solidFill>
                          <w14:schemeClr w14:val="tx1"/>
                        </w14:solidFill>
                      </w14:textFill>
                    </w:rPr>
                    <w:t>1</w:t>
                  </w:r>
                  <w:r>
                    <w:rPr>
                      <w:rFonts w:hint="eastAsia"/>
                      <w:b w:val="0"/>
                      <w:color w:val="000000" w:themeColor="text1"/>
                      <w:lang w:val="en-US" w:eastAsia="zh-CN"/>
                      <w14:textFill>
                        <w14:solidFill>
                          <w14:schemeClr w14:val="tx1"/>
                        </w14:solidFill>
                      </w14:textFill>
                    </w:rPr>
                    <w:t>10</w:t>
                  </w:r>
                </w:p>
              </w:tc>
              <w:tc>
                <w:tcPr>
                  <w:tcW w:w="922" w:type="dxa"/>
                  <w:vAlign w:val="center"/>
                </w:tcPr>
                <w:p w14:paraId="6663433C">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10</w:t>
                  </w:r>
                </w:p>
              </w:tc>
              <w:tc>
                <w:tcPr>
                  <w:tcW w:w="630" w:type="dxa"/>
                  <w:vAlign w:val="center"/>
                </w:tcPr>
                <w:p w14:paraId="09173F20">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桶装</w:t>
                  </w:r>
                </w:p>
              </w:tc>
              <w:tc>
                <w:tcPr>
                  <w:tcW w:w="1036" w:type="dxa"/>
                  <w:vAlign w:val="center"/>
                </w:tcPr>
                <w:p w14:paraId="270C6E7C">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25</w:t>
                  </w:r>
                  <w:r>
                    <w:rPr>
                      <w:rFonts w:hint="default"/>
                      <w:b w:val="0"/>
                      <w:color w:val="000000" w:themeColor="text1"/>
                      <w:lang w:eastAsia="zh-CN"/>
                      <w14:textFill>
                        <w14:solidFill>
                          <w14:schemeClr w14:val="tx1"/>
                        </w14:solidFill>
                      </w14:textFill>
                    </w:rPr>
                    <w:t>0kg/</w:t>
                  </w:r>
                  <w:r>
                    <w:rPr>
                      <w:rFonts w:hint="eastAsia"/>
                      <w:b w:val="0"/>
                      <w:color w:val="000000" w:themeColor="text1"/>
                      <w:lang w:eastAsia="zh-CN"/>
                      <w14:textFill>
                        <w14:solidFill>
                          <w14:schemeClr w14:val="tx1"/>
                        </w14:solidFill>
                      </w14:textFill>
                    </w:rPr>
                    <w:t>桶</w:t>
                  </w:r>
                </w:p>
              </w:tc>
              <w:tc>
                <w:tcPr>
                  <w:tcW w:w="1036" w:type="dxa"/>
                  <w:vAlign w:val="center"/>
                </w:tcPr>
                <w:p w14:paraId="5BDD586F">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浇注</w:t>
                  </w:r>
                </w:p>
              </w:tc>
              <w:tc>
                <w:tcPr>
                  <w:tcW w:w="1105" w:type="dxa"/>
                  <w:vAlign w:val="center"/>
                </w:tcPr>
                <w:p w14:paraId="559681CD">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否</w:t>
                  </w:r>
                </w:p>
              </w:tc>
              <w:tc>
                <w:tcPr>
                  <w:tcW w:w="618" w:type="dxa"/>
                  <w:vAlign w:val="center"/>
                </w:tcPr>
                <w:p w14:paraId="09FE6965">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w:t>
                  </w:r>
                </w:p>
              </w:tc>
            </w:tr>
            <w:tr w14:paraId="77DF8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jc w:val="center"/>
              </w:trPr>
              <w:tc>
                <w:tcPr>
                  <w:tcW w:w="1135" w:type="dxa"/>
                  <w:vAlign w:val="center"/>
                </w:tcPr>
                <w:p w14:paraId="1BBD5554">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硅酮胶</w:t>
                  </w:r>
                </w:p>
              </w:tc>
              <w:tc>
                <w:tcPr>
                  <w:tcW w:w="556" w:type="dxa"/>
                  <w:vAlign w:val="center"/>
                </w:tcPr>
                <w:p w14:paraId="497F2825">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液体</w:t>
                  </w:r>
                </w:p>
              </w:tc>
              <w:tc>
                <w:tcPr>
                  <w:tcW w:w="767" w:type="dxa"/>
                  <w:vAlign w:val="center"/>
                </w:tcPr>
                <w:p w14:paraId="2E33F73F">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1.6</w:t>
                  </w:r>
                </w:p>
              </w:tc>
              <w:tc>
                <w:tcPr>
                  <w:tcW w:w="922" w:type="dxa"/>
                  <w:vAlign w:val="center"/>
                </w:tcPr>
                <w:p w14:paraId="1AA103A1">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0.072</w:t>
                  </w:r>
                </w:p>
              </w:tc>
              <w:tc>
                <w:tcPr>
                  <w:tcW w:w="630" w:type="dxa"/>
                  <w:vAlign w:val="center"/>
                </w:tcPr>
                <w:p w14:paraId="2E1505DD">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桶装</w:t>
                  </w:r>
                </w:p>
              </w:tc>
              <w:tc>
                <w:tcPr>
                  <w:tcW w:w="1036" w:type="dxa"/>
                  <w:vAlign w:val="center"/>
                </w:tcPr>
                <w:p w14:paraId="0493506C">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25</w:t>
                  </w:r>
                  <w:r>
                    <w:rPr>
                      <w:rFonts w:hint="default"/>
                      <w:b w:val="0"/>
                      <w:color w:val="000000" w:themeColor="text1"/>
                      <w:lang w:eastAsia="zh-CN"/>
                      <w14:textFill>
                        <w14:solidFill>
                          <w14:schemeClr w14:val="tx1"/>
                        </w14:solidFill>
                      </w14:textFill>
                    </w:rPr>
                    <w:t>kg</w:t>
                  </w:r>
                  <w:r>
                    <w:rPr>
                      <w:rFonts w:hint="eastAsia"/>
                      <w:b w:val="0"/>
                      <w:color w:val="000000" w:themeColor="text1"/>
                      <w:lang w:eastAsia="zh-CN"/>
                      <w14:textFill>
                        <w14:solidFill>
                          <w14:schemeClr w14:val="tx1"/>
                        </w14:solidFill>
                      </w14:textFill>
                    </w:rPr>
                    <w:t>/桶</w:t>
                  </w:r>
                </w:p>
              </w:tc>
              <w:tc>
                <w:tcPr>
                  <w:tcW w:w="1036" w:type="dxa"/>
                  <w:vAlign w:val="center"/>
                </w:tcPr>
                <w:p w14:paraId="778EC8F9">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刷胶水</w:t>
                  </w:r>
                </w:p>
              </w:tc>
              <w:tc>
                <w:tcPr>
                  <w:tcW w:w="1105" w:type="dxa"/>
                  <w:vAlign w:val="center"/>
                </w:tcPr>
                <w:p w14:paraId="3BC0E28E">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否</w:t>
                  </w:r>
                </w:p>
              </w:tc>
              <w:tc>
                <w:tcPr>
                  <w:tcW w:w="618" w:type="dxa"/>
                  <w:vAlign w:val="center"/>
                </w:tcPr>
                <w:p w14:paraId="71C04337">
                  <w:pPr>
                    <w:pStyle w:val="71"/>
                    <w:rPr>
                      <w:rFonts w:hint="default"/>
                      <w:b w:val="0"/>
                      <w:color w:val="000000" w:themeColor="text1"/>
                      <w:lang w:eastAsia="zh-CN"/>
                      <w14:textFill>
                        <w14:solidFill>
                          <w14:schemeClr w14:val="tx1"/>
                        </w14:solidFill>
                      </w14:textFill>
                    </w:rPr>
                  </w:pPr>
                  <w:r>
                    <w:rPr>
                      <w:rFonts w:hint="default"/>
                      <w:b w:val="0"/>
                      <w:color w:val="000000" w:themeColor="text1"/>
                      <w:lang w:eastAsia="zh-CN"/>
                      <w14:textFill>
                        <w14:solidFill>
                          <w14:schemeClr w14:val="tx1"/>
                        </w14:solidFill>
                      </w14:textFill>
                    </w:rPr>
                    <w:t>/</w:t>
                  </w:r>
                </w:p>
              </w:tc>
            </w:tr>
            <w:tr w14:paraId="1941C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jc w:val="center"/>
              </w:trPr>
              <w:tc>
                <w:tcPr>
                  <w:tcW w:w="1135" w:type="dxa"/>
                  <w:vAlign w:val="center"/>
                </w:tcPr>
                <w:p w14:paraId="5590B33C">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白电油</w:t>
                  </w:r>
                </w:p>
              </w:tc>
              <w:tc>
                <w:tcPr>
                  <w:tcW w:w="556" w:type="dxa"/>
                  <w:vAlign w:val="center"/>
                </w:tcPr>
                <w:p w14:paraId="2B38E1A2">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液体</w:t>
                  </w:r>
                </w:p>
              </w:tc>
              <w:tc>
                <w:tcPr>
                  <w:tcW w:w="767" w:type="dxa"/>
                  <w:vAlign w:val="center"/>
                </w:tcPr>
                <w:p w14:paraId="4034DFB7">
                  <w:pPr>
                    <w:pStyle w:val="71"/>
                    <w:rPr>
                      <w:rFonts w:hint="default"/>
                      <w:b w:val="0"/>
                      <w:color w:val="000000" w:themeColor="text1"/>
                      <w:lang w:val="en-US" w:eastAsia="zh-CN"/>
                      <w14:textFill>
                        <w14:solidFill>
                          <w14:schemeClr w14:val="tx1"/>
                        </w14:solidFill>
                      </w14:textFill>
                    </w:rPr>
                  </w:pPr>
                  <w:r>
                    <w:rPr>
                      <w:rFonts w:hint="eastAsia"/>
                      <w:b w:val="0"/>
                      <w:color w:val="000000" w:themeColor="text1"/>
                      <w:lang w:eastAsia="zh-CN"/>
                      <w14:textFill>
                        <w14:solidFill>
                          <w14:schemeClr w14:val="tx1"/>
                        </w14:solidFill>
                      </w14:textFill>
                    </w:rPr>
                    <w:t>1.</w:t>
                  </w:r>
                  <w:r>
                    <w:rPr>
                      <w:rFonts w:hint="eastAsia"/>
                      <w:b w:val="0"/>
                      <w:color w:val="000000" w:themeColor="text1"/>
                      <w:lang w:val="en-US" w:eastAsia="zh-CN"/>
                      <w14:textFill>
                        <w14:solidFill>
                          <w14:schemeClr w14:val="tx1"/>
                        </w14:solidFill>
                      </w14:textFill>
                    </w:rPr>
                    <w:t>802</w:t>
                  </w:r>
                </w:p>
              </w:tc>
              <w:tc>
                <w:tcPr>
                  <w:tcW w:w="922" w:type="dxa"/>
                  <w:vAlign w:val="center"/>
                </w:tcPr>
                <w:p w14:paraId="47773D7B">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0.16</w:t>
                  </w:r>
                </w:p>
              </w:tc>
              <w:tc>
                <w:tcPr>
                  <w:tcW w:w="630" w:type="dxa"/>
                  <w:vAlign w:val="center"/>
                </w:tcPr>
                <w:p w14:paraId="447E74E5">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桶装</w:t>
                  </w:r>
                </w:p>
              </w:tc>
              <w:tc>
                <w:tcPr>
                  <w:tcW w:w="1036" w:type="dxa"/>
                  <w:vAlign w:val="center"/>
                </w:tcPr>
                <w:p w14:paraId="46AFD004">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25</w:t>
                  </w:r>
                  <w:r>
                    <w:rPr>
                      <w:rFonts w:hint="default"/>
                      <w:b w:val="0"/>
                      <w:color w:val="000000" w:themeColor="text1"/>
                      <w:lang w:eastAsia="zh-CN"/>
                      <w14:textFill>
                        <w14:solidFill>
                          <w14:schemeClr w14:val="tx1"/>
                        </w14:solidFill>
                      </w14:textFill>
                    </w:rPr>
                    <w:t>kg</w:t>
                  </w:r>
                  <w:r>
                    <w:rPr>
                      <w:rFonts w:hint="eastAsia"/>
                      <w:b w:val="0"/>
                      <w:color w:val="000000" w:themeColor="text1"/>
                      <w:lang w:eastAsia="zh-CN"/>
                      <w14:textFill>
                        <w14:solidFill>
                          <w14:schemeClr w14:val="tx1"/>
                        </w14:solidFill>
                      </w14:textFill>
                    </w:rPr>
                    <w:t>/桶</w:t>
                  </w:r>
                </w:p>
              </w:tc>
              <w:tc>
                <w:tcPr>
                  <w:tcW w:w="1036" w:type="dxa"/>
                  <w:vAlign w:val="center"/>
                </w:tcPr>
                <w:p w14:paraId="42574D88">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浇注</w:t>
                  </w:r>
                </w:p>
              </w:tc>
              <w:tc>
                <w:tcPr>
                  <w:tcW w:w="1105" w:type="dxa"/>
                  <w:vAlign w:val="center"/>
                </w:tcPr>
                <w:p w14:paraId="2A463A2B">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是</w:t>
                  </w:r>
                </w:p>
              </w:tc>
              <w:tc>
                <w:tcPr>
                  <w:tcW w:w="618" w:type="dxa"/>
                  <w:vAlign w:val="center"/>
                </w:tcPr>
                <w:p w14:paraId="63323C57">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2500</w:t>
                  </w:r>
                </w:p>
              </w:tc>
            </w:tr>
            <w:tr w14:paraId="4CD6F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jc w:val="center"/>
              </w:trPr>
              <w:tc>
                <w:tcPr>
                  <w:tcW w:w="1135" w:type="dxa"/>
                  <w:vAlign w:val="center"/>
                </w:tcPr>
                <w:p w14:paraId="0AD738DA">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异丙醇</w:t>
                  </w:r>
                </w:p>
              </w:tc>
              <w:tc>
                <w:tcPr>
                  <w:tcW w:w="556" w:type="dxa"/>
                  <w:vAlign w:val="center"/>
                </w:tcPr>
                <w:p w14:paraId="7DACC547">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液体</w:t>
                  </w:r>
                </w:p>
              </w:tc>
              <w:tc>
                <w:tcPr>
                  <w:tcW w:w="767" w:type="dxa"/>
                  <w:vAlign w:val="center"/>
                </w:tcPr>
                <w:p w14:paraId="68193CF0">
                  <w:pPr>
                    <w:pStyle w:val="71"/>
                    <w:rPr>
                      <w:rFonts w:hint="default"/>
                      <w:b w:val="0"/>
                      <w:color w:val="000000" w:themeColor="text1"/>
                      <w:lang w:val="en-US" w:eastAsia="zh-CN"/>
                      <w14:textFill>
                        <w14:solidFill>
                          <w14:schemeClr w14:val="tx1"/>
                        </w14:solidFill>
                      </w14:textFill>
                    </w:rPr>
                  </w:pPr>
                  <w:r>
                    <w:rPr>
                      <w:rFonts w:hint="eastAsia"/>
                      <w:b w:val="0"/>
                      <w:color w:val="000000" w:themeColor="text1"/>
                      <w:lang w:val="en-US" w:eastAsia="zh-CN"/>
                      <w14:textFill>
                        <w14:solidFill>
                          <w14:schemeClr w14:val="tx1"/>
                        </w14:solidFill>
                      </w14:textFill>
                    </w:rPr>
                    <w:t>0.776</w:t>
                  </w:r>
                </w:p>
              </w:tc>
              <w:tc>
                <w:tcPr>
                  <w:tcW w:w="922" w:type="dxa"/>
                  <w:vAlign w:val="center"/>
                </w:tcPr>
                <w:p w14:paraId="2B439EAD">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0.06</w:t>
                  </w:r>
                </w:p>
              </w:tc>
              <w:tc>
                <w:tcPr>
                  <w:tcW w:w="630" w:type="dxa"/>
                  <w:vAlign w:val="center"/>
                </w:tcPr>
                <w:p w14:paraId="5C2B245E">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桶装</w:t>
                  </w:r>
                </w:p>
              </w:tc>
              <w:tc>
                <w:tcPr>
                  <w:tcW w:w="1036" w:type="dxa"/>
                  <w:vAlign w:val="center"/>
                </w:tcPr>
                <w:p w14:paraId="6987B2D9">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25</w:t>
                  </w:r>
                  <w:r>
                    <w:rPr>
                      <w:rFonts w:hint="default"/>
                      <w:b w:val="0"/>
                      <w:color w:val="000000" w:themeColor="text1"/>
                      <w:lang w:eastAsia="zh-CN"/>
                      <w14:textFill>
                        <w14:solidFill>
                          <w14:schemeClr w14:val="tx1"/>
                        </w14:solidFill>
                      </w14:textFill>
                    </w:rPr>
                    <w:t>kg</w:t>
                  </w:r>
                  <w:r>
                    <w:rPr>
                      <w:rFonts w:hint="eastAsia"/>
                      <w:b w:val="0"/>
                      <w:color w:val="000000" w:themeColor="text1"/>
                      <w:lang w:eastAsia="zh-CN"/>
                      <w14:textFill>
                        <w14:solidFill>
                          <w14:schemeClr w14:val="tx1"/>
                        </w14:solidFill>
                      </w14:textFill>
                    </w:rPr>
                    <w:t>/桶</w:t>
                  </w:r>
                </w:p>
              </w:tc>
              <w:tc>
                <w:tcPr>
                  <w:tcW w:w="1036" w:type="dxa"/>
                  <w:vAlign w:val="center"/>
                </w:tcPr>
                <w:p w14:paraId="7E1F1BF6">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与硅酮胶混合量0</w:t>
                  </w:r>
                  <w:r>
                    <w:rPr>
                      <w:rFonts w:hint="default"/>
                      <w:b w:val="0"/>
                      <w:color w:val="000000" w:themeColor="text1"/>
                      <w:lang w:eastAsia="zh-CN"/>
                      <w14:textFill>
                        <w14:solidFill>
                          <w14:schemeClr w14:val="tx1"/>
                        </w14:solidFill>
                      </w14:textFill>
                    </w:rPr>
                    <w:t>.53t/a</w:t>
                  </w:r>
                  <w:r>
                    <w:rPr>
                      <w:rFonts w:hint="eastAsia"/>
                      <w:b w:val="0"/>
                      <w:color w:val="000000" w:themeColor="text1"/>
                      <w:lang w:val="en-US" w:eastAsia="zh-CN"/>
                      <w14:textFill>
                        <w14:solidFill>
                          <w14:schemeClr w14:val="tx1"/>
                        </w14:solidFill>
                      </w14:textFill>
                    </w:rPr>
                    <w:t>；清洗金属表面0.236t/a；清洗</w:t>
                  </w:r>
                  <w:r>
                    <w:rPr>
                      <w:rFonts w:hint="eastAsia"/>
                      <w:b w:val="0"/>
                      <w:color w:val="000000" w:themeColor="text1"/>
                      <w:lang w:eastAsia="zh-CN"/>
                      <w14:textFill>
                        <w14:solidFill>
                          <w14:schemeClr w14:val="tx1"/>
                        </w14:solidFill>
                      </w14:textFill>
                    </w:rPr>
                    <w:t>喷枪0</w:t>
                  </w:r>
                  <w:r>
                    <w:rPr>
                      <w:rFonts w:hint="default"/>
                      <w:b w:val="0"/>
                      <w:color w:val="000000" w:themeColor="text1"/>
                      <w:lang w:eastAsia="zh-CN"/>
                      <w14:textFill>
                        <w14:solidFill>
                          <w14:schemeClr w14:val="tx1"/>
                        </w14:solidFill>
                      </w14:textFill>
                    </w:rPr>
                    <w:t>.</w:t>
                  </w:r>
                  <w:r>
                    <w:rPr>
                      <w:rFonts w:hint="eastAsia"/>
                      <w:b w:val="0"/>
                      <w:color w:val="000000" w:themeColor="text1"/>
                      <w:lang w:val="en-US" w:eastAsia="zh-CN"/>
                      <w14:textFill>
                        <w14:solidFill>
                          <w14:schemeClr w14:val="tx1"/>
                        </w14:solidFill>
                      </w14:textFill>
                    </w:rPr>
                    <w:t>01</w:t>
                  </w:r>
                  <w:r>
                    <w:rPr>
                      <w:rFonts w:hint="default"/>
                      <w:b w:val="0"/>
                      <w:color w:val="000000" w:themeColor="text1"/>
                      <w:lang w:eastAsia="zh-CN"/>
                      <w14:textFill>
                        <w14:solidFill>
                          <w14:schemeClr w14:val="tx1"/>
                        </w14:solidFill>
                      </w14:textFill>
                    </w:rPr>
                    <w:t>t/a</w:t>
                  </w:r>
                </w:p>
              </w:tc>
              <w:tc>
                <w:tcPr>
                  <w:tcW w:w="1105" w:type="dxa"/>
                  <w:vAlign w:val="center"/>
                </w:tcPr>
                <w:p w14:paraId="0A80A934">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是</w:t>
                  </w:r>
                </w:p>
              </w:tc>
              <w:tc>
                <w:tcPr>
                  <w:tcW w:w="618" w:type="dxa"/>
                  <w:vAlign w:val="center"/>
                </w:tcPr>
                <w:p w14:paraId="04E7D4AF">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50</w:t>
                  </w:r>
                </w:p>
              </w:tc>
            </w:tr>
            <w:tr w14:paraId="2B11A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jc w:val="center"/>
              </w:trPr>
              <w:tc>
                <w:tcPr>
                  <w:tcW w:w="1135" w:type="dxa"/>
                  <w:vAlign w:val="center"/>
                </w:tcPr>
                <w:p w14:paraId="6DFB651B">
                  <w:pPr>
                    <w:pStyle w:val="71"/>
                    <w:rPr>
                      <w:rFonts w:hint="default"/>
                      <w:b w:val="0"/>
                      <w:color w:val="000000" w:themeColor="text1"/>
                      <w:lang w:eastAsia="zh-CN"/>
                      <w14:textFill>
                        <w14:solidFill>
                          <w14:schemeClr w14:val="tx1"/>
                        </w14:solidFill>
                      </w14:textFill>
                    </w:rPr>
                  </w:pPr>
                  <w:r>
                    <w:rPr>
                      <w:rFonts w:hint="default"/>
                      <w:b w:val="0"/>
                      <w:color w:val="000000" w:themeColor="text1"/>
                      <w:lang w:eastAsia="zh-CN"/>
                      <w14:textFill>
                        <w14:solidFill>
                          <w14:schemeClr w14:val="tx1"/>
                        </w14:solidFill>
                      </w14:textFill>
                    </w:rPr>
                    <w:t>面漆</w:t>
                  </w:r>
                </w:p>
              </w:tc>
              <w:tc>
                <w:tcPr>
                  <w:tcW w:w="556" w:type="dxa"/>
                  <w:vAlign w:val="center"/>
                </w:tcPr>
                <w:p w14:paraId="6062B4B1">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液体</w:t>
                  </w:r>
                </w:p>
              </w:tc>
              <w:tc>
                <w:tcPr>
                  <w:tcW w:w="767" w:type="dxa"/>
                  <w:vAlign w:val="center"/>
                </w:tcPr>
                <w:p w14:paraId="45BADC1E">
                  <w:pPr>
                    <w:pStyle w:val="71"/>
                    <w:rPr>
                      <w:rFonts w:hint="default"/>
                      <w:b w:val="0"/>
                      <w:color w:val="000000" w:themeColor="text1"/>
                      <w:lang w:val="en-US" w:eastAsia="zh-CN"/>
                      <w14:textFill>
                        <w14:solidFill>
                          <w14:schemeClr w14:val="tx1"/>
                        </w14:solidFill>
                      </w14:textFill>
                    </w:rPr>
                  </w:pPr>
                  <w:r>
                    <w:rPr>
                      <w:rFonts w:hint="eastAsia"/>
                      <w:b w:val="0"/>
                      <w:color w:val="000000" w:themeColor="text1"/>
                      <w:lang w:val="en-US" w:eastAsia="zh-CN"/>
                      <w14:textFill>
                        <w14:solidFill>
                          <w14:schemeClr w14:val="tx1"/>
                        </w14:solidFill>
                      </w14:textFill>
                    </w:rPr>
                    <w:t>0.991</w:t>
                  </w:r>
                </w:p>
              </w:tc>
              <w:tc>
                <w:tcPr>
                  <w:tcW w:w="922" w:type="dxa"/>
                  <w:vAlign w:val="center"/>
                </w:tcPr>
                <w:p w14:paraId="2C9B415E">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0.06</w:t>
                  </w:r>
                </w:p>
              </w:tc>
              <w:tc>
                <w:tcPr>
                  <w:tcW w:w="630" w:type="dxa"/>
                  <w:vAlign w:val="center"/>
                </w:tcPr>
                <w:p w14:paraId="5B277E26">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桶装</w:t>
                  </w:r>
                </w:p>
              </w:tc>
              <w:tc>
                <w:tcPr>
                  <w:tcW w:w="1036" w:type="dxa"/>
                  <w:vAlign w:val="center"/>
                </w:tcPr>
                <w:p w14:paraId="12BD8FCB">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25</w:t>
                  </w:r>
                  <w:r>
                    <w:rPr>
                      <w:rFonts w:hint="default"/>
                      <w:b w:val="0"/>
                      <w:color w:val="000000" w:themeColor="text1"/>
                      <w:lang w:eastAsia="zh-CN"/>
                      <w14:textFill>
                        <w14:solidFill>
                          <w14:schemeClr w14:val="tx1"/>
                        </w14:solidFill>
                      </w14:textFill>
                    </w:rPr>
                    <w:t>kg/</w:t>
                  </w:r>
                  <w:r>
                    <w:rPr>
                      <w:rFonts w:hint="eastAsia"/>
                      <w:b w:val="0"/>
                      <w:color w:val="000000" w:themeColor="text1"/>
                      <w:lang w:eastAsia="zh-CN"/>
                      <w14:textFill>
                        <w14:solidFill>
                          <w14:schemeClr w14:val="tx1"/>
                        </w14:solidFill>
                      </w14:textFill>
                    </w:rPr>
                    <w:t>桶</w:t>
                  </w:r>
                </w:p>
              </w:tc>
              <w:tc>
                <w:tcPr>
                  <w:tcW w:w="1036" w:type="dxa"/>
                  <w:vAlign w:val="center"/>
                </w:tcPr>
                <w:p w14:paraId="151F7131">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刷漆</w:t>
                  </w:r>
                </w:p>
              </w:tc>
              <w:tc>
                <w:tcPr>
                  <w:tcW w:w="1105" w:type="dxa"/>
                  <w:vAlign w:val="center"/>
                </w:tcPr>
                <w:p w14:paraId="7246222A">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是</w:t>
                  </w:r>
                </w:p>
              </w:tc>
              <w:tc>
                <w:tcPr>
                  <w:tcW w:w="618" w:type="dxa"/>
                  <w:vAlign w:val="center"/>
                </w:tcPr>
                <w:p w14:paraId="07999C66">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50</w:t>
                  </w:r>
                </w:p>
              </w:tc>
            </w:tr>
            <w:tr w14:paraId="31D26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jc w:val="center"/>
              </w:trPr>
              <w:tc>
                <w:tcPr>
                  <w:tcW w:w="1135" w:type="dxa"/>
                  <w:vAlign w:val="center"/>
                </w:tcPr>
                <w:p w14:paraId="5E67477E">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银粉</w:t>
                  </w:r>
                </w:p>
              </w:tc>
              <w:tc>
                <w:tcPr>
                  <w:tcW w:w="556" w:type="dxa"/>
                  <w:vAlign w:val="center"/>
                </w:tcPr>
                <w:p w14:paraId="3B2E9227">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液体</w:t>
                  </w:r>
                </w:p>
              </w:tc>
              <w:tc>
                <w:tcPr>
                  <w:tcW w:w="767" w:type="dxa"/>
                  <w:vAlign w:val="center"/>
                </w:tcPr>
                <w:p w14:paraId="04A9B2CB">
                  <w:pPr>
                    <w:pStyle w:val="71"/>
                    <w:rPr>
                      <w:rFonts w:hint="default"/>
                      <w:b w:val="0"/>
                      <w:color w:val="000000" w:themeColor="text1"/>
                      <w:lang w:eastAsia="zh-CN"/>
                      <w14:textFill>
                        <w14:solidFill>
                          <w14:schemeClr w14:val="tx1"/>
                        </w14:solidFill>
                      </w14:textFill>
                    </w:rPr>
                  </w:pPr>
                  <w:r>
                    <w:rPr>
                      <w:rFonts w:hint="default"/>
                      <w:b w:val="0"/>
                      <w:color w:val="000000" w:themeColor="text1"/>
                      <w:lang w:eastAsia="zh-CN"/>
                      <w14:textFill>
                        <w14:solidFill>
                          <w14:schemeClr w14:val="tx1"/>
                        </w14:solidFill>
                      </w14:textFill>
                    </w:rPr>
                    <w:t>0.135</w:t>
                  </w:r>
                </w:p>
              </w:tc>
              <w:tc>
                <w:tcPr>
                  <w:tcW w:w="922" w:type="dxa"/>
                  <w:vAlign w:val="center"/>
                </w:tcPr>
                <w:p w14:paraId="7D3CDA4D">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0.08</w:t>
                  </w:r>
                </w:p>
              </w:tc>
              <w:tc>
                <w:tcPr>
                  <w:tcW w:w="630" w:type="dxa"/>
                  <w:vAlign w:val="center"/>
                </w:tcPr>
                <w:p w14:paraId="228FC3E5">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桶装</w:t>
                  </w:r>
                </w:p>
              </w:tc>
              <w:tc>
                <w:tcPr>
                  <w:tcW w:w="1036" w:type="dxa"/>
                  <w:vAlign w:val="center"/>
                </w:tcPr>
                <w:p w14:paraId="39ADF2CB">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5</w:t>
                  </w:r>
                  <w:r>
                    <w:rPr>
                      <w:rFonts w:hint="default"/>
                      <w:b w:val="0"/>
                      <w:color w:val="000000" w:themeColor="text1"/>
                      <w:lang w:eastAsia="zh-CN"/>
                      <w14:textFill>
                        <w14:solidFill>
                          <w14:schemeClr w14:val="tx1"/>
                        </w14:solidFill>
                      </w14:textFill>
                    </w:rPr>
                    <w:t>kg/</w:t>
                  </w:r>
                  <w:r>
                    <w:rPr>
                      <w:rFonts w:hint="eastAsia"/>
                      <w:b w:val="0"/>
                      <w:color w:val="000000" w:themeColor="text1"/>
                      <w:lang w:eastAsia="zh-CN"/>
                      <w14:textFill>
                        <w14:solidFill>
                          <w14:schemeClr w14:val="tx1"/>
                        </w14:solidFill>
                      </w14:textFill>
                    </w:rPr>
                    <w:t>桶</w:t>
                  </w:r>
                </w:p>
              </w:tc>
              <w:tc>
                <w:tcPr>
                  <w:tcW w:w="1036" w:type="dxa"/>
                  <w:vAlign w:val="center"/>
                </w:tcPr>
                <w:p w14:paraId="005AEEDA">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刷漆</w:t>
                  </w:r>
                </w:p>
              </w:tc>
              <w:tc>
                <w:tcPr>
                  <w:tcW w:w="1105" w:type="dxa"/>
                  <w:vAlign w:val="center"/>
                </w:tcPr>
                <w:p w14:paraId="3B89DFB0">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否</w:t>
                  </w:r>
                </w:p>
              </w:tc>
              <w:tc>
                <w:tcPr>
                  <w:tcW w:w="618" w:type="dxa"/>
                  <w:vAlign w:val="center"/>
                </w:tcPr>
                <w:p w14:paraId="33572926">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w:t>
                  </w:r>
                </w:p>
              </w:tc>
            </w:tr>
            <w:tr w14:paraId="5AFB9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1135" w:type="dxa"/>
                  <w:vAlign w:val="center"/>
                </w:tcPr>
                <w:p w14:paraId="6EC2B7EF">
                  <w:pPr>
                    <w:pStyle w:val="71"/>
                    <w:rPr>
                      <w:rFonts w:hint="default"/>
                      <w:b w:val="0"/>
                      <w:color w:val="000000" w:themeColor="text1"/>
                      <w:lang w:eastAsia="zh-CN"/>
                      <w14:textFill>
                        <w14:solidFill>
                          <w14:schemeClr w14:val="tx1"/>
                        </w14:solidFill>
                      </w14:textFill>
                    </w:rPr>
                  </w:pPr>
                  <w:r>
                    <w:rPr>
                      <w:rFonts w:hint="default"/>
                      <w:b w:val="0"/>
                      <w:color w:val="000000" w:themeColor="text1"/>
                      <w:lang w:eastAsia="zh-CN"/>
                      <w14:textFill>
                        <w14:solidFill>
                          <w14:schemeClr w14:val="tx1"/>
                        </w14:solidFill>
                      </w14:textFill>
                    </w:rPr>
                    <w:t>面漆稀释剂</w:t>
                  </w:r>
                </w:p>
              </w:tc>
              <w:tc>
                <w:tcPr>
                  <w:tcW w:w="556" w:type="dxa"/>
                  <w:vAlign w:val="center"/>
                </w:tcPr>
                <w:p w14:paraId="3F17395F">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液体</w:t>
                  </w:r>
                </w:p>
              </w:tc>
              <w:tc>
                <w:tcPr>
                  <w:tcW w:w="767" w:type="dxa"/>
                  <w:vAlign w:val="center"/>
                </w:tcPr>
                <w:p w14:paraId="7900BA90">
                  <w:pPr>
                    <w:pStyle w:val="71"/>
                    <w:rPr>
                      <w:rFonts w:hint="default"/>
                      <w:b w:val="0"/>
                      <w:color w:val="000000" w:themeColor="text1"/>
                      <w:lang w:val="en-US" w:eastAsia="zh-CN"/>
                      <w14:textFill>
                        <w14:solidFill>
                          <w14:schemeClr w14:val="tx1"/>
                        </w14:solidFill>
                      </w14:textFill>
                    </w:rPr>
                  </w:pPr>
                  <w:r>
                    <w:rPr>
                      <w:rFonts w:hint="eastAsia"/>
                      <w:b w:val="0"/>
                      <w:color w:val="000000" w:themeColor="text1"/>
                      <w:lang w:val="en-US" w:eastAsia="zh-CN"/>
                      <w14:textFill>
                        <w14:solidFill>
                          <w14:schemeClr w14:val="tx1"/>
                        </w14:solidFill>
                      </w14:textFill>
                    </w:rPr>
                    <w:t>0.082</w:t>
                  </w:r>
                </w:p>
              </w:tc>
              <w:tc>
                <w:tcPr>
                  <w:tcW w:w="922" w:type="dxa"/>
                  <w:vAlign w:val="center"/>
                </w:tcPr>
                <w:p w14:paraId="2C022A56">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0.3</w:t>
                  </w:r>
                </w:p>
              </w:tc>
              <w:tc>
                <w:tcPr>
                  <w:tcW w:w="630" w:type="dxa"/>
                  <w:vAlign w:val="center"/>
                </w:tcPr>
                <w:p w14:paraId="6A1F012D">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桶装</w:t>
                  </w:r>
                </w:p>
              </w:tc>
              <w:tc>
                <w:tcPr>
                  <w:tcW w:w="1036" w:type="dxa"/>
                  <w:vAlign w:val="center"/>
                </w:tcPr>
                <w:p w14:paraId="2B110B40">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25</w:t>
                  </w:r>
                  <w:r>
                    <w:rPr>
                      <w:rFonts w:hint="default"/>
                      <w:b w:val="0"/>
                      <w:color w:val="000000" w:themeColor="text1"/>
                      <w:lang w:eastAsia="zh-CN"/>
                      <w14:textFill>
                        <w14:solidFill>
                          <w14:schemeClr w14:val="tx1"/>
                        </w14:solidFill>
                      </w14:textFill>
                    </w:rPr>
                    <w:t>kg/</w:t>
                  </w:r>
                  <w:r>
                    <w:rPr>
                      <w:rFonts w:hint="eastAsia"/>
                      <w:b w:val="0"/>
                      <w:color w:val="000000" w:themeColor="text1"/>
                      <w:lang w:eastAsia="zh-CN"/>
                      <w14:textFill>
                        <w14:solidFill>
                          <w14:schemeClr w14:val="tx1"/>
                        </w14:solidFill>
                      </w14:textFill>
                    </w:rPr>
                    <w:t>桶</w:t>
                  </w:r>
                </w:p>
              </w:tc>
              <w:tc>
                <w:tcPr>
                  <w:tcW w:w="1036" w:type="dxa"/>
                  <w:vAlign w:val="center"/>
                </w:tcPr>
                <w:p w14:paraId="427D16AE">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刷漆</w:t>
                  </w:r>
                </w:p>
              </w:tc>
              <w:tc>
                <w:tcPr>
                  <w:tcW w:w="1105" w:type="dxa"/>
                  <w:vAlign w:val="center"/>
                </w:tcPr>
                <w:p w14:paraId="53DBEA4D">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是</w:t>
                  </w:r>
                </w:p>
              </w:tc>
              <w:tc>
                <w:tcPr>
                  <w:tcW w:w="618" w:type="dxa"/>
                  <w:vAlign w:val="center"/>
                </w:tcPr>
                <w:p w14:paraId="36B864B0">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2500</w:t>
                  </w:r>
                </w:p>
              </w:tc>
            </w:tr>
            <w:tr w14:paraId="4D99B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1135" w:type="dxa"/>
                  <w:vAlign w:val="center"/>
                </w:tcPr>
                <w:p w14:paraId="69D7CD70">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机油</w:t>
                  </w:r>
                </w:p>
              </w:tc>
              <w:tc>
                <w:tcPr>
                  <w:tcW w:w="556" w:type="dxa"/>
                  <w:vAlign w:val="center"/>
                </w:tcPr>
                <w:p w14:paraId="16F11F0D">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液体</w:t>
                  </w:r>
                </w:p>
              </w:tc>
              <w:tc>
                <w:tcPr>
                  <w:tcW w:w="767" w:type="dxa"/>
                  <w:vAlign w:val="center"/>
                </w:tcPr>
                <w:p w14:paraId="3B40F5A3">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0.5</w:t>
                  </w:r>
                </w:p>
              </w:tc>
              <w:tc>
                <w:tcPr>
                  <w:tcW w:w="922" w:type="dxa"/>
                  <w:vAlign w:val="center"/>
                </w:tcPr>
                <w:p w14:paraId="461C45BB">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0.1</w:t>
                  </w:r>
                </w:p>
              </w:tc>
              <w:tc>
                <w:tcPr>
                  <w:tcW w:w="630" w:type="dxa"/>
                  <w:vAlign w:val="center"/>
                </w:tcPr>
                <w:p w14:paraId="45ABF6C4">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桶装</w:t>
                  </w:r>
                </w:p>
              </w:tc>
              <w:tc>
                <w:tcPr>
                  <w:tcW w:w="1036" w:type="dxa"/>
                  <w:vAlign w:val="center"/>
                </w:tcPr>
                <w:p w14:paraId="5E4D98C1">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25</w:t>
                  </w:r>
                  <w:r>
                    <w:rPr>
                      <w:rFonts w:hint="default"/>
                      <w:b w:val="0"/>
                      <w:color w:val="000000" w:themeColor="text1"/>
                      <w:lang w:eastAsia="zh-CN"/>
                      <w14:textFill>
                        <w14:solidFill>
                          <w14:schemeClr w14:val="tx1"/>
                        </w14:solidFill>
                      </w14:textFill>
                    </w:rPr>
                    <w:t>kg</w:t>
                  </w:r>
                  <w:r>
                    <w:rPr>
                      <w:rFonts w:hint="eastAsia"/>
                      <w:b w:val="0"/>
                      <w:color w:val="000000" w:themeColor="text1"/>
                      <w:lang w:eastAsia="zh-CN"/>
                      <w14:textFill>
                        <w14:solidFill>
                          <w14:schemeClr w14:val="tx1"/>
                        </w14:solidFill>
                      </w14:textFill>
                    </w:rPr>
                    <w:t>/桶</w:t>
                  </w:r>
                </w:p>
              </w:tc>
              <w:tc>
                <w:tcPr>
                  <w:tcW w:w="1036" w:type="dxa"/>
                  <w:vAlign w:val="center"/>
                </w:tcPr>
                <w:p w14:paraId="7126A341">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设备</w:t>
                  </w:r>
                  <w:r>
                    <w:rPr>
                      <w:rFonts w:hint="default"/>
                      <w:b w:val="0"/>
                      <w:color w:val="000000" w:themeColor="text1"/>
                      <w:lang w:eastAsia="zh-CN"/>
                      <w14:textFill>
                        <w14:solidFill>
                          <w14:schemeClr w14:val="tx1"/>
                        </w14:solidFill>
                      </w14:textFill>
                    </w:rPr>
                    <w:t>维修</w:t>
                  </w:r>
                </w:p>
              </w:tc>
              <w:tc>
                <w:tcPr>
                  <w:tcW w:w="1105" w:type="dxa"/>
                  <w:vAlign w:val="center"/>
                </w:tcPr>
                <w:p w14:paraId="7251DD96">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是</w:t>
                  </w:r>
                </w:p>
              </w:tc>
              <w:tc>
                <w:tcPr>
                  <w:tcW w:w="618" w:type="dxa"/>
                  <w:vAlign w:val="center"/>
                </w:tcPr>
                <w:p w14:paraId="49AEAFC3">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2500</w:t>
                  </w:r>
                </w:p>
              </w:tc>
            </w:tr>
            <w:tr w14:paraId="561DE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1135" w:type="dxa"/>
                  <w:vAlign w:val="center"/>
                </w:tcPr>
                <w:p w14:paraId="52969C2A">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切削液</w:t>
                  </w:r>
                </w:p>
              </w:tc>
              <w:tc>
                <w:tcPr>
                  <w:tcW w:w="556" w:type="dxa"/>
                  <w:vAlign w:val="center"/>
                </w:tcPr>
                <w:p w14:paraId="76F1E579">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液体</w:t>
                  </w:r>
                </w:p>
              </w:tc>
              <w:tc>
                <w:tcPr>
                  <w:tcW w:w="767" w:type="dxa"/>
                  <w:vAlign w:val="center"/>
                </w:tcPr>
                <w:p w14:paraId="38FD5A94">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5</w:t>
                  </w:r>
                </w:p>
              </w:tc>
              <w:tc>
                <w:tcPr>
                  <w:tcW w:w="922" w:type="dxa"/>
                  <w:vAlign w:val="center"/>
                </w:tcPr>
                <w:p w14:paraId="6A88B0E9">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1</w:t>
                  </w:r>
                </w:p>
              </w:tc>
              <w:tc>
                <w:tcPr>
                  <w:tcW w:w="630" w:type="dxa"/>
                  <w:vAlign w:val="center"/>
                </w:tcPr>
                <w:p w14:paraId="18F7CFFC">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桶装</w:t>
                  </w:r>
                </w:p>
              </w:tc>
              <w:tc>
                <w:tcPr>
                  <w:tcW w:w="1036" w:type="dxa"/>
                  <w:vAlign w:val="center"/>
                </w:tcPr>
                <w:p w14:paraId="75F2BB41">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w:t>
                  </w:r>
                  <w:r>
                    <w:rPr>
                      <w:rFonts w:hint="default"/>
                      <w:b w:val="0"/>
                      <w:color w:val="000000" w:themeColor="text1"/>
                      <w:lang w:eastAsia="zh-CN"/>
                      <w14:textFill>
                        <w14:solidFill>
                          <w14:schemeClr w14:val="tx1"/>
                        </w14:solidFill>
                      </w14:textFill>
                    </w:rPr>
                    <w:t>5kg/桶</w:t>
                  </w:r>
                </w:p>
              </w:tc>
              <w:tc>
                <w:tcPr>
                  <w:tcW w:w="1036" w:type="dxa"/>
                  <w:vAlign w:val="center"/>
                </w:tcPr>
                <w:p w14:paraId="7C069C1A">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制孔</w:t>
                  </w:r>
                </w:p>
              </w:tc>
              <w:tc>
                <w:tcPr>
                  <w:tcW w:w="1105" w:type="dxa"/>
                  <w:vAlign w:val="center"/>
                </w:tcPr>
                <w:p w14:paraId="249F9C70">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是</w:t>
                  </w:r>
                </w:p>
              </w:tc>
              <w:tc>
                <w:tcPr>
                  <w:tcW w:w="618" w:type="dxa"/>
                  <w:vAlign w:val="center"/>
                </w:tcPr>
                <w:p w14:paraId="1A414C6E">
                  <w:pPr>
                    <w:pStyle w:val="71"/>
                    <w:rPr>
                      <w:rFonts w:hint="default"/>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2</w:t>
                  </w:r>
                  <w:r>
                    <w:rPr>
                      <w:rFonts w:hint="default"/>
                      <w:b w:val="0"/>
                      <w:color w:val="000000" w:themeColor="text1"/>
                      <w:lang w:eastAsia="zh-CN"/>
                      <w14:textFill>
                        <w14:solidFill>
                          <w14:schemeClr w14:val="tx1"/>
                        </w14:solidFill>
                      </w14:textFill>
                    </w:rPr>
                    <w:t>500</w:t>
                  </w:r>
                </w:p>
              </w:tc>
            </w:tr>
          </w:tbl>
          <w:p w14:paraId="7FFC7BB6">
            <w:pPr>
              <w:ind w:firstLine="420" w:firstLineChars="200"/>
              <w:jc w:val="center"/>
              <w:rPr>
                <w:rFonts w:ascii="Times New Roman" w:hAnsi="Times New Roman" w:cs="Times New Roman"/>
                <w:bCs/>
                <w:color w:val="000000" w:themeColor="text1"/>
                <w:szCs w:val="21"/>
                <w14:textFill>
                  <w14:solidFill>
                    <w14:schemeClr w14:val="tx1"/>
                  </w14:solidFill>
                </w14:textFill>
              </w:rPr>
            </w:pPr>
          </w:p>
          <w:p w14:paraId="50CB3EB4">
            <w:pPr>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w:t>
            </w:r>
            <w:r>
              <w:rPr>
                <w:rFonts w:ascii="Times New Roman" w:hAnsi="Times New Roman" w:cs="Times New Roman"/>
                <w:bCs/>
                <w:color w:val="000000" w:themeColor="text1"/>
                <w:sz w:val="24"/>
                <w14:textFill>
                  <w14:solidFill>
                    <w14:schemeClr w14:val="tx1"/>
                  </w14:solidFill>
                </w14:textFill>
              </w:rPr>
              <w:t>2</w:t>
            </w:r>
            <w:r>
              <w:rPr>
                <w:rFonts w:hint="eastAsia"/>
                <w:bCs/>
                <w:color w:val="000000" w:themeColor="text1"/>
                <w:sz w:val="24"/>
                <w14:textFill>
                  <w14:solidFill>
                    <w14:schemeClr w14:val="tx1"/>
                  </w14:solidFill>
                </w14:textFill>
              </w:rPr>
              <w:t>）原辅材料理化性质</w:t>
            </w:r>
          </w:p>
          <w:p w14:paraId="639FB141">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聚氨酯：用于浇注，由聚氨酯预聚体A料和聚氨酯预聚体B料组成。聚氨酯预聚体A料的主要成分为3,3'二氯 -4,4'-二苯甲基烷二氨、聚氨酯橡胶硫化剂；聚氨酯预聚体B料的主要成分为二苯基烷二异氰酸酯、聚醚多元醇。</w:t>
            </w:r>
          </w:p>
          <w:p w14:paraId="73BAB014">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硅酮胶：用于帮助和促进浇注型聚氨酯弹性体附着至金属及其他硬质基材。为金属提供优良的底涂保护，与浇注型聚氨酯结合良好。A组分包括107胶（CAS号为63148-60-7，107室温硫化硅橡胶，占比40%）、碳酸钙（50%）、201胶（CAS号为9016-00-6，聚二甲基硅氧烷，占比10%），B组分包括201胶（CAS号为9016-00-6，聚二甲基硅氧烷，占比40%）、炭黑（20%）、固化剂（30%）、偶联剂（10%）等。瓷白色膏状，淡淡的味道，类似酮，自然温度为400℃，密度为1.45g/c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，不溶于水，不燃，不爆。根据建设单位提供的挥发性有机物检测报告，硅酮胶挥发性有机物含量为42g/kg，符合《胶粘剂挥发性有机化合物限量》（GB 33372-2020）中表3本体型胶粘剂VOCs相应含量限值要求（硅酮胶属于有机硅类，装配行业的限值为100g/kg）。</w:t>
            </w:r>
          </w:p>
          <w:p w14:paraId="200DF70D">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白电油：涂于</w:t>
            </w:r>
            <w:r>
              <w:rPr>
                <w:rFonts w:hint="eastAsia" w:ascii="Times New Roman" w:hAnsi="Times New Roman" w:eastAsia="宋体" w:cs="Times New Roman"/>
                <w:color w:val="000000" w:themeColor="text1"/>
                <w:sz w:val="24"/>
                <w:lang w:val="en-US" w:eastAsia="zh-CN"/>
                <w14:textFill>
                  <w14:solidFill>
                    <w14:schemeClr w14:val="tx1"/>
                  </w14:solidFill>
                </w14:textFill>
              </w:rPr>
              <w:t>模具金属</w:t>
            </w:r>
            <w:r>
              <w:rPr>
                <w:rFonts w:hint="eastAsia" w:ascii="Times New Roman" w:hAnsi="Times New Roman" w:eastAsia="宋体" w:cs="Times New Roman"/>
                <w:color w:val="000000" w:themeColor="text1"/>
                <w:sz w:val="24"/>
                <w14:textFill>
                  <w14:solidFill>
                    <w14:schemeClr w14:val="tx1"/>
                  </w14:solidFill>
                </w14:textFill>
              </w:rPr>
              <w:t>表面，</w:t>
            </w:r>
            <w:r>
              <w:rPr>
                <w:rFonts w:hint="eastAsia" w:ascii="Times New Roman" w:hAnsi="Times New Roman" w:eastAsia="宋体" w:cs="Times New Roman"/>
                <w:color w:val="000000" w:themeColor="text1"/>
                <w:sz w:val="24"/>
                <w:lang w:val="en-US" w:eastAsia="zh-CN"/>
                <w14:textFill>
                  <w14:solidFill>
                    <w14:schemeClr w14:val="tx1"/>
                  </w14:solidFill>
                </w14:textFill>
              </w:rPr>
              <w:t>便于聚氨酯塑料件浇注成型后脱模</w:t>
            </w:r>
            <w:r>
              <w:rPr>
                <w:rFonts w:hint="eastAsia" w:ascii="Times New Roman" w:hAnsi="Times New Roman" w:eastAsia="宋体" w:cs="Times New Roman"/>
                <w:color w:val="000000" w:themeColor="text1"/>
                <w:sz w:val="24"/>
                <w14:textFill>
                  <w14:solidFill>
                    <w14:schemeClr w14:val="tx1"/>
                  </w14:solidFill>
                </w14:textFill>
              </w:rPr>
              <w:t>。主要成分为石油醚1#、石油醚2#、轻质白油。本品易燃，具刺激性。</w:t>
            </w:r>
          </w:p>
          <w:p w14:paraId="6433A7E8">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异丙醇：用于</w:t>
            </w:r>
            <w:r>
              <w:rPr>
                <w:rFonts w:hint="eastAsia" w:ascii="Times New Roman" w:hAnsi="Times New Roman" w:eastAsia="宋体" w:cs="Times New Roman"/>
                <w:color w:val="000000" w:themeColor="text1"/>
                <w:sz w:val="24"/>
                <w:lang w:val="en-US" w:eastAsia="zh-CN"/>
                <w14:textFill>
                  <w14:solidFill>
                    <w14:schemeClr w14:val="tx1"/>
                  </w14:solidFill>
                </w14:textFill>
              </w:rPr>
              <w:t>稀释硅酮胶、清洗金属表面、和</w:t>
            </w:r>
            <w:r>
              <w:rPr>
                <w:rFonts w:hint="eastAsia" w:ascii="Times New Roman" w:hAnsi="Times New Roman" w:eastAsia="宋体" w:cs="Times New Roman"/>
                <w:color w:val="000000" w:themeColor="text1"/>
                <w:sz w:val="24"/>
                <w14:textFill>
                  <w14:solidFill>
                    <w14:schemeClr w14:val="tx1"/>
                  </w14:solidFill>
                </w14:textFill>
              </w:rPr>
              <w:t>用于清洗浇注机喷枪里的残留的聚氨酯。（常温下）无色透明液体，有似乙醇和丙酮混合物的气味。属于易燃液体。</w:t>
            </w:r>
          </w:p>
          <w:p w14:paraId="2BB8841F">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面漆：组成成分：乙基苯、1,6-二异氰酰</w:t>
            </w:r>
            <w:r>
              <w:rPr>
                <w:rFonts w:hint="eastAsia" w:ascii="Times New Roman" w:hAnsi="Times New Roman" w:eastAsia="宋体" w:cs="Times New Roman"/>
                <w:color w:val="000000" w:themeColor="text1"/>
                <w:sz w:val="24"/>
                <w:lang w:eastAsia="zh-CN"/>
                <w14:textFill>
                  <w14:solidFill>
                    <w14:schemeClr w14:val="tx1"/>
                  </w14:solidFill>
                </w14:textFill>
              </w:rPr>
              <w:t>己烷</w:t>
            </w:r>
            <w:r>
              <w:rPr>
                <w:rFonts w:hint="eastAsia" w:ascii="Times New Roman" w:hAnsi="Times New Roman" w:eastAsia="宋体" w:cs="Times New Roman"/>
                <w:color w:val="000000" w:themeColor="text1"/>
                <w:sz w:val="24"/>
                <w14:textFill>
                  <w14:solidFill>
                    <w14:schemeClr w14:val="tx1"/>
                  </w14:solidFill>
                </w14:textFill>
              </w:rPr>
              <w:t>；危险成分：六亚甲基二异氰酸酯聚合物，乙酸-1-甲氧基-2-丙基酯二甲苯异构体混合物。物理状态：液体，呈透明；沸点、初始沸点和沸点范围：136℃；闪点；闭杯：29℃；相对密度为1.06g/cm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；与水不可溶；面漆MSDS见</w:t>
            </w:r>
            <w:r>
              <w:rPr>
                <w:rFonts w:ascii="Times New Roman" w:hAnsi="Times New Roman" w:eastAsia="宋体" w:cs="Times New Roman"/>
                <w:color w:val="000000" w:themeColor="text1"/>
                <w:sz w:val="24"/>
                <w14:textFill>
                  <w14:solidFill>
                    <w14:schemeClr w14:val="tx1"/>
                  </w14:solidFill>
                </w14:textFill>
              </w:rPr>
              <w:t>（附件7）。</w:t>
            </w:r>
          </w:p>
          <w:p w14:paraId="4A65DBF7">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银粉：与面漆搭配使用，用于刷漆。呈鳞片状的铝粉或铝粉浆，因其颜色和泽如银，也称铝银粉、铝银浆、银粉。其良好的延展性在涂膜中可形成连续不断的铝膜，可掩盖针孔，减少渗透性。</w:t>
            </w:r>
          </w:p>
          <w:p w14:paraId="72A904FD">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面漆稀释剂：组成成分：二甲苯异构体混合物、乙酸丁酯、乙基苯、甲苯、异丙</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基</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苯；物理状态：液体，透明；沸点、初始沸点和沸点范围：</w:t>
            </w:r>
            <w:r>
              <w:rPr>
                <w:rFonts w:ascii="Times New Roman" w:hAnsi="Times New Roman" w:eastAsia="宋体" w:cs="Times New Roman"/>
                <w:color w:val="000000" w:themeColor="text1"/>
                <w:sz w:val="24"/>
                <w14:textFill>
                  <w14:solidFill>
                    <w14:schemeClr w14:val="tx1"/>
                  </w14:solidFill>
                </w14:textFill>
              </w:rPr>
              <w:t>123℃（253.4℉（华氏度））；闪点：闭杯: 26℃ （78.8℉（华氏度））；相对密度</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水=1</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：0.86；与水不可溶；面稀释剂MSDS见（附件3）</w:t>
            </w:r>
          </w:p>
          <w:p w14:paraId="3569AF20">
            <w:pPr>
              <w:ind w:firstLine="420" w:firstLineChars="20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表</w:t>
            </w: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-6</w:t>
            </w:r>
            <w:r>
              <w:rPr>
                <w:rFonts w:hint="eastAsia" w:ascii="Times New Roman" w:hAnsi="Times New Roman" w:eastAsia="宋体" w:cs="Times New Roman"/>
                <w:color w:val="000000" w:themeColor="text1"/>
                <w:szCs w:val="21"/>
                <w14:textFill>
                  <w14:solidFill>
                    <w14:schemeClr w14:val="tx1"/>
                  </w14:solidFill>
                </w14:textFill>
              </w:rPr>
              <w:t xml:space="preserve"> 面漆、面漆稀释剂组分含量一览表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5"/>
              <w:gridCol w:w="1897"/>
              <w:gridCol w:w="1897"/>
              <w:gridCol w:w="1897"/>
            </w:tblGrid>
            <w:tr w14:paraId="111F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Align w:val="center"/>
                </w:tcPr>
                <w:p w14:paraId="1DE95A97">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序号</w:t>
                  </w:r>
                </w:p>
              </w:tc>
              <w:tc>
                <w:tcPr>
                  <w:tcW w:w="1897" w:type="dxa"/>
                  <w:vAlign w:val="center"/>
                </w:tcPr>
                <w:p w14:paraId="1C450F53">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名称</w:t>
                  </w:r>
                </w:p>
              </w:tc>
              <w:tc>
                <w:tcPr>
                  <w:tcW w:w="3794" w:type="dxa"/>
                  <w:gridSpan w:val="2"/>
                  <w:vAlign w:val="center"/>
                </w:tcPr>
                <w:p w14:paraId="2069AD09">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主要组成成分%</w:t>
                  </w:r>
                </w:p>
              </w:tc>
            </w:tr>
            <w:tr w14:paraId="67C4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Merge w:val="restart"/>
                  <w:vAlign w:val="center"/>
                </w:tcPr>
                <w:p w14:paraId="772A57E4">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1</w:t>
                  </w:r>
                </w:p>
              </w:tc>
              <w:tc>
                <w:tcPr>
                  <w:tcW w:w="1897" w:type="dxa"/>
                  <w:vMerge w:val="restart"/>
                  <w:vAlign w:val="center"/>
                </w:tcPr>
                <w:p w14:paraId="2E7AB5D9">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面漆</w:t>
                  </w:r>
                </w:p>
              </w:tc>
              <w:tc>
                <w:tcPr>
                  <w:tcW w:w="1897" w:type="dxa"/>
                  <w:vAlign w:val="center"/>
                </w:tcPr>
                <w:p w14:paraId="349F0E97">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六亚甲基二异氰酸酯聚合物</w:t>
                  </w:r>
                </w:p>
              </w:tc>
              <w:tc>
                <w:tcPr>
                  <w:tcW w:w="1897" w:type="dxa"/>
                  <w:vAlign w:val="center"/>
                </w:tcPr>
                <w:p w14:paraId="54FF78A4">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≥50 - ≤75</w:t>
                  </w:r>
                </w:p>
              </w:tc>
            </w:tr>
            <w:tr w14:paraId="4DCD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Merge w:val="continue"/>
                  <w:vAlign w:val="center"/>
                </w:tcPr>
                <w:p w14:paraId="68D3CBBA">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Merge w:val="continue"/>
                  <w:vAlign w:val="center"/>
                </w:tcPr>
                <w:p w14:paraId="203B8DFE">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Align w:val="center"/>
                </w:tcPr>
                <w:p w14:paraId="27C30093">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乙酸-1-甲氧基-2-丙基酯</w:t>
                  </w:r>
                </w:p>
              </w:tc>
              <w:tc>
                <w:tcPr>
                  <w:tcW w:w="1897" w:type="dxa"/>
                  <w:vAlign w:val="center"/>
                </w:tcPr>
                <w:p w14:paraId="7EF9BCD3">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≥10 - ≤25</w:t>
                  </w:r>
                </w:p>
              </w:tc>
            </w:tr>
            <w:tr w14:paraId="399A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Merge w:val="continue"/>
                  <w:vAlign w:val="center"/>
                </w:tcPr>
                <w:p w14:paraId="6CE625B0">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Merge w:val="continue"/>
                  <w:vAlign w:val="center"/>
                </w:tcPr>
                <w:p w14:paraId="5440CF44">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Align w:val="center"/>
                </w:tcPr>
                <w:p w14:paraId="555C4722">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二甲苯异构体混合物</w:t>
                  </w:r>
                </w:p>
              </w:tc>
              <w:tc>
                <w:tcPr>
                  <w:tcW w:w="1897" w:type="dxa"/>
                  <w:vAlign w:val="center"/>
                </w:tcPr>
                <w:p w14:paraId="5021BE9D">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≤13</w:t>
                  </w:r>
                </w:p>
              </w:tc>
            </w:tr>
            <w:tr w14:paraId="501B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Merge w:val="continue"/>
                  <w:vAlign w:val="center"/>
                </w:tcPr>
                <w:p w14:paraId="74C82144">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Merge w:val="continue"/>
                  <w:vAlign w:val="center"/>
                </w:tcPr>
                <w:p w14:paraId="3CB12969">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Align w:val="center"/>
                </w:tcPr>
                <w:p w14:paraId="738E76C9">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乙基苯</w:t>
                  </w:r>
                </w:p>
              </w:tc>
              <w:tc>
                <w:tcPr>
                  <w:tcW w:w="1897" w:type="dxa"/>
                  <w:vAlign w:val="center"/>
                </w:tcPr>
                <w:p w14:paraId="3B6FEE76">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≤3</w:t>
                  </w:r>
                </w:p>
              </w:tc>
            </w:tr>
            <w:tr w14:paraId="4BF2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Merge w:val="continue"/>
                  <w:vAlign w:val="center"/>
                </w:tcPr>
                <w:p w14:paraId="5D12B6E8">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Merge w:val="continue"/>
                  <w:vAlign w:val="center"/>
                </w:tcPr>
                <w:p w14:paraId="31FFD18D">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Align w:val="center"/>
                </w:tcPr>
                <w:p w14:paraId="3E16DDF2">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1,6-二异氰酰己烷</w:t>
                  </w:r>
                </w:p>
              </w:tc>
              <w:tc>
                <w:tcPr>
                  <w:tcW w:w="1897" w:type="dxa"/>
                  <w:vAlign w:val="center"/>
                </w:tcPr>
                <w:p w14:paraId="0E4D70F2">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&lt;1</w:t>
                  </w:r>
                </w:p>
              </w:tc>
            </w:tr>
            <w:tr w14:paraId="4662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Merge w:val="restart"/>
                  <w:vAlign w:val="center"/>
                </w:tcPr>
                <w:p w14:paraId="3FA5FD3F">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2</w:t>
                  </w:r>
                </w:p>
              </w:tc>
              <w:tc>
                <w:tcPr>
                  <w:tcW w:w="1897" w:type="dxa"/>
                  <w:vMerge w:val="restart"/>
                  <w:vAlign w:val="center"/>
                </w:tcPr>
                <w:p w14:paraId="5DF13872">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面漆稀释剂</w:t>
                  </w:r>
                </w:p>
              </w:tc>
              <w:tc>
                <w:tcPr>
                  <w:tcW w:w="1897" w:type="dxa"/>
                  <w:vAlign w:val="center"/>
                </w:tcPr>
                <w:p w14:paraId="0A0F5019">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二甲苯异构体混合物</w:t>
                  </w:r>
                </w:p>
              </w:tc>
              <w:tc>
                <w:tcPr>
                  <w:tcW w:w="1897" w:type="dxa"/>
                  <w:vAlign w:val="center"/>
                </w:tcPr>
                <w:p w14:paraId="08808B07">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≥50 - ≤70</w:t>
                  </w:r>
                </w:p>
              </w:tc>
            </w:tr>
            <w:tr w14:paraId="06E7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Merge w:val="continue"/>
                  <w:vAlign w:val="center"/>
                </w:tcPr>
                <w:p w14:paraId="43E45FCC">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Merge w:val="continue"/>
                  <w:vAlign w:val="center"/>
                </w:tcPr>
                <w:p w14:paraId="2B3BE74F">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Align w:val="center"/>
                </w:tcPr>
                <w:p w14:paraId="34257F24">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乙酸丁酯</w:t>
                  </w:r>
                </w:p>
              </w:tc>
              <w:tc>
                <w:tcPr>
                  <w:tcW w:w="1897" w:type="dxa"/>
                  <w:vAlign w:val="center"/>
                </w:tcPr>
                <w:p w14:paraId="1D8B5FD2">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≥10 - ≤25</w:t>
                  </w:r>
                </w:p>
              </w:tc>
            </w:tr>
            <w:tr w14:paraId="7AD0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Merge w:val="continue"/>
                  <w:vAlign w:val="center"/>
                </w:tcPr>
                <w:p w14:paraId="05305873">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Merge w:val="continue"/>
                  <w:vAlign w:val="center"/>
                </w:tcPr>
                <w:p w14:paraId="2ABDF784">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Align w:val="center"/>
                </w:tcPr>
                <w:p w14:paraId="54CD3E38">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乙基苯</w:t>
                  </w:r>
                </w:p>
              </w:tc>
              <w:tc>
                <w:tcPr>
                  <w:tcW w:w="1897" w:type="dxa"/>
                  <w:vAlign w:val="center"/>
                </w:tcPr>
                <w:p w14:paraId="60D8DE2E">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≤12</w:t>
                  </w:r>
                </w:p>
              </w:tc>
            </w:tr>
            <w:tr w14:paraId="75F5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Merge w:val="continue"/>
                  <w:vAlign w:val="center"/>
                </w:tcPr>
                <w:p w14:paraId="2C5FD0D6">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Merge w:val="continue"/>
                  <w:vAlign w:val="center"/>
                </w:tcPr>
                <w:p w14:paraId="72DB7EE0">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Align w:val="center"/>
                </w:tcPr>
                <w:p w14:paraId="699F4F1C">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甲苯</w:t>
                  </w:r>
                </w:p>
              </w:tc>
              <w:tc>
                <w:tcPr>
                  <w:tcW w:w="1897" w:type="dxa"/>
                  <w:vAlign w:val="center"/>
                </w:tcPr>
                <w:p w14:paraId="1FAAC934">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≤0.3</w:t>
                  </w:r>
                </w:p>
              </w:tc>
            </w:tr>
            <w:tr w14:paraId="0593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6" w:type="dxa"/>
                  <w:vMerge w:val="continue"/>
                  <w:vAlign w:val="center"/>
                </w:tcPr>
                <w:p w14:paraId="698EFE5B">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Merge w:val="continue"/>
                  <w:vAlign w:val="center"/>
                </w:tcPr>
                <w:p w14:paraId="2DC0EA50">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p>
              </w:tc>
              <w:tc>
                <w:tcPr>
                  <w:tcW w:w="1897" w:type="dxa"/>
                  <w:vAlign w:val="center"/>
                </w:tcPr>
                <w:p w14:paraId="5CE9BF33">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hint="eastAsia" w:ascii="Times New Roman" w:hAnsi="Times New Roman" w:eastAsia="宋体" w:cs="Times New Roman"/>
                      <w:bCs/>
                      <w:color w:val="000000" w:themeColor="text1"/>
                      <w:kern w:val="0"/>
                      <w:szCs w:val="21"/>
                      <w14:textFill>
                        <w14:solidFill>
                          <w14:schemeClr w14:val="tx1"/>
                        </w14:solidFill>
                      </w14:textFill>
                    </w:rPr>
                    <w:t>异丙</w:t>
                  </w:r>
                  <w:r>
                    <w:rPr>
                      <w:rFonts w:hint="eastAsia" w:ascii="Times New Roman" w:hAnsi="Times New Roman" w:eastAsia="宋体" w:cs="Times New Roman"/>
                      <w:bCs/>
                      <w:color w:val="000000" w:themeColor="text1"/>
                      <w:kern w:val="0"/>
                      <w:szCs w:val="21"/>
                      <w:lang w:eastAsia="zh-CN"/>
                      <w14:textFill>
                        <w14:solidFill>
                          <w14:schemeClr w14:val="tx1"/>
                        </w14:solidFill>
                      </w14:textFill>
                    </w:rPr>
                    <w:t>（</w:t>
                  </w:r>
                  <w:r>
                    <w:rPr>
                      <w:rFonts w:hint="eastAsia" w:ascii="Times New Roman" w:hAnsi="Times New Roman" w:eastAsia="宋体" w:cs="Times New Roman"/>
                      <w:bCs/>
                      <w:color w:val="000000" w:themeColor="text1"/>
                      <w:kern w:val="0"/>
                      <w:szCs w:val="21"/>
                      <w14:textFill>
                        <w14:solidFill>
                          <w14:schemeClr w14:val="tx1"/>
                        </w14:solidFill>
                      </w14:textFill>
                    </w:rPr>
                    <w:t>基</w:t>
                  </w:r>
                  <w:r>
                    <w:rPr>
                      <w:rFonts w:hint="eastAsia" w:ascii="Times New Roman" w:hAnsi="Times New Roman" w:eastAsia="宋体" w:cs="Times New Roman"/>
                      <w:bCs/>
                      <w:color w:val="000000" w:themeColor="text1"/>
                      <w:kern w:val="0"/>
                      <w:szCs w:val="21"/>
                      <w:lang w:eastAsia="zh-CN"/>
                      <w14:textFill>
                        <w14:solidFill>
                          <w14:schemeClr w14:val="tx1"/>
                        </w14:solidFill>
                      </w14:textFill>
                    </w:rPr>
                    <w:t>）</w:t>
                  </w:r>
                  <w:r>
                    <w:rPr>
                      <w:rFonts w:hint="eastAsia" w:ascii="Times New Roman" w:hAnsi="Times New Roman" w:eastAsia="宋体" w:cs="Times New Roman"/>
                      <w:bCs/>
                      <w:color w:val="000000" w:themeColor="text1"/>
                      <w:kern w:val="0"/>
                      <w:szCs w:val="21"/>
                      <w14:textFill>
                        <w14:solidFill>
                          <w14:schemeClr w14:val="tx1"/>
                        </w14:solidFill>
                      </w14:textFill>
                    </w:rPr>
                    <w:t>苯</w:t>
                  </w:r>
                </w:p>
              </w:tc>
              <w:tc>
                <w:tcPr>
                  <w:tcW w:w="1897" w:type="dxa"/>
                  <w:vAlign w:val="center"/>
                </w:tcPr>
                <w:p w14:paraId="0E58F3F4">
                  <w:pPr>
                    <w:tabs>
                      <w:tab w:val="left" w:pos="2085"/>
                      <w:tab w:val="center" w:pos="3995"/>
                    </w:tabs>
                    <w:jc w:val="center"/>
                    <w:rPr>
                      <w:rFonts w:ascii="Times New Roman" w:hAnsi="Times New Roman" w:eastAsia="宋体" w:cs="Times New Roman"/>
                      <w:bCs/>
                      <w:color w:val="000000" w:themeColor="text1"/>
                      <w:kern w:val="0"/>
                      <w:szCs w:val="21"/>
                      <w14:textFill>
                        <w14:solidFill>
                          <w14:schemeClr w14:val="tx1"/>
                        </w14:solidFill>
                      </w14:textFill>
                    </w:rPr>
                  </w:pPr>
                  <w:r>
                    <w:rPr>
                      <w:rFonts w:ascii="Times New Roman" w:hAnsi="Times New Roman" w:eastAsia="宋体" w:cs="Times New Roman"/>
                      <w:bCs/>
                      <w:color w:val="000000" w:themeColor="text1"/>
                      <w:kern w:val="0"/>
                      <w:szCs w:val="21"/>
                      <w14:textFill>
                        <w14:solidFill>
                          <w14:schemeClr w14:val="tx1"/>
                        </w14:solidFill>
                      </w14:textFill>
                    </w:rPr>
                    <w:t>≤0.3</w:t>
                  </w:r>
                </w:p>
              </w:tc>
            </w:tr>
          </w:tbl>
          <w:p w14:paraId="037B2EEA">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油漆用量核算</w:t>
            </w:r>
          </w:p>
          <w:p w14:paraId="2BA404EA">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脚轮需要喷涂面</w:t>
            </w:r>
            <w:r>
              <w:rPr>
                <w:rFonts w:hint="eastAsia" w:ascii="Times New Roman" w:hAnsi="Times New Roman" w:eastAsia="宋体" w:cs="Times New Roman"/>
                <w:color w:val="000000" w:themeColor="text1"/>
                <w:sz w:val="24"/>
                <w14:textFill>
                  <w14:solidFill>
                    <w14:schemeClr w14:val="tx1"/>
                  </w14:solidFill>
                </w14:textFill>
              </w:rPr>
              <w:t>为橡胶</w:t>
            </w:r>
            <w:r>
              <w:rPr>
                <w:rFonts w:ascii="Times New Roman" w:hAnsi="Times New Roman" w:eastAsia="宋体" w:cs="Times New Roman"/>
                <w:color w:val="000000" w:themeColor="text1"/>
                <w:sz w:val="24"/>
                <w14:textFill>
                  <w14:solidFill>
                    <w14:schemeClr w14:val="tx1"/>
                  </w14:solidFill>
                </w14:textFill>
              </w:rPr>
              <w:t>外观面全喷涂，</w:t>
            </w: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橡胶脚轮的</w:t>
            </w:r>
            <w:r>
              <w:rPr>
                <w:rFonts w:hint="eastAsia" w:ascii="Times New Roman" w:hAnsi="Times New Roman" w:eastAsia="宋体" w:cs="Times New Roman"/>
                <w:color w:val="000000" w:themeColor="text1"/>
                <w:sz w:val="24"/>
                <w14:textFill>
                  <w14:solidFill>
                    <w14:schemeClr w14:val="tx1"/>
                  </w14:solidFill>
                </w14:textFill>
              </w:rPr>
              <w:t>直径50mm，轮宽22mm，外观面可看作一个长方形和2个底面，2个底面面积：</w:t>
            </w:r>
            <w:r>
              <w:rPr>
                <w:rFonts w:ascii="Times New Roman" w:hAnsi="Times New Roman" w:eastAsia="宋体" w:cs="Times New Roman"/>
                <w:color w:val="000000" w:themeColor="text1"/>
                <w:sz w:val="24"/>
                <w14:textFill>
                  <w14:solidFill>
                    <w14:schemeClr w14:val="tx1"/>
                  </w14:solidFill>
                </w14:textFill>
              </w:rPr>
              <w:t>2×π×（</w:t>
            </w:r>
            <w:r>
              <w:rPr>
                <w:rFonts w:hint="eastAsia" w:ascii="Times New Roman" w:hAnsi="Times New Roman" w:eastAsia="宋体" w:cs="Times New Roman"/>
                <w:color w:val="000000" w:themeColor="text1"/>
                <w:sz w:val="24"/>
                <w14:textFill>
                  <w14:solidFill>
                    <w14:schemeClr w14:val="tx1"/>
                  </w14:solidFill>
                </w14:textFill>
              </w:rPr>
              <w:t>5</w:t>
            </w:r>
            <w:r>
              <w:rPr>
                <w:rFonts w:ascii="Times New Roman" w:hAnsi="Times New Roman" w:eastAsia="宋体" w:cs="Times New Roman"/>
                <w:color w:val="000000" w:themeColor="text1"/>
                <w:sz w:val="24"/>
                <w14:textFill>
                  <w14:solidFill>
                    <w14:schemeClr w14:val="tx1"/>
                  </w14:solidFill>
                </w14:textFill>
              </w:rPr>
              <w:t>0÷2）</w:t>
            </w:r>
            <w:r>
              <w:rPr>
                <w:rFonts w:hint="eastAsia"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=3925mm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，侧面面积:π×50×22=3454mm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，外观面总面积为：3925mm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+3454mm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=7379mm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≈0.007m</w:t>
            </w:r>
            <w:r>
              <w:rPr>
                <w:rFonts w:ascii="Times New Roman" w:hAnsi="Times New Roman" w:eastAsia="宋体" w:cs="Times New Roman"/>
                <w:color w:val="000000" w:themeColor="text1"/>
                <w:sz w:val="24"/>
                <w:vertAlign w:val="superscript"/>
                <w14:textFill>
                  <w14:solidFill>
                    <w14:schemeClr w14:val="tx1"/>
                  </w14:solidFill>
                </w14:textFill>
              </w:rPr>
              <w:t>2</w:t>
            </w:r>
            <w:r>
              <w:rPr>
                <w:rFonts w:hint="eastAsia" w:ascii="Times New Roman" w:hAnsi="Times New Roman" w:eastAsia="宋体" w:cs="Times New Roman"/>
                <w:color w:val="000000" w:themeColor="text1"/>
                <w:sz w:val="24"/>
                <w14:textFill>
                  <w14:solidFill>
                    <w14:schemeClr w14:val="tx1"/>
                  </w14:solidFill>
                </w14:textFill>
              </w:rPr>
              <w:t>。</w:t>
            </w:r>
          </w:p>
          <w:p w14:paraId="6D527F12">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根据</w:t>
            </w:r>
            <w:r>
              <w:rPr>
                <w:rFonts w:ascii="Times New Roman" w:hAnsi="Times New Roman" w:eastAsia="宋体" w:cs="Times New Roman"/>
                <w:color w:val="000000" w:themeColor="text1"/>
                <w:sz w:val="24"/>
                <w14:textFill>
                  <w14:solidFill>
                    <w14:schemeClr w14:val="tx1"/>
                  </w14:solidFill>
                </w14:textFill>
              </w:rPr>
              <w:t>建设单位提供</w:t>
            </w:r>
            <w:r>
              <w:rPr>
                <w:rFonts w:hint="eastAsia" w:ascii="Times New Roman" w:hAnsi="Times New Roman" w:eastAsia="宋体" w:cs="Times New Roman"/>
                <w:color w:val="000000" w:themeColor="text1"/>
                <w:sz w:val="24"/>
                <w14:textFill>
                  <w14:solidFill>
                    <w14:schemeClr w14:val="tx1"/>
                  </w14:solidFill>
                </w14:textFill>
              </w:rPr>
              <w:t>资料</w:t>
            </w:r>
            <w:r>
              <w:rPr>
                <w:rFonts w:ascii="Times New Roman" w:hAnsi="Times New Roman" w:eastAsia="宋体" w:cs="Times New Roman"/>
                <w:color w:val="000000" w:themeColor="text1"/>
                <w:sz w:val="24"/>
                <w14:textFill>
                  <w14:solidFill>
                    <w14:schemeClr w14:val="tx1"/>
                  </w14:solidFill>
                </w14:textFill>
              </w:rPr>
              <w:t>，橡胶脚轮</w:t>
            </w:r>
            <w:r>
              <w:rPr>
                <w:rFonts w:hint="eastAsia" w:ascii="Times New Roman" w:hAnsi="Times New Roman" w:eastAsia="宋体" w:cs="Times New Roman"/>
                <w:color w:val="000000" w:themeColor="text1"/>
                <w:sz w:val="24"/>
                <w14:textFill>
                  <w14:solidFill>
                    <w14:schemeClr w14:val="tx1"/>
                  </w14:solidFill>
                </w14:textFill>
              </w:rPr>
              <w:t>外观面</w:t>
            </w:r>
            <w:r>
              <w:rPr>
                <w:rFonts w:ascii="Times New Roman" w:hAnsi="Times New Roman" w:eastAsia="宋体" w:cs="Times New Roman"/>
                <w:color w:val="000000" w:themeColor="text1"/>
                <w:sz w:val="24"/>
                <w14:textFill>
                  <w14:solidFill>
                    <w14:schemeClr w14:val="tx1"/>
                  </w14:solidFill>
                </w14:textFill>
              </w:rPr>
              <w:t>需要喷涂面漆，</w:t>
            </w:r>
            <w:r>
              <w:rPr>
                <w:rFonts w:hint="eastAsia" w:ascii="Times New Roman" w:hAnsi="Times New Roman" w:eastAsia="宋体" w:cs="Times New Roman"/>
                <w:color w:val="000000" w:themeColor="text1"/>
                <w:sz w:val="24"/>
                <w14:textFill>
                  <w14:solidFill>
                    <w14:schemeClr w14:val="tx1"/>
                  </w14:solidFill>
                </w14:textFill>
              </w:rPr>
              <w:t>所需</w:t>
            </w:r>
            <w:r>
              <w:rPr>
                <w:rFonts w:ascii="Times New Roman" w:hAnsi="Times New Roman" w:eastAsia="宋体" w:cs="Times New Roman"/>
                <w:color w:val="000000" w:themeColor="text1"/>
                <w:sz w:val="24"/>
                <w14:textFill>
                  <w14:solidFill>
                    <w14:schemeClr w14:val="tx1"/>
                  </w14:solidFill>
                </w14:textFill>
              </w:rPr>
              <w:t>喷涂面积为</w:t>
            </w:r>
            <w:r>
              <w:rPr>
                <w:rFonts w:hint="eastAsia" w:ascii="Times New Roman" w:hAnsi="Times New Roman" w:eastAsia="宋体" w:cs="Times New Roman"/>
                <w:color w:val="000000" w:themeColor="text1"/>
                <w:sz w:val="24"/>
                <w14:textFill>
                  <w14:solidFill>
                    <w14:schemeClr w14:val="tx1"/>
                  </w14:solidFill>
                </w14:textFill>
              </w:rPr>
              <w:t>0.007</w:t>
            </w:r>
            <w:r>
              <w:rPr>
                <w:rFonts w:ascii="Times New Roman" w:hAnsi="Times New Roman" w:eastAsia="宋体" w:cs="Times New Roman"/>
                <w:color w:val="000000" w:themeColor="text1"/>
                <w:sz w:val="24"/>
                <w14:textFill>
                  <w14:solidFill>
                    <w14:schemeClr w14:val="tx1"/>
                  </w14:solidFill>
                </w14:textFill>
              </w:rPr>
              <w:t>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×1000000</w:t>
            </w:r>
            <w:r>
              <w:rPr>
                <w:rFonts w:hint="eastAsia" w:ascii="Times New Roman" w:hAnsi="Times New Roman" w:eastAsia="宋体" w:cs="Times New Roman"/>
                <w:color w:val="000000" w:themeColor="text1"/>
                <w:sz w:val="24"/>
                <w14:textFill>
                  <w14:solidFill>
                    <w14:schemeClr w14:val="tx1"/>
                  </w14:solidFill>
                </w14:textFill>
              </w:rPr>
              <w:t>个=</w:t>
            </w:r>
            <w:r>
              <w:rPr>
                <w:rFonts w:hint="eastAsia" w:ascii="Times New Roman" w:hAnsi="Times New Roman" w:eastAsia="宋体" w:cs="Times New Roman"/>
                <w:color w:val="000000" w:themeColor="text1"/>
                <w:sz w:val="24"/>
                <w:lang w:val="en-US" w:eastAsia="zh-CN"/>
                <w14:textFill>
                  <w14:solidFill>
                    <w14:schemeClr w14:val="tx1"/>
                  </w14:solidFill>
                </w14:textFill>
              </w:rPr>
              <w:t>7000</w:t>
            </w:r>
            <w:r>
              <w:rPr>
                <w:rFonts w:ascii="Times New Roman" w:hAnsi="Times New Roman" w:eastAsia="宋体" w:cs="Times New Roman"/>
                <w:color w:val="000000" w:themeColor="text1"/>
                <w:sz w:val="24"/>
                <w14:textFill>
                  <w14:solidFill>
                    <w14:schemeClr w14:val="tx1"/>
                  </w14:solidFill>
                </w14:textFill>
              </w:rPr>
              <w:t>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/a</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 xml:space="preserve"> </w:t>
            </w:r>
          </w:p>
          <w:p w14:paraId="096B7CC7">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根据《广东省表面涂装（汽车制造业）挥发性有机废气治理技术指南》（粤环〔2015〕4号）2.1.3涂装技术，人工空气喷涂涂料利用率约为30~40%，本项目采用自动空气喷涂，本环评保守估计取30%。</w:t>
            </w:r>
          </w:p>
          <w:p w14:paraId="7B9EA326">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根据建设单位提供资料，项目面漆在使用中需进行调漆</w:t>
            </w:r>
            <w:r>
              <w:rPr>
                <w:rFonts w:ascii="Times New Roman" w:hAnsi="Times New Roman" w:eastAsia="宋体" w:cs="Times New Roman"/>
                <w:color w:val="000000" w:themeColor="text1"/>
                <w:sz w:val="24"/>
                <w14:textFill>
                  <w14:solidFill>
                    <w14:schemeClr w14:val="tx1"/>
                  </w14:solidFill>
                </w14:textFill>
              </w:rPr>
              <w:t>，面漆的质量配比</w:t>
            </w:r>
            <w:r>
              <w:rPr>
                <w:rFonts w:hint="eastAsia" w:ascii="Times New Roman" w:hAnsi="Times New Roman" w:eastAsia="宋体" w:cs="Times New Roman"/>
                <w:color w:val="000000" w:themeColor="text1"/>
                <w:sz w:val="24"/>
                <w14:textFill>
                  <w14:solidFill>
                    <w14:schemeClr w14:val="tx1"/>
                  </w14:solidFill>
                </w14:textFill>
              </w:rPr>
              <w:t>A：灰色液体（面漆），B：无色透明液体（稀释剂）；A∶B=</w:t>
            </w:r>
            <w:r>
              <w:rPr>
                <w:rFonts w:ascii="Times New Roman" w:hAnsi="Times New Roman" w:eastAsia="宋体" w:cs="Times New Roman"/>
                <w:color w:val="000000" w:themeColor="text1"/>
                <w:sz w:val="24"/>
                <w14:textFill>
                  <w14:solidFill>
                    <w14:schemeClr w14:val="tx1"/>
                  </w14:solidFill>
                </w14:textFill>
              </w:rPr>
              <w:t>12.1</w:t>
            </w:r>
            <w:r>
              <w:rPr>
                <w:rFonts w:hint="eastAsia" w:ascii="Times New Roman" w:hAnsi="Times New Roman" w:eastAsia="宋体" w:cs="Times New Roman"/>
                <w:color w:val="000000" w:themeColor="text1"/>
                <w:sz w:val="24"/>
                <w14:textFill>
                  <w14:solidFill>
                    <w14:schemeClr w14:val="tx1"/>
                  </w14:solidFill>
                </w14:textFill>
              </w:rPr>
              <w:t>∶1（m/</w:t>
            </w:r>
            <w:r>
              <w:rPr>
                <w:rFonts w:ascii="Times New Roman" w:hAnsi="Times New Roman" w:eastAsia="宋体" w:cs="Times New Roman"/>
                <w:color w:val="000000" w:themeColor="text1"/>
                <w:sz w:val="24"/>
                <w14:textFill>
                  <w14:solidFill>
                    <w14:schemeClr w14:val="tx1"/>
                  </w14:solidFill>
                </w14:textFill>
              </w:rPr>
              <w:t>m</w:t>
            </w:r>
            <w:r>
              <w:rPr>
                <w:rFonts w:hint="eastAsia" w:ascii="Times New Roman" w:hAnsi="Times New Roman" w:eastAsia="宋体" w:cs="Times New Roman"/>
                <w:color w:val="000000" w:themeColor="text1"/>
                <w:sz w:val="24"/>
                <w14:textFill>
                  <w14:solidFill>
                    <w14:schemeClr w14:val="tx1"/>
                  </w14:solidFill>
                </w14:textFill>
              </w:rPr>
              <w:t>），调配后面漆密度为</w:t>
            </w:r>
            <w:r>
              <w:rPr>
                <w:rFonts w:ascii="Times New Roman" w:hAnsi="Times New Roman" w:eastAsia="宋体" w:cs="Times New Roman"/>
                <w:color w:val="000000" w:themeColor="text1"/>
                <w:sz w:val="24"/>
                <w14:textFill>
                  <w14:solidFill>
                    <w14:schemeClr w14:val="tx1"/>
                  </w14:solidFill>
                </w14:textFill>
              </w:rPr>
              <w:t>（12.1+1）</w:t>
            </w: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12.1/1.06+1/0.86</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=1.041g/cm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w:t>
            </w:r>
          </w:p>
          <w:p w14:paraId="0FE5E63D">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②油漆用量核算</w:t>
            </w:r>
          </w:p>
          <w:p w14:paraId="01BE6856">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油漆用量采用以下公式进行计算：</w:t>
            </w:r>
          </w:p>
          <w:p w14:paraId="00B56B3C">
            <w:pPr>
              <w:spacing w:line="360" w:lineRule="auto"/>
              <w:ind w:firstLine="480" w:firstLineChars="200"/>
              <w:jc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m=ρδs×10</w:t>
            </w:r>
            <w:r>
              <w:rPr>
                <w:rFonts w:ascii="Times New Roman" w:hAnsi="Times New Roman" w:eastAsia="宋体" w:cs="Times New Roman"/>
                <w:color w:val="000000" w:themeColor="text1"/>
                <w:sz w:val="24"/>
                <w:vertAlign w:val="superscript"/>
                <w14:textFill>
                  <w14:solidFill>
                    <w14:schemeClr w14:val="tx1"/>
                  </w14:solidFill>
                </w14:textFill>
              </w:rPr>
              <w:t xml:space="preserve">-6 </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NV·ε</w:t>
            </w:r>
            <w:r>
              <w:rPr>
                <w:rFonts w:hint="eastAsia" w:ascii="Times New Roman" w:hAnsi="Times New Roman" w:eastAsia="宋体" w:cs="Times New Roman"/>
                <w:color w:val="000000" w:themeColor="text1"/>
                <w:sz w:val="24"/>
                <w14:textFill>
                  <w14:solidFill>
                    <w14:schemeClr w14:val="tx1"/>
                  </w14:solidFill>
                </w14:textFill>
              </w:rPr>
              <w:t>）</w:t>
            </w:r>
          </w:p>
          <w:p w14:paraId="4ADF94EC">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其中：</w:t>
            </w:r>
            <w:r>
              <w:rPr>
                <w:rFonts w:ascii="Times New Roman" w:hAnsi="Times New Roman" w:eastAsia="宋体" w:cs="Times New Roman"/>
                <w:color w:val="000000" w:themeColor="text1"/>
                <w:sz w:val="24"/>
                <w14:textFill>
                  <w14:solidFill>
                    <w14:schemeClr w14:val="tx1"/>
                  </w14:solidFill>
                </w14:textFill>
              </w:rPr>
              <w:t>m——</w:t>
            </w:r>
            <w:r>
              <w:rPr>
                <w:rFonts w:hint="eastAsia" w:ascii="Times New Roman" w:hAnsi="Times New Roman" w:eastAsia="宋体" w:cs="Times New Roman"/>
                <w:color w:val="000000" w:themeColor="text1"/>
                <w:sz w:val="24"/>
                <w14:textFill>
                  <w14:solidFill>
                    <w14:schemeClr w14:val="tx1"/>
                  </w14:solidFill>
                </w14:textFill>
              </w:rPr>
              <w:t>油漆总用量（</w:t>
            </w:r>
            <w:r>
              <w:rPr>
                <w:rFonts w:ascii="Times New Roman" w:hAnsi="Times New Roman" w:eastAsia="宋体" w:cs="Times New Roman"/>
                <w:color w:val="000000" w:themeColor="text1"/>
                <w:sz w:val="24"/>
                <w14:textFill>
                  <w14:solidFill>
                    <w14:schemeClr w14:val="tx1"/>
                  </w14:solidFill>
                </w14:textFill>
              </w:rPr>
              <w:t>t/a</w:t>
            </w:r>
            <w:r>
              <w:rPr>
                <w:rFonts w:hint="eastAsia" w:ascii="Times New Roman" w:hAnsi="Times New Roman" w:eastAsia="宋体" w:cs="Times New Roman"/>
                <w:color w:val="000000" w:themeColor="text1"/>
                <w:sz w:val="24"/>
                <w14:textFill>
                  <w14:solidFill>
                    <w14:schemeClr w14:val="tx1"/>
                  </w14:solidFill>
                </w14:textFill>
              </w:rPr>
              <w:t>）；</w:t>
            </w:r>
          </w:p>
          <w:p w14:paraId="7E60EE14">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ρ——</w:t>
            </w:r>
            <w:r>
              <w:rPr>
                <w:rFonts w:hint="eastAsia" w:ascii="Times New Roman" w:hAnsi="Times New Roman" w:eastAsia="宋体" w:cs="Times New Roman"/>
                <w:color w:val="000000" w:themeColor="text1"/>
                <w:sz w:val="24"/>
                <w14:textFill>
                  <w14:solidFill>
                    <w14:schemeClr w14:val="tx1"/>
                  </w14:solidFill>
                </w14:textFill>
              </w:rPr>
              <w:t>油漆密度（</w:t>
            </w:r>
            <w:r>
              <w:rPr>
                <w:rFonts w:ascii="Times New Roman" w:hAnsi="Times New Roman" w:eastAsia="宋体" w:cs="Times New Roman"/>
                <w:color w:val="000000" w:themeColor="text1"/>
                <w:sz w:val="24"/>
                <w14:textFill>
                  <w14:solidFill>
                    <w14:schemeClr w14:val="tx1"/>
                  </w14:solidFill>
                </w14:textFill>
              </w:rPr>
              <w:t>g/cm</w:t>
            </w:r>
            <w:r>
              <w:rPr>
                <w:rFonts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w:t>
            </w:r>
          </w:p>
          <w:p w14:paraId="679A65E1">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δ——</w:t>
            </w:r>
            <w:r>
              <w:rPr>
                <w:rFonts w:hint="eastAsia" w:ascii="Times New Roman" w:hAnsi="Times New Roman" w:eastAsia="宋体" w:cs="Times New Roman"/>
                <w:color w:val="000000" w:themeColor="text1"/>
                <w:sz w:val="24"/>
                <w14:textFill>
                  <w14:solidFill>
                    <w14:schemeClr w14:val="tx1"/>
                  </w14:solidFill>
                </w14:textFill>
              </w:rPr>
              <w:t>涂层厚度（</w:t>
            </w:r>
            <w:r>
              <w:rPr>
                <w:rFonts w:ascii="Times New Roman" w:hAnsi="Times New Roman" w:eastAsia="宋体" w:cs="Times New Roman"/>
                <w:color w:val="000000" w:themeColor="text1"/>
                <w:sz w:val="24"/>
                <w14:textFill>
                  <w14:solidFill>
                    <w14:schemeClr w14:val="tx1"/>
                  </w14:solidFill>
                </w14:textFill>
              </w:rPr>
              <w:t>μm</w:t>
            </w:r>
            <w:r>
              <w:rPr>
                <w:rFonts w:hint="eastAsia" w:ascii="Times New Roman" w:hAnsi="Times New Roman" w:eastAsia="宋体" w:cs="Times New Roman"/>
                <w:color w:val="000000" w:themeColor="text1"/>
                <w:sz w:val="24"/>
                <w14:textFill>
                  <w14:solidFill>
                    <w14:schemeClr w14:val="tx1"/>
                  </w14:solidFill>
                </w14:textFill>
              </w:rPr>
              <w:t>）；</w:t>
            </w:r>
          </w:p>
          <w:p w14:paraId="2943693E">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s——</w:t>
            </w:r>
            <w:r>
              <w:rPr>
                <w:rFonts w:hint="eastAsia" w:ascii="Times New Roman" w:hAnsi="Times New Roman" w:eastAsia="宋体" w:cs="Times New Roman"/>
                <w:color w:val="000000" w:themeColor="text1"/>
                <w:sz w:val="24"/>
                <w14:textFill>
                  <w14:solidFill>
                    <w14:schemeClr w14:val="tx1"/>
                  </w14:solidFill>
                </w14:textFill>
              </w:rPr>
              <w:t>喷漆总面积（</w:t>
            </w:r>
            <w:r>
              <w:rPr>
                <w:rFonts w:ascii="Times New Roman" w:hAnsi="Times New Roman" w:eastAsia="宋体" w:cs="Times New Roman"/>
                <w:color w:val="000000" w:themeColor="text1"/>
                <w:sz w:val="24"/>
                <w14:textFill>
                  <w14:solidFill>
                    <w14:schemeClr w14:val="tx1"/>
                  </w14:solidFill>
                </w14:textFill>
              </w:rPr>
              <w:t>m</w:t>
            </w:r>
            <w:r>
              <w:rPr>
                <w:rFonts w:ascii="Times New Roman" w:hAnsi="Times New Roman" w:eastAsia="宋体" w:cs="Times New Roman"/>
                <w:color w:val="000000" w:themeColor="text1"/>
                <w:sz w:val="24"/>
                <w:vertAlign w:val="superscript"/>
                <w14:textFill>
                  <w14:solidFill>
                    <w14:schemeClr w14:val="tx1"/>
                  </w14:solidFill>
                </w14:textFill>
              </w:rPr>
              <w:t xml:space="preserve">2 </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年）；</w:t>
            </w:r>
          </w:p>
          <w:p w14:paraId="1A2936B5">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Nv——</w:t>
            </w:r>
            <w:r>
              <w:rPr>
                <w:rFonts w:hint="eastAsia" w:ascii="Times New Roman" w:hAnsi="Times New Roman" w:eastAsia="宋体" w:cs="Times New Roman"/>
                <w:color w:val="000000" w:themeColor="text1"/>
                <w:sz w:val="24"/>
                <w14:textFill>
                  <w14:solidFill>
                    <w14:schemeClr w14:val="tx1"/>
                  </w14:solidFill>
                </w14:textFill>
              </w:rPr>
              <w:t>油漆的体积固体份（</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w:t>
            </w:r>
          </w:p>
          <w:p w14:paraId="3A2486A9">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ε——</w:t>
            </w:r>
            <w:r>
              <w:rPr>
                <w:rFonts w:hint="eastAsia" w:ascii="Times New Roman" w:hAnsi="Times New Roman" w:eastAsia="宋体" w:cs="Times New Roman"/>
                <w:color w:val="000000" w:themeColor="text1"/>
                <w:sz w:val="24"/>
                <w14:textFill>
                  <w14:solidFill>
                    <w14:schemeClr w14:val="tx1"/>
                  </w14:solidFill>
                </w14:textFill>
              </w:rPr>
              <w:t>上漆率，项目喷枪喷漆采用自动空气喷涂方式。上漆率按</w:t>
            </w:r>
            <w:r>
              <w:rPr>
                <w:rFonts w:ascii="Times New Roman" w:hAnsi="Times New Roman" w:eastAsia="宋体" w:cs="Times New Roman"/>
                <w:color w:val="000000" w:themeColor="text1"/>
                <w:sz w:val="24"/>
                <w14:textFill>
                  <w14:solidFill>
                    <w14:schemeClr w14:val="tx1"/>
                  </w14:solidFill>
                </w14:textFill>
              </w:rPr>
              <w:t>30%</w:t>
            </w:r>
            <w:r>
              <w:rPr>
                <w:rFonts w:hint="eastAsia" w:ascii="Times New Roman" w:hAnsi="Times New Roman" w:eastAsia="宋体" w:cs="Times New Roman"/>
                <w:color w:val="000000" w:themeColor="text1"/>
                <w:sz w:val="24"/>
                <w14:textFill>
                  <w14:solidFill>
                    <w14:schemeClr w14:val="tx1"/>
                  </w14:solidFill>
                </w14:textFill>
              </w:rPr>
              <w:t>计算。</w:t>
            </w:r>
          </w:p>
          <w:p w14:paraId="264ED11F">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参数选取</w:t>
            </w:r>
          </w:p>
          <w:p w14:paraId="38B94FEE">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a</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根据前文分析</w:t>
            </w:r>
            <w:r>
              <w:rPr>
                <w:rFonts w:hint="eastAsia" w:ascii="Times New Roman" w:hAnsi="Times New Roman" w:eastAsia="宋体" w:cs="Times New Roman"/>
                <w:color w:val="000000" w:themeColor="text1"/>
                <w:sz w:val="24"/>
                <w14:textFill>
                  <w14:solidFill>
                    <w14:schemeClr w14:val="tx1"/>
                  </w14:solidFill>
                </w14:textFill>
              </w:rPr>
              <w:t>，根据每套设备喷涂面尺寸进行计算，详见下表；</w:t>
            </w:r>
          </w:p>
          <w:p w14:paraId="383C23BF">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b</w:t>
            </w:r>
            <w:r>
              <w:rPr>
                <w:rFonts w:hint="eastAsia" w:ascii="Times New Roman" w:hAnsi="Times New Roman" w:eastAsia="宋体" w:cs="Times New Roman"/>
                <w:color w:val="000000" w:themeColor="text1"/>
                <w:sz w:val="24"/>
                <w14:textFill>
                  <w14:solidFill>
                    <w14:schemeClr w14:val="tx1"/>
                  </w14:solidFill>
                </w14:textFill>
              </w:rPr>
              <w:t>、根据建设单位提供的资料，对工件进行面漆的喷涂厚度约为</w:t>
            </w:r>
            <w:r>
              <w:rPr>
                <w:rFonts w:hint="eastAsia" w:ascii="Times New Roman" w:hAnsi="Times New Roman" w:eastAsia="宋体" w:cs="Times New Roman"/>
                <w:color w:val="000000" w:themeColor="text1"/>
                <w:sz w:val="24"/>
                <w:lang w:val="en-US" w:eastAsia="zh-CN"/>
                <w14:textFill>
                  <w14:solidFill>
                    <w14:schemeClr w14:val="tx1"/>
                  </w14:solidFill>
                </w14:textFill>
              </w:rPr>
              <w:t>30</w:t>
            </w:r>
            <w:r>
              <w:rPr>
                <w:rFonts w:ascii="Times New Roman" w:hAnsi="Times New Roman" w:eastAsia="宋体" w:cs="Times New Roman"/>
                <w:color w:val="000000" w:themeColor="text1"/>
                <w:sz w:val="24"/>
                <w14:textFill>
                  <w14:solidFill>
                    <w14:schemeClr w14:val="tx1"/>
                  </w14:solidFill>
                </w14:textFill>
              </w:rPr>
              <w:t>μm</w:t>
            </w:r>
            <w:r>
              <w:rPr>
                <w:rFonts w:hint="eastAsia" w:ascii="Times New Roman" w:hAnsi="Times New Roman" w:eastAsia="宋体" w:cs="Times New Roman"/>
                <w:color w:val="000000" w:themeColor="text1"/>
                <w:sz w:val="24"/>
                <w14:textFill>
                  <w14:solidFill>
                    <w14:schemeClr w14:val="tx1"/>
                  </w14:solidFill>
                </w14:textFill>
              </w:rPr>
              <w:t>；</w:t>
            </w:r>
          </w:p>
          <w:p w14:paraId="76341865">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c</w:t>
            </w:r>
            <w:r>
              <w:rPr>
                <w:rFonts w:hint="eastAsia" w:ascii="Times New Roman" w:hAnsi="Times New Roman" w:eastAsia="宋体" w:cs="Times New Roman"/>
                <w:color w:val="000000" w:themeColor="text1"/>
                <w:sz w:val="24"/>
                <w14:textFill>
                  <w14:solidFill>
                    <w14:schemeClr w14:val="tx1"/>
                  </w14:solidFill>
                </w14:textFill>
              </w:rPr>
              <w:t>、根据建设单位提供的资料，调配后的面漆密度为1.0</w:t>
            </w:r>
            <w:r>
              <w:rPr>
                <w:rFonts w:ascii="Times New Roman" w:hAnsi="Times New Roman" w:eastAsia="宋体" w:cs="Times New Roman"/>
                <w:color w:val="000000" w:themeColor="text1"/>
                <w:sz w:val="24"/>
                <w14:textFill>
                  <w14:solidFill>
                    <w14:schemeClr w14:val="tx1"/>
                  </w14:solidFill>
                </w14:textFill>
              </w:rPr>
              <w:t>41g/cm</w:t>
            </w:r>
            <w:r>
              <w:rPr>
                <w:rFonts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w:t>
            </w:r>
          </w:p>
          <w:p w14:paraId="4798DBDE">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d</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根据油漆检测报告</w:t>
            </w:r>
            <w:r>
              <w:rPr>
                <w:rFonts w:hint="eastAsia" w:ascii="Times New Roman" w:hAnsi="Times New Roman" w:eastAsia="宋体" w:cs="Times New Roman"/>
                <w:color w:val="000000" w:themeColor="text1"/>
                <w:sz w:val="24"/>
                <w14:textFill>
                  <w14:solidFill>
                    <w14:schemeClr w14:val="tx1"/>
                  </w14:solidFill>
                </w14:textFill>
              </w:rPr>
              <w:t>（附件2），项目在施工状态下面漆</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面漆和稀释剂按比例调配好后）</w:t>
            </w:r>
            <w:r>
              <w:rPr>
                <w:rFonts w:hint="eastAsia" w:ascii="Times New Roman" w:hAnsi="Times New Roman" w:eastAsia="宋体" w:cs="Times New Roman"/>
                <w:color w:val="000000" w:themeColor="text1"/>
                <w:sz w:val="24"/>
                <w14:textFill>
                  <w14:solidFill>
                    <w14:schemeClr w14:val="tx1"/>
                  </w14:solidFill>
                </w14:textFill>
              </w:rPr>
              <w:t>的挥发性有机化合物3</w:t>
            </w:r>
            <w:r>
              <w:rPr>
                <w:rFonts w:ascii="Times New Roman" w:hAnsi="Times New Roman" w:eastAsia="宋体" w:cs="Times New Roman"/>
                <w:color w:val="000000" w:themeColor="text1"/>
                <w:sz w:val="24"/>
                <w14:textFill>
                  <w14:solidFill>
                    <w14:schemeClr w14:val="tx1"/>
                  </w14:solidFill>
                </w14:textFill>
              </w:rPr>
              <w:t>34g/L</w:t>
            </w:r>
            <w:r>
              <w:rPr>
                <w:rFonts w:hint="eastAsia" w:ascii="Times New Roman" w:hAnsi="Times New Roman" w:eastAsia="宋体" w:cs="Times New Roman"/>
                <w:color w:val="000000" w:themeColor="text1"/>
                <w:sz w:val="24"/>
                <w14:textFill>
                  <w14:solidFill>
                    <w14:schemeClr w14:val="tx1"/>
                  </w14:solidFill>
                </w14:textFill>
              </w:rPr>
              <w:t>，即挥发</w:t>
            </w:r>
            <w:r>
              <w:rPr>
                <w:rFonts w:hint="eastAsia" w:ascii="Times New Roman" w:hAnsi="Times New Roman" w:eastAsia="宋体" w:cs="Times New Roman"/>
                <w:color w:val="000000" w:themeColor="text1"/>
                <w:sz w:val="24"/>
                <w:lang w:eastAsia="zh-CN"/>
                <w14:textFill>
                  <w14:solidFill>
                    <w14:schemeClr w14:val="tx1"/>
                  </w14:solidFill>
                </w14:textFill>
              </w:rPr>
              <w:t>分</w:t>
            </w:r>
            <w:r>
              <w:rPr>
                <w:rFonts w:hint="eastAsia" w:ascii="Times New Roman" w:hAnsi="Times New Roman" w:eastAsia="宋体" w:cs="Times New Roman"/>
                <w:color w:val="000000" w:themeColor="text1"/>
                <w:sz w:val="24"/>
                <w14:textFill>
                  <w14:solidFill>
                    <w14:schemeClr w14:val="tx1"/>
                  </w14:solidFill>
                </w14:textFill>
              </w:rPr>
              <w:t>含量约为3</w:t>
            </w:r>
            <w:r>
              <w:rPr>
                <w:rFonts w:ascii="Times New Roman" w:hAnsi="Times New Roman" w:eastAsia="宋体" w:cs="Times New Roman"/>
                <w:color w:val="000000" w:themeColor="text1"/>
                <w:sz w:val="24"/>
                <w14:textFill>
                  <w14:solidFill>
                    <w14:schemeClr w14:val="tx1"/>
                  </w14:solidFill>
                </w14:textFill>
              </w:rPr>
              <w:t>2.08</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则固体份含量为</w:t>
            </w:r>
            <w:r>
              <w:rPr>
                <w:rFonts w:hint="eastAsia" w:ascii="Times New Roman" w:hAnsi="Times New Roman" w:eastAsia="宋体" w:cs="Times New Roman"/>
                <w:color w:val="000000" w:themeColor="text1"/>
                <w:sz w:val="24"/>
                <w14:textFill>
                  <w14:solidFill>
                    <w14:schemeClr w14:val="tx1"/>
                  </w14:solidFill>
                </w14:textFill>
              </w:rPr>
              <w:t>6</w:t>
            </w:r>
            <w:r>
              <w:rPr>
                <w:rFonts w:ascii="Times New Roman" w:hAnsi="Times New Roman" w:eastAsia="宋体" w:cs="Times New Roman"/>
                <w:color w:val="000000" w:themeColor="text1"/>
                <w:sz w:val="24"/>
                <w14:textFill>
                  <w14:solidFill>
                    <w14:schemeClr w14:val="tx1"/>
                  </w14:solidFill>
                </w14:textFill>
              </w:rPr>
              <w:t>7.92%。</w:t>
            </w:r>
          </w:p>
          <w:p w14:paraId="760919F8">
            <w:pPr>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调配后的</w:t>
            </w:r>
            <w:r>
              <w:rPr>
                <w:rFonts w:hint="eastAsia" w:ascii="Times New Roman" w:hAnsi="Times New Roman" w:eastAsia="宋体" w:cs="Times New Roman"/>
                <w:color w:val="000000" w:themeColor="text1"/>
                <w:sz w:val="24"/>
                <w14:textFill>
                  <w14:solidFill>
                    <w14:schemeClr w14:val="tx1"/>
                  </w14:solidFill>
                </w14:textFill>
              </w:rPr>
              <w:t>面漆使用量为：1</w:t>
            </w:r>
            <w:r>
              <w:rPr>
                <w:rFonts w:ascii="Times New Roman" w:hAnsi="Times New Roman" w:eastAsia="宋体" w:cs="Times New Roman"/>
                <w:color w:val="000000" w:themeColor="text1"/>
                <w:sz w:val="24"/>
                <w14:textFill>
                  <w14:solidFill>
                    <w14:schemeClr w14:val="tx1"/>
                  </w14:solidFill>
                </w14:textFill>
              </w:rPr>
              <w:t>.041×</w:t>
            </w:r>
            <w:r>
              <w:rPr>
                <w:rFonts w:hint="eastAsia" w:ascii="Times New Roman" w:hAnsi="Times New Roman" w:eastAsia="宋体" w:cs="Times New Roman"/>
                <w:color w:val="000000" w:themeColor="text1"/>
                <w:sz w:val="24"/>
                <w:lang w:val="en-US" w:eastAsia="zh-CN"/>
                <w14:textFill>
                  <w14:solidFill>
                    <w14:schemeClr w14:val="tx1"/>
                  </w14:solidFill>
                </w14:textFill>
              </w:rPr>
              <w:t>30</w:t>
            </w:r>
            <w:r>
              <w:rPr>
                <w:rFonts w:ascii="Times New Roman" w:hAnsi="Times New Roman" w:eastAsia="宋体" w:cs="Times New Roman"/>
                <w:color w:val="000000" w:themeColor="text1"/>
                <w:sz w:val="24"/>
                <w14:textFill>
                  <w14:solidFill>
                    <w14:schemeClr w14:val="tx1"/>
                  </w14:solidFill>
                </w14:textFill>
              </w:rPr>
              <w:t>×7000×10</w:t>
            </w:r>
            <w:r>
              <w:rPr>
                <w:rFonts w:ascii="Times New Roman" w:hAnsi="Times New Roman" w:eastAsia="宋体" w:cs="Times New Roman"/>
                <w:color w:val="000000" w:themeColor="text1"/>
                <w:sz w:val="24"/>
                <w:vertAlign w:val="superscript"/>
                <w14:textFill>
                  <w14:solidFill>
                    <w14:schemeClr w14:val="tx1"/>
                  </w14:solidFill>
                </w14:textFill>
              </w:rPr>
              <w:t>-6</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6</w:t>
            </w:r>
            <w:r>
              <w:rPr>
                <w:rFonts w:ascii="Times New Roman" w:hAnsi="Times New Roman" w:eastAsia="宋体" w:cs="Times New Roman"/>
                <w:color w:val="000000" w:themeColor="text1"/>
                <w:sz w:val="24"/>
                <w14:textFill>
                  <w14:solidFill>
                    <w14:schemeClr w14:val="tx1"/>
                  </w14:solidFill>
                </w14:textFill>
              </w:rPr>
              <w:t>7.92%×30%）</w:t>
            </w: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1.073</w:t>
            </w:r>
            <w:r>
              <w:rPr>
                <w:rFonts w:ascii="Times New Roman" w:hAnsi="Times New Roman" w:eastAsia="宋体" w:cs="Times New Roman"/>
                <w:color w:val="000000" w:themeColor="text1"/>
                <w:sz w:val="24"/>
                <w14:textFill>
                  <w14:solidFill>
                    <w14:schemeClr w14:val="tx1"/>
                  </w14:solidFill>
                </w14:textFill>
              </w:rPr>
              <w:t>t/a</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根据调配比例为面漆：稀释剂=12.1：1（m/m），则面漆使用量为0.991t/a，稀释剂用量为0.082t/a。</w:t>
            </w:r>
          </w:p>
          <w:p w14:paraId="738292E6">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4、主要生产设备</w:t>
            </w:r>
          </w:p>
          <w:p w14:paraId="07591300">
            <w:pPr>
              <w:ind w:firstLine="420" w:firstLineChars="200"/>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 xml:space="preserve">表2-7 </w:t>
            </w:r>
            <w:r>
              <w:rPr>
                <w:rFonts w:hint="eastAsia" w:ascii="Times New Roman" w:hAnsi="Times New Roman" w:eastAsia="宋体" w:cs="Times New Roman"/>
                <w:b/>
                <w:color w:val="000000" w:themeColor="text1"/>
                <w:szCs w:val="21"/>
                <w:lang w:eastAsia="zh-CN"/>
                <w14:textFill>
                  <w14:solidFill>
                    <w14:schemeClr w14:val="tx1"/>
                  </w14:solidFill>
                </w14:textFill>
              </w:rPr>
              <w:t>项目</w:t>
            </w:r>
            <w:r>
              <w:rPr>
                <w:rFonts w:ascii="Times New Roman" w:hAnsi="Times New Roman" w:eastAsia="宋体" w:cs="Times New Roman"/>
                <w:b/>
                <w:color w:val="000000" w:themeColor="text1"/>
                <w:szCs w:val="21"/>
                <w14:textFill>
                  <w14:solidFill>
                    <w14:schemeClr w14:val="tx1"/>
                  </w14:solidFill>
                </w14:textFill>
              </w:rPr>
              <w:t>主要生产设备一览表</w:t>
            </w:r>
          </w:p>
          <w:tbl>
            <w:tblPr>
              <w:tblStyle w:val="18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52"/>
              <w:gridCol w:w="1874"/>
              <w:gridCol w:w="1824"/>
              <w:gridCol w:w="2035"/>
              <w:gridCol w:w="1102"/>
            </w:tblGrid>
            <w:tr w14:paraId="5581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752" w:type="dxa"/>
                  <w:vAlign w:val="center"/>
                </w:tcPr>
                <w:p w14:paraId="76DEAA7A">
                  <w:pPr>
                    <w:tabs>
                      <w:tab w:val="left" w:pos="2085"/>
                      <w:tab w:val="center" w:pos="3995"/>
                    </w:tabs>
                    <w:autoSpaceDE w:val="0"/>
                    <w:autoSpaceDN w:val="0"/>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序号</w:t>
                  </w:r>
                </w:p>
              </w:tc>
              <w:tc>
                <w:tcPr>
                  <w:tcW w:w="1874" w:type="dxa"/>
                  <w:vAlign w:val="center"/>
                </w:tcPr>
                <w:p w14:paraId="573F032E">
                  <w:pPr>
                    <w:tabs>
                      <w:tab w:val="left" w:pos="2085"/>
                      <w:tab w:val="center" w:pos="3995"/>
                    </w:tabs>
                    <w:autoSpaceDE w:val="0"/>
                    <w:autoSpaceDN w:val="0"/>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设备名称</w:t>
                  </w:r>
                </w:p>
              </w:tc>
              <w:tc>
                <w:tcPr>
                  <w:tcW w:w="1824" w:type="dxa"/>
                  <w:vAlign w:val="center"/>
                </w:tcPr>
                <w:p w14:paraId="2769D51A">
                  <w:pPr>
                    <w:tabs>
                      <w:tab w:val="left" w:pos="2085"/>
                      <w:tab w:val="center" w:pos="3995"/>
                    </w:tabs>
                    <w:autoSpaceDE w:val="0"/>
                    <w:autoSpaceDN w:val="0"/>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规格型号</w:t>
                  </w:r>
                </w:p>
              </w:tc>
              <w:tc>
                <w:tcPr>
                  <w:tcW w:w="2035" w:type="dxa"/>
                  <w:vAlign w:val="center"/>
                </w:tcPr>
                <w:p w14:paraId="222114AC">
                  <w:pPr>
                    <w:tabs>
                      <w:tab w:val="left" w:pos="2085"/>
                      <w:tab w:val="center" w:pos="3995"/>
                    </w:tabs>
                    <w:autoSpaceDE w:val="0"/>
                    <w:autoSpaceDN w:val="0"/>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本项目设备数量（台）</w:t>
                  </w:r>
                </w:p>
              </w:tc>
              <w:tc>
                <w:tcPr>
                  <w:tcW w:w="1102" w:type="dxa"/>
                  <w:vAlign w:val="center"/>
                </w:tcPr>
                <w:p w14:paraId="6A22D63C">
                  <w:pPr>
                    <w:tabs>
                      <w:tab w:val="left" w:pos="2085"/>
                      <w:tab w:val="center" w:pos="3995"/>
                    </w:tabs>
                    <w:autoSpaceDE w:val="0"/>
                    <w:autoSpaceDN w:val="0"/>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所在工序</w:t>
                  </w:r>
                </w:p>
              </w:tc>
            </w:tr>
            <w:tr w14:paraId="2845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752" w:type="dxa"/>
                  <w:vAlign w:val="center"/>
                </w:tcPr>
                <w:p w14:paraId="6B025598">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1</w:t>
                  </w:r>
                </w:p>
              </w:tc>
              <w:tc>
                <w:tcPr>
                  <w:tcW w:w="1874" w:type="dxa"/>
                  <w:vAlign w:val="center"/>
                </w:tcPr>
                <w:p w14:paraId="539AA31A">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数控车床</w:t>
                  </w:r>
                </w:p>
              </w:tc>
              <w:tc>
                <w:tcPr>
                  <w:tcW w:w="1824" w:type="dxa"/>
                  <w:vAlign w:val="center"/>
                </w:tcPr>
                <w:p w14:paraId="6E6FF216">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CJK0640</w:t>
                  </w:r>
                </w:p>
              </w:tc>
              <w:tc>
                <w:tcPr>
                  <w:tcW w:w="2035" w:type="dxa"/>
                  <w:vAlign w:val="center"/>
                </w:tcPr>
                <w:p w14:paraId="57A7276F">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4</w:t>
                  </w:r>
                </w:p>
              </w:tc>
              <w:tc>
                <w:tcPr>
                  <w:tcW w:w="1102" w:type="dxa"/>
                  <w:vAlign w:val="center"/>
                </w:tcPr>
                <w:p w14:paraId="42A0A777">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制孔</w:t>
                  </w:r>
                </w:p>
              </w:tc>
            </w:tr>
            <w:tr w14:paraId="4E38F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1" w:hRule="atLeast"/>
                <w:jc w:val="center"/>
              </w:trPr>
              <w:tc>
                <w:tcPr>
                  <w:tcW w:w="752" w:type="dxa"/>
                  <w:vAlign w:val="center"/>
                </w:tcPr>
                <w:p w14:paraId="04D1766B">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2</w:t>
                  </w:r>
                </w:p>
              </w:tc>
              <w:tc>
                <w:tcPr>
                  <w:tcW w:w="1874" w:type="dxa"/>
                  <w:vAlign w:val="center"/>
                </w:tcPr>
                <w:p w14:paraId="72B8903B">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抛丸机</w:t>
                  </w:r>
                </w:p>
              </w:tc>
              <w:tc>
                <w:tcPr>
                  <w:tcW w:w="1824" w:type="dxa"/>
                  <w:vAlign w:val="center"/>
                </w:tcPr>
                <w:p w14:paraId="2D820B77">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Q326</w:t>
                  </w:r>
                </w:p>
              </w:tc>
              <w:tc>
                <w:tcPr>
                  <w:tcW w:w="2035" w:type="dxa"/>
                  <w:vAlign w:val="center"/>
                </w:tcPr>
                <w:p w14:paraId="70FE9A96">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2</w:t>
                  </w:r>
                </w:p>
              </w:tc>
              <w:tc>
                <w:tcPr>
                  <w:tcW w:w="1102" w:type="dxa"/>
                  <w:vAlign w:val="center"/>
                </w:tcPr>
                <w:p w14:paraId="727D5BD5">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抛丸</w:t>
                  </w:r>
                </w:p>
              </w:tc>
            </w:tr>
            <w:tr w14:paraId="086C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752" w:type="dxa"/>
                  <w:vAlign w:val="center"/>
                </w:tcPr>
                <w:p w14:paraId="7A7EFD0C">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3</w:t>
                  </w:r>
                </w:p>
              </w:tc>
              <w:tc>
                <w:tcPr>
                  <w:tcW w:w="1874" w:type="dxa"/>
                  <w:vAlign w:val="center"/>
                </w:tcPr>
                <w:p w14:paraId="74BEA11A">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刷胶机</w:t>
                  </w:r>
                </w:p>
              </w:tc>
              <w:tc>
                <w:tcPr>
                  <w:tcW w:w="1824" w:type="dxa"/>
                  <w:vAlign w:val="center"/>
                </w:tcPr>
                <w:p w14:paraId="50376A71">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w:t>
                  </w:r>
                </w:p>
              </w:tc>
              <w:tc>
                <w:tcPr>
                  <w:tcW w:w="2035" w:type="dxa"/>
                  <w:vAlign w:val="center"/>
                </w:tcPr>
                <w:p w14:paraId="78FB3E99">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2</w:t>
                  </w:r>
                </w:p>
              </w:tc>
              <w:tc>
                <w:tcPr>
                  <w:tcW w:w="1102" w:type="dxa"/>
                  <w:vAlign w:val="center"/>
                </w:tcPr>
                <w:p w14:paraId="599D73B5">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刷胶</w:t>
                  </w:r>
                </w:p>
              </w:tc>
            </w:tr>
            <w:tr w14:paraId="0B2F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1" w:hRule="atLeast"/>
                <w:jc w:val="center"/>
              </w:trPr>
              <w:tc>
                <w:tcPr>
                  <w:tcW w:w="752" w:type="dxa"/>
                  <w:vAlign w:val="center"/>
                </w:tcPr>
                <w:p w14:paraId="52A6308A">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4</w:t>
                  </w:r>
                </w:p>
              </w:tc>
              <w:tc>
                <w:tcPr>
                  <w:tcW w:w="1874" w:type="dxa"/>
                  <w:vAlign w:val="center"/>
                </w:tcPr>
                <w:p w14:paraId="4CA10A1B">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浇注机</w:t>
                  </w:r>
                </w:p>
              </w:tc>
              <w:tc>
                <w:tcPr>
                  <w:tcW w:w="1824" w:type="dxa"/>
                  <w:vAlign w:val="center"/>
                </w:tcPr>
                <w:p w14:paraId="590D7DD5">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default" w:ascii="Times New Roman" w:hAnsi="Times New Roman" w:eastAsia="宋体" w:cs="Times New Roman"/>
                      <w:bCs/>
                      <w:color w:val="000000" w:themeColor="text1"/>
                      <w:kern w:val="0"/>
                      <w:szCs w:val="21"/>
                      <w:lang w:eastAsia="zh-CN"/>
                      <w14:textFill>
                        <w14:solidFill>
                          <w14:schemeClr w14:val="tx1"/>
                        </w14:solidFill>
                      </w14:textFill>
                    </w:rPr>
                    <w:t>/</w:t>
                  </w:r>
                </w:p>
              </w:tc>
              <w:tc>
                <w:tcPr>
                  <w:tcW w:w="2035" w:type="dxa"/>
                  <w:vAlign w:val="center"/>
                </w:tcPr>
                <w:p w14:paraId="75A12DEA">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2</w:t>
                  </w:r>
                </w:p>
              </w:tc>
              <w:tc>
                <w:tcPr>
                  <w:tcW w:w="1102" w:type="dxa"/>
                  <w:vAlign w:val="center"/>
                </w:tcPr>
                <w:p w14:paraId="436B6C88">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浇注</w:t>
                  </w:r>
                </w:p>
              </w:tc>
            </w:tr>
            <w:tr w14:paraId="5595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752" w:type="dxa"/>
                  <w:vAlign w:val="center"/>
                </w:tcPr>
                <w:p w14:paraId="396B61A0">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5</w:t>
                  </w:r>
                </w:p>
              </w:tc>
              <w:tc>
                <w:tcPr>
                  <w:tcW w:w="1874" w:type="dxa"/>
                  <w:vAlign w:val="center"/>
                </w:tcPr>
                <w:p w14:paraId="678D08B8">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环形运输线及烘道</w:t>
                  </w:r>
                </w:p>
              </w:tc>
              <w:tc>
                <w:tcPr>
                  <w:tcW w:w="1824" w:type="dxa"/>
                  <w:vAlign w:val="center"/>
                </w:tcPr>
                <w:p w14:paraId="289473A1">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default" w:ascii="Times New Roman" w:hAnsi="Times New Roman" w:cs="Times New Roman"/>
                      <w:bCs/>
                      <w:snapToGrid/>
                      <w:color w:val="000000" w:themeColor="text1"/>
                      <w:sz w:val="21"/>
                      <w:szCs w:val="21"/>
                      <w:lang w:eastAsia="zh-CN"/>
                      <w14:textFill>
                        <w14:solidFill>
                          <w14:schemeClr w14:val="tx1"/>
                        </w14:solidFill>
                      </w14:textFill>
                    </w:rPr>
                    <w:t>20</w:t>
                  </w:r>
                  <w:r>
                    <w:rPr>
                      <w:rFonts w:hint="eastAsia" w:ascii="Times New Roman" w:hAnsi="Times New Roman" w:cs="Times New Roman"/>
                      <w:bCs/>
                      <w:snapToGrid/>
                      <w:color w:val="000000" w:themeColor="text1"/>
                      <w:sz w:val="21"/>
                      <w:szCs w:val="21"/>
                      <w:lang w:eastAsia="zh-CN"/>
                      <w14:textFill>
                        <w14:solidFill>
                          <w14:schemeClr w14:val="tx1"/>
                        </w14:solidFill>
                      </w14:textFill>
                    </w:rPr>
                    <w:t xml:space="preserve"> 米</w:t>
                  </w:r>
                </w:p>
              </w:tc>
              <w:tc>
                <w:tcPr>
                  <w:tcW w:w="2035" w:type="dxa"/>
                  <w:vAlign w:val="center"/>
                </w:tcPr>
                <w:p w14:paraId="6224B9D5">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1</w:t>
                  </w:r>
                </w:p>
              </w:tc>
              <w:tc>
                <w:tcPr>
                  <w:tcW w:w="1102" w:type="dxa"/>
                  <w:vAlign w:val="center"/>
                </w:tcPr>
                <w:p w14:paraId="35FA121F">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运输</w:t>
                  </w:r>
                </w:p>
              </w:tc>
            </w:tr>
            <w:tr w14:paraId="0B7D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752" w:type="dxa"/>
                  <w:vAlign w:val="center"/>
                </w:tcPr>
                <w:p w14:paraId="765B4DF6">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6</w:t>
                  </w:r>
                </w:p>
              </w:tc>
              <w:tc>
                <w:tcPr>
                  <w:tcW w:w="1874" w:type="dxa"/>
                  <w:vAlign w:val="center"/>
                </w:tcPr>
                <w:p w14:paraId="27CACF61">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烘箱</w:t>
                  </w:r>
                </w:p>
              </w:tc>
              <w:tc>
                <w:tcPr>
                  <w:tcW w:w="1824" w:type="dxa"/>
                  <w:vAlign w:val="center"/>
                </w:tcPr>
                <w:p w14:paraId="2A827D34">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w:t>
                  </w:r>
                </w:p>
              </w:tc>
              <w:tc>
                <w:tcPr>
                  <w:tcW w:w="2035" w:type="dxa"/>
                  <w:vAlign w:val="center"/>
                </w:tcPr>
                <w:p w14:paraId="6B09F9DF">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2</w:t>
                  </w:r>
                </w:p>
              </w:tc>
              <w:tc>
                <w:tcPr>
                  <w:tcW w:w="1102" w:type="dxa"/>
                  <w:vAlign w:val="center"/>
                </w:tcPr>
                <w:p w14:paraId="78C3D2E0">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烘干</w:t>
                  </w:r>
                </w:p>
              </w:tc>
            </w:tr>
            <w:tr w14:paraId="3147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1" w:hRule="atLeast"/>
                <w:jc w:val="center"/>
              </w:trPr>
              <w:tc>
                <w:tcPr>
                  <w:tcW w:w="752" w:type="dxa"/>
                  <w:vAlign w:val="center"/>
                </w:tcPr>
                <w:p w14:paraId="733E7276">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7</w:t>
                  </w:r>
                </w:p>
              </w:tc>
              <w:tc>
                <w:tcPr>
                  <w:tcW w:w="1874" w:type="dxa"/>
                  <w:vAlign w:val="center"/>
                </w:tcPr>
                <w:p w14:paraId="3DBA1A58">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普通车床</w:t>
                  </w:r>
                </w:p>
              </w:tc>
              <w:tc>
                <w:tcPr>
                  <w:tcW w:w="1824" w:type="dxa"/>
                  <w:vAlign w:val="center"/>
                </w:tcPr>
                <w:p w14:paraId="27917704">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C16132A/C6232B/C6140A</w:t>
                  </w:r>
                </w:p>
              </w:tc>
              <w:tc>
                <w:tcPr>
                  <w:tcW w:w="2035" w:type="dxa"/>
                  <w:vAlign w:val="center"/>
                </w:tcPr>
                <w:p w14:paraId="128F8E27">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3</w:t>
                  </w:r>
                </w:p>
              </w:tc>
              <w:tc>
                <w:tcPr>
                  <w:tcW w:w="1102" w:type="dxa"/>
                  <w:vAlign w:val="center"/>
                </w:tcPr>
                <w:p w14:paraId="284D1C67">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w:t>
                  </w:r>
                </w:p>
              </w:tc>
            </w:tr>
            <w:tr w14:paraId="1D22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1" w:hRule="atLeast"/>
                <w:jc w:val="center"/>
              </w:trPr>
              <w:tc>
                <w:tcPr>
                  <w:tcW w:w="752" w:type="dxa"/>
                  <w:vAlign w:val="center"/>
                </w:tcPr>
                <w:p w14:paraId="1814D415">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8</w:t>
                  </w:r>
                </w:p>
              </w:tc>
              <w:tc>
                <w:tcPr>
                  <w:tcW w:w="1874" w:type="dxa"/>
                  <w:vAlign w:val="center"/>
                </w:tcPr>
                <w:p w14:paraId="7218DDA0">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val="en-US" w:eastAsia="zh-CN"/>
                      <w14:textFill>
                        <w14:solidFill>
                          <w14:schemeClr w14:val="tx1"/>
                        </w14:solidFill>
                      </w14:textFill>
                    </w:rPr>
                    <w:t>水帘</w:t>
                  </w:r>
                  <w:r>
                    <w:rPr>
                      <w:rFonts w:hint="eastAsia" w:ascii="Times New Roman" w:hAnsi="Times New Roman" w:cs="Times New Roman"/>
                      <w:bCs/>
                      <w:snapToGrid/>
                      <w:color w:val="000000" w:themeColor="text1"/>
                      <w:sz w:val="21"/>
                      <w:szCs w:val="21"/>
                      <w:lang w:eastAsia="zh-CN"/>
                      <w14:textFill>
                        <w14:solidFill>
                          <w14:schemeClr w14:val="tx1"/>
                        </w14:solidFill>
                      </w14:textFill>
                    </w:rPr>
                    <w:t>喷漆柜</w:t>
                  </w:r>
                </w:p>
              </w:tc>
              <w:tc>
                <w:tcPr>
                  <w:tcW w:w="1824" w:type="dxa"/>
                  <w:vAlign w:val="center"/>
                </w:tcPr>
                <w:p w14:paraId="3EFB4593">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w:t>
                  </w:r>
                </w:p>
              </w:tc>
              <w:tc>
                <w:tcPr>
                  <w:tcW w:w="2035" w:type="dxa"/>
                  <w:vAlign w:val="center"/>
                </w:tcPr>
                <w:p w14:paraId="48A8FB62">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1</w:t>
                  </w:r>
                </w:p>
              </w:tc>
              <w:tc>
                <w:tcPr>
                  <w:tcW w:w="1102" w:type="dxa"/>
                  <w:vAlign w:val="center"/>
                </w:tcPr>
                <w:p w14:paraId="15C0B66C">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喷漆</w:t>
                  </w:r>
                </w:p>
              </w:tc>
            </w:tr>
            <w:tr w14:paraId="0282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752" w:type="dxa"/>
                  <w:vAlign w:val="center"/>
                </w:tcPr>
                <w:p w14:paraId="62329F8C">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9</w:t>
                  </w:r>
                </w:p>
              </w:tc>
              <w:tc>
                <w:tcPr>
                  <w:tcW w:w="1874" w:type="dxa"/>
                  <w:vAlign w:val="center"/>
                </w:tcPr>
                <w:p w14:paraId="4B1FA855">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自动喷枪</w:t>
                  </w:r>
                </w:p>
              </w:tc>
              <w:tc>
                <w:tcPr>
                  <w:tcW w:w="1824" w:type="dxa"/>
                  <w:vAlign w:val="center"/>
                </w:tcPr>
                <w:p w14:paraId="1889A2FE">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eastAsia="zh-CN"/>
                      <w14:textFill>
                        <w14:solidFill>
                          <w14:schemeClr w14:val="tx1"/>
                        </w14:solidFill>
                      </w14:textFill>
                    </w:rPr>
                    <w:t>/</w:t>
                  </w:r>
                </w:p>
              </w:tc>
              <w:tc>
                <w:tcPr>
                  <w:tcW w:w="2035" w:type="dxa"/>
                  <w:vAlign w:val="center"/>
                </w:tcPr>
                <w:p w14:paraId="733EA324">
                  <w:pPr>
                    <w:tabs>
                      <w:tab w:val="left" w:pos="2085"/>
                      <w:tab w:val="center" w:pos="3995"/>
                    </w:tabs>
                    <w:autoSpaceDE/>
                    <w:autoSpaceDN/>
                    <w:jc w:val="center"/>
                    <w:rPr>
                      <w:rFonts w:hint="default" w:ascii="Times New Roman" w:hAnsi="Times New Roman" w:eastAsia="宋体" w:cs="Times New Roman"/>
                      <w:bCs/>
                      <w:color w:val="000000" w:themeColor="text1"/>
                      <w:kern w:val="0"/>
                      <w:szCs w:val="21"/>
                      <w:lang w:eastAsia="zh-CN"/>
                      <w14:textFill>
                        <w14:solidFill>
                          <w14:schemeClr w14:val="tx1"/>
                        </w14:solidFill>
                      </w14:textFill>
                    </w:rPr>
                  </w:pPr>
                  <w:r>
                    <w:rPr>
                      <w:rFonts w:hint="eastAsia" w:ascii="Times New Roman" w:hAnsi="Times New Roman" w:eastAsia="宋体" w:cs="Times New Roman"/>
                      <w:bCs/>
                      <w:color w:val="000000" w:themeColor="text1"/>
                      <w:kern w:val="0"/>
                      <w:szCs w:val="21"/>
                      <w:lang w:val="en-US" w:eastAsia="zh-CN"/>
                      <w14:textFill>
                        <w14:solidFill>
                          <w14:schemeClr w14:val="tx1"/>
                        </w14:solidFill>
                      </w14:textFill>
                    </w:rPr>
                    <w:t>2</w:t>
                  </w:r>
                </w:p>
              </w:tc>
              <w:tc>
                <w:tcPr>
                  <w:tcW w:w="1102" w:type="dxa"/>
                  <w:vAlign w:val="center"/>
                </w:tcPr>
                <w:p w14:paraId="4505971C">
                  <w:pPr>
                    <w:pStyle w:val="315"/>
                    <w:tabs>
                      <w:tab w:val="left" w:pos="2085"/>
                      <w:tab w:val="center" w:pos="3995"/>
                    </w:tabs>
                    <w:autoSpaceDE/>
                    <w:autoSpaceDN/>
                    <w:jc w:val="center"/>
                    <w:rPr>
                      <w:rFonts w:hint="default" w:ascii="Times New Roman" w:hAnsi="Times New Roman" w:cs="Times New Roman"/>
                      <w:bCs/>
                      <w:snapToGrid/>
                      <w:color w:val="000000" w:themeColor="text1"/>
                      <w:sz w:val="21"/>
                      <w:szCs w:val="21"/>
                      <w:lang w:eastAsia="zh-CN"/>
                      <w14:textFill>
                        <w14:solidFill>
                          <w14:schemeClr w14:val="tx1"/>
                        </w14:solidFill>
                      </w14:textFill>
                    </w:rPr>
                  </w:pPr>
                  <w:r>
                    <w:rPr>
                      <w:rFonts w:hint="eastAsia" w:ascii="Times New Roman" w:hAnsi="Times New Roman" w:cs="Times New Roman"/>
                      <w:bCs/>
                      <w:snapToGrid/>
                      <w:color w:val="000000" w:themeColor="text1"/>
                      <w:sz w:val="21"/>
                      <w:szCs w:val="21"/>
                      <w:lang w:eastAsia="zh-CN"/>
                      <w14:textFill>
                        <w14:solidFill>
                          <w14:schemeClr w14:val="tx1"/>
                        </w14:solidFill>
                      </w14:textFill>
                    </w:rPr>
                    <w:t>喷漆</w:t>
                  </w:r>
                </w:p>
              </w:tc>
            </w:tr>
          </w:tbl>
          <w:p w14:paraId="1A783CF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注：本次搬迁喷涂线同</w:t>
            </w:r>
            <w:r>
              <w:rPr>
                <w:rFonts w:hint="eastAsia" w:ascii="Times New Roman" w:hAnsi="Times New Roman" w:eastAsia="宋体" w:cs="Times New Roman"/>
                <w:b/>
                <w:bCs/>
                <w:color w:val="000000" w:themeColor="text1"/>
                <w:sz w:val="21"/>
                <w:szCs w:val="21"/>
                <w14:textFill>
                  <w14:solidFill>
                    <w14:schemeClr w14:val="tx1"/>
                  </w14:solidFill>
                </w14:textFill>
              </w:rPr>
              <w:t>《乐昌市广东启轮金属制品有限公司年产脚轮1</w:t>
            </w:r>
            <w:r>
              <w:rPr>
                <w:rFonts w:ascii="Times New Roman" w:hAnsi="Times New Roman" w:eastAsia="宋体" w:cs="Times New Roman"/>
                <w:b/>
                <w:bCs/>
                <w:color w:val="000000" w:themeColor="text1"/>
                <w:sz w:val="21"/>
                <w:szCs w:val="21"/>
                <w14:textFill>
                  <w14:solidFill>
                    <w14:schemeClr w14:val="tx1"/>
                  </w14:solidFill>
                </w14:textFill>
              </w:rPr>
              <w:t>00万个新建项目</w:t>
            </w:r>
            <w:r>
              <w:rPr>
                <w:rFonts w:hint="eastAsia" w:ascii="Times New Roman" w:hAnsi="Times New Roman" w:eastAsia="宋体" w:cs="Times New Roman"/>
                <w:b/>
                <w:bCs/>
                <w:color w:val="000000" w:themeColor="text1"/>
                <w:sz w:val="21"/>
                <w:szCs w:val="21"/>
                <w14:textFill>
                  <w14:solidFill>
                    <w14:schemeClr w14:val="tx1"/>
                  </w14:solidFill>
                </w14:textFill>
              </w:rPr>
              <w:t>》（韶环乐审</w:t>
            </w:r>
            <w:r>
              <w:rPr>
                <w:rFonts w:hint="default" w:ascii="Times New Roman" w:hAnsi="Times New Roman" w:cs="Times New Roman"/>
                <w:b/>
                <w:bCs/>
                <w:color w:val="auto"/>
                <w:sz w:val="21"/>
                <w:szCs w:val="21"/>
                <w:highlight w:val="none"/>
              </w:rPr>
              <w:t>〔202</w:t>
            </w:r>
            <w:r>
              <w:rPr>
                <w:rFonts w:hint="eastAsia" w:ascii="Times New Roman" w:hAnsi="Times New Roman" w:cs="Times New Roman"/>
                <w:b/>
                <w:bCs/>
                <w:color w:val="auto"/>
                <w:sz w:val="21"/>
                <w:szCs w:val="21"/>
                <w:highlight w:val="none"/>
                <w:lang w:val="en-US" w:eastAsia="zh-CN"/>
              </w:rPr>
              <w:t>1</w:t>
            </w:r>
            <w:r>
              <w:rPr>
                <w:rFonts w:hint="default" w:ascii="Times New Roman" w:hAnsi="Times New Roman" w:cs="Times New Roman"/>
                <w:b/>
                <w:bCs/>
                <w:color w:val="auto"/>
                <w:sz w:val="21"/>
                <w:szCs w:val="21"/>
                <w:highlight w:val="none"/>
              </w:rPr>
              <w:t>〕</w:t>
            </w:r>
            <w:r>
              <w:rPr>
                <w:rFonts w:hint="eastAsia" w:ascii="Times New Roman" w:hAnsi="Times New Roman" w:eastAsia="宋体" w:cs="Times New Roman"/>
                <w:b/>
                <w:bCs/>
                <w:color w:val="000000" w:themeColor="text1"/>
                <w:sz w:val="21"/>
                <w:szCs w:val="21"/>
                <w14:textFill>
                  <w14:solidFill>
                    <w14:schemeClr w14:val="tx1"/>
                  </w14:solidFill>
                </w14:textFill>
              </w:rPr>
              <w:t>22号）</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项目一致。设备不发生变化。</w:t>
            </w:r>
          </w:p>
          <w:p w14:paraId="43B9270B">
            <w:pPr>
              <w:spacing w:line="360" w:lineRule="auto"/>
              <w:ind w:firstLine="480" w:firstLineChars="200"/>
              <w:jc w:val="left"/>
              <w:rPr>
                <w:rFonts w:ascii="Times New Roman" w:hAnsi="Times New Roman" w:eastAsia="宋体" w:cs="Times New Roman"/>
                <w:color w:val="000000" w:themeColor="text1"/>
                <w:sz w:val="24"/>
                <w:lang w:val="zh-CN"/>
                <w14:textFill>
                  <w14:solidFill>
                    <w14:schemeClr w14:val="tx1"/>
                  </w14:solidFill>
                </w14:textFill>
              </w:rPr>
            </w:pPr>
            <w:r>
              <w:rPr>
                <w:rFonts w:ascii="Times New Roman" w:hAnsi="Times New Roman" w:eastAsia="宋体" w:cs="Times New Roman"/>
                <w:color w:val="000000" w:themeColor="text1"/>
                <w:sz w:val="24"/>
                <w:lang w:val="zh-CN"/>
                <w14:textFill>
                  <w14:solidFill>
                    <w14:schemeClr w14:val="tx1"/>
                  </w14:solidFill>
                </w14:textFill>
              </w:rPr>
              <w:t>匹配分析：</w:t>
            </w:r>
          </w:p>
          <w:p w14:paraId="6990F027">
            <w:pPr>
              <w:spacing w:line="360" w:lineRule="auto"/>
              <w:ind w:firstLine="480" w:firstLineChars="200"/>
              <w:jc w:val="left"/>
              <w:rPr>
                <w:rFonts w:ascii="Times New Roman" w:hAnsi="Times New Roman" w:eastAsia="宋体" w:cs="Times New Roman"/>
                <w:bCs/>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sz w:val="24"/>
                <w:lang w:val="zh-CN"/>
                <w14:textFill>
                  <w14:solidFill>
                    <w14:schemeClr w14:val="tx1"/>
                  </w14:solidFill>
                </w14:textFill>
              </w:rPr>
              <w:t>本项目脚轮使用浇注机生产，根据建设单位提供资料项目一台</w:t>
            </w:r>
            <w:r>
              <w:rPr>
                <w:rFonts w:ascii="Times New Roman" w:hAnsi="Times New Roman" w:eastAsia="宋体" w:cs="Times New Roman"/>
                <w:bCs/>
                <w:color w:val="000000" w:themeColor="text1"/>
                <w:kern w:val="0"/>
                <w:sz w:val="24"/>
                <w14:textFill>
                  <w14:solidFill>
                    <w14:schemeClr w14:val="tx1"/>
                  </w14:solidFill>
                </w14:textFill>
              </w:rPr>
              <w:t>的浇注机总吐量为0.5</w:t>
            </w:r>
            <w:r>
              <w:rPr>
                <w:rFonts w:hint="eastAsia" w:ascii="Times New Roman" w:hAnsi="Times New Roman" w:eastAsia="宋体" w:cs="Times New Roman"/>
                <w:bCs/>
                <w:color w:val="000000" w:themeColor="text1"/>
                <w:kern w:val="0"/>
                <w:sz w:val="24"/>
                <w14:textFill>
                  <w14:solidFill>
                    <w14:schemeClr w14:val="tx1"/>
                  </w14:solidFill>
                </w14:textFill>
              </w:rPr>
              <w:t>kg/min，每小时产能为3</w:t>
            </w:r>
            <w:r>
              <w:rPr>
                <w:rFonts w:ascii="Times New Roman" w:hAnsi="Times New Roman" w:eastAsia="宋体" w:cs="Times New Roman"/>
                <w:bCs/>
                <w:color w:val="000000" w:themeColor="text1"/>
                <w:kern w:val="0"/>
                <w:sz w:val="24"/>
                <w14:textFill>
                  <w14:solidFill>
                    <w14:schemeClr w14:val="tx1"/>
                  </w14:solidFill>
                </w14:textFill>
              </w:rPr>
              <w:t>0kg，</w:t>
            </w:r>
            <w:r>
              <w:rPr>
                <w:rFonts w:hint="eastAsia" w:ascii="Times New Roman" w:hAnsi="Times New Roman" w:eastAsia="宋体" w:cs="Times New Roman"/>
                <w:bCs/>
                <w:color w:val="000000" w:themeColor="text1"/>
                <w:kern w:val="0"/>
                <w:sz w:val="24"/>
                <w:lang w:eastAsia="zh-CN"/>
                <w14:textFill>
                  <w14:solidFill>
                    <w14:schemeClr w14:val="tx1"/>
                  </w14:solidFill>
                </w14:textFill>
              </w:rPr>
              <w:t>项目</w:t>
            </w:r>
            <w:r>
              <w:rPr>
                <w:rFonts w:ascii="Times New Roman" w:hAnsi="Times New Roman" w:eastAsia="宋体" w:cs="Times New Roman"/>
                <w:bCs/>
                <w:color w:val="000000" w:themeColor="text1"/>
                <w:kern w:val="0"/>
                <w:sz w:val="24"/>
                <w14:textFill>
                  <w14:solidFill>
                    <w14:schemeClr w14:val="tx1"/>
                  </w14:solidFill>
                </w14:textFill>
              </w:rPr>
              <w:t>日工作时间为</w:t>
            </w:r>
            <w:r>
              <w:rPr>
                <w:rFonts w:hint="eastAsia" w:ascii="Times New Roman" w:hAnsi="Times New Roman" w:eastAsia="宋体" w:cs="Times New Roman"/>
                <w:bCs/>
                <w:color w:val="000000" w:themeColor="text1"/>
                <w:kern w:val="0"/>
                <w:sz w:val="24"/>
                <w14:textFill>
                  <w14:solidFill>
                    <w14:schemeClr w14:val="tx1"/>
                  </w14:solidFill>
                </w14:textFill>
              </w:rPr>
              <w:t>8h，年工作时间3</w:t>
            </w:r>
            <w:r>
              <w:rPr>
                <w:rFonts w:ascii="Times New Roman" w:hAnsi="Times New Roman" w:eastAsia="宋体" w:cs="Times New Roman"/>
                <w:bCs/>
                <w:color w:val="000000" w:themeColor="text1"/>
                <w:kern w:val="0"/>
                <w:sz w:val="24"/>
                <w14:textFill>
                  <w14:solidFill>
                    <w14:schemeClr w14:val="tx1"/>
                  </w14:solidFill>
                </w14:textFill>
              </w:rPr>
              <w:t>00天，年工作</w:t>
            </w:r>
            <w:r>
              <w:rPr>
                <w:rFonts w:hint="eastAsia" w:ascii="Times New Roman" w:hAnsi="Times New Roman" w:eastAsia="宋体" w:cs="Times New Roman"/>
                <w:bCs/>
                <w:color w:val="000000" w:themeColor="text1"/>
                <w:kern w:val="0"/>
                <w:sz w:val="24"/>
                <w14:textFill>
                  <w14:solidFill>
                    <w14:schemeClr w14:val="tx1"/>
                  </w14:solidFill>
                </w14:textFill>
              </w:rPr>
              <w:t>2</w:t>
            </w:r>
            <w:r>
              <w:rPr>
                <w:rFonts w:ascii="Times New Roman" w:hAnsi="Times New Roman" w:eastAsia="宋体" w:cs="Times New Roman"/>
                <w:bCs/>
                <w:color w:val="000000" w:themeColor="text1"/>
                <w:kern w:val="0"/>
                <w:sz w:val="24"/>
                <w14:textFill>
                  <w14:solidFill>
                    <w14:schemeClr w14:val="tx1"/>
                  </w14:solidFill>
                </w14:textFill>
              </w:rPr>
              <w:t>400h，则单台浇注机的产量为</w:t>
            </w:r>
            <w:r>
              <w:rPr>
                <w:rFonts w:hint="eastAsia" w:ascii="Times New Roman" w:hAnsi="Times New Roman" w:eastAsia="宋体" w:cs="Times New Roman"/>
                <w:bCs/>
                <w:color w:val="000000" w:themeColor="text1"/>
                <w:kern w:val="0"/>
                <w:sz w:val="24"/>
                <w14:textFill>
                  <w14:solidFill>
                    <w14:schemeClr w14:val="tx1"/>
                  </w14:solidFill>
                </w14:textFill>
              </w:rPr>
              <w:t>7</w:t>
            </w:r>
            <w:r>
              <w:rPr>
                <w:rFonts w:ascii="Times New Roman" w:hAnsi="Times New Roman" w:eastAsia="宋体" w:cs="Times New Roman"/>
                <w:bCs/>
                <w:color w:val="000000" w:themeColor="text1"/>
                <w:kern w:val="0"/>
                <w:sz w:val="24"/>
                <w14:textFill>
                  <w14:solidFill>
                    <w14:schemeClr w14:val="tx1"/>
                  </w14:solidFill>
                </w14:textFill>
              </w:rPr>
              <w:t>2t/a，两台浇注机的产量为</w:t>
            </w:r>
            <w:r>
              <w:rPr>
                <w:rFonts w:hint="eastAsia" w:ascii="Times New Roman" w:hAnsi="Times New Roman" w:eastAsia="宋体" w:cs="Times New Roman"/>
                <w:bCs/>
                <w:color w:val="000000" w:themeColor="text1"/>
                <w:kern w:val="0"/>
                <w:sz w:val="24"/>
                <w14:textFill>
                  <w14:solidFill>
                    <w14:schemeClr w14:val="tx1"/>
                  </w14:solidFill>
                </w14:textFill>
              </w:rPr>
              <w:t>1</w:t>
            </w:r>
            <w:r>
              <w:rPr>
                <w:rFonts w:ascii="Times New Roman" w:hAnsi="Times New Roman" w:eastAsia="宋体" w:cs="Times New Roman"/>
                <w:bCs/>
                <w:color w:val="000000" w:themeColor="text1"/>
                <w:kern w:val="0"/>
                <w:sz w:val="24"/>
                <w14:textFill>
                  <w14:solidFill>
                    <w14:schemeClr w14:val="tx1"/>
                  </w14:solidFill>
                </w14:textFill>
              </w:rPr>
              <w:t>44t/a，</w:t>
            </w:r>
            <w:r>
              <w:rPr>
                <w:rFonts w:hint="eastAsia" w:ascii="Times New Roman" w:hAnsi="Times New Roman" w:eastAsia="宋体" w:cs="Times New Roman"/>
                <w:bCs/>
                <w:color w:val="000000" w:themeColor="text1"/>
                <w:kern w:val="0"/>
                <w:sz w:val="24"/>
                <w:lang w:eastAsia="zh-CN"/>
                <w14:textFill>
                  <w14:solidFill>
                    <w14:schemeClr w14:val="tx1"/>
                  </w14:solidFill>
                </w14:textFill>
              </w:rPr>
              <w:t>项目</w:t>
            </w:r>
            <w:r>
              <w:rPr>
                <w:rFonts w:ascii="Times New Roman" w:hAnsi="Times New Roman" w:eastAsia="宋体" w:cs="Times New Roman"/>
                <w:bCs/>
                <w:color w:val="000000" w:themeColor="text1"/>
                <w:kern w:val="0"/>
                <w:sz w:val="24"/>
                <w14:textFill>
                  <w14:solidFill>
                    <w14:schemeClr w14:val="tx1"/>
                  </w14:solidFill>
                </w14:textFill>
              </w:rPr>
              <w:t>使用原料聚氨酯</w:t>
            </w:r>
            <w:r>
              <w:rPr>
                <w:rFonts w:hint="eastAsia" w:ascii="Times New Roman" w:hAnsi="Times New Roman" w:eastAsia="宋体" w:cs="Times New Roman"/>
                <w:bCs/>
                <w:color w:val="000000" w:themeColor="text1"/>
                <w:kern w:val="0"/>
                <w:sz w:val="24"/>
                <w14:textFill>
                  <w14:solidFill>
                    <w14:schemeClr w14:val="tx1"/>
                  </w14:solidFill>
                </w14:textFill>
              </w:rPr>
              <w:t>1</w:t>
            </w:r>
            <w:r>
              <w:rPr>
                <w:rFonts w:ascii="Times New Roman" w:hAnsi="Times New Roman" w:eastAsia="宋体" w:cs="Times New Roman"/>
                <w:bCs/>
                <w:color w:val="000000" w:themeColor="text1"/>
                <w:kern w:val="0"/>
                <w:sz w:val="24"/>
                <w14:textFill>
                  <w14:solidFill>
                    <w14:schemeClr w14:val="tx1"/>
                  </w14:solidFill>
                </w14:textFill>
              </w:rPr>
              <w:t>10t/a。</w:t>
            </w:r>
            <w:r>
              <w:rPr>
                <w:rFonts w:hint="eastAsia" w:ascii="Times New Roman" w:hAnsi="Times New Roman" w:eastAsia="宋体" w:cs="Times New Roman"/>
                <w:bCs/>
                <w:color w:val="000000" w:themeColor="text1"/>
                <w:kern w:val="0"/>
                <w:sz w:val="24"/>
                <w14:textFill>
                  <w14:solidFill>
                    <w14:schemeClr w14:val="tx1"/>
                  </w14:solidFill>
                </w14:textFill>
              </w:rPr>
              <w:t>结合实际生产，设备无法全年保持满负荷生产，需保留10%~20%的安全系数。因此，本</w:t>
            </w:r>
            <w:r>
              <w:rPr>
                <w:rFonts w:hint="eastAsia" w:ascii="Times New Roman" w:hAnsi="Times New Roman" w:eastAsia="宋体" w:cs="Times New Roman"/>
                <w:bCs/>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bCs/>
                <w:color w:val="000000" w:themeColor="text1"/>
                <w:kern w:val="0"/>
                <w:sz w:val="24"/>
                <w14:textFill>
                  <w14:solidFill>
                    <w14:schemeClr w14:val="tx1"/>
                  </w14:solidFill>
                </w14:textFill>
              </w:rPr>
              <w:t>生产设备与产能具有匹配性。</w:t>
            </w:r>
          </w:p>
          <w:p w14:paraId="5A262E3C">
            <w:pPr>
              <w:spacing w:line="360" w:lineRule="auto"/>
              <w:ind w:firstLine="480" w:firstLineChars="200"/>
              <w:jc w:val="left"/>
              <w:rPr>
                <w:rFonts w:ascii="Times New Roman" w:hAnsi="Times New Roman" w:eastAsia="宋体" w:cs="Times New Roman"/>
                <w:color w:val="000000" w:themeColor="text1"/>
                <w:sz w:val="24"/>
                <w:lang w:val="zh-CN"/>
                <w14:textFill>
                  <w14:solidFill>
                    <w14:schemeClr w14:val="tx1"/>
                  </w14:solidFill>
                </w14:textFill>
              </w:rPr>
            </w:pPr>
            <w:r>
              <w:rPr>
                <w:rFonts w:ascii="Times New Roman" w:hAnsi="Times New Roman" w:eastAsia="宋体" w:cs="Times New Roman"/>
                <w:bCs/>
                <w:color w:val="000000" w:themeColor="text1"/>
                <w:kern w:val="0"/>
                <w:sz w:val="24"/>
                <w14:textFill>
                  <w14:solidFill>
                    <w14:schemeClr w14:val="tx1"/>
                  </w14:solidFill>
                </w14:textFill>
              </w:rPr>
              <w:t>本</w:t>
            </w:r>
            <w:r>
              <w:rPr>
                <w:rFonts w:hint="eastAsia" w:ascii="Times New Roman" w:hAnsi="Times New Roman" w:eastAsia="宋体" w:cs="Times New Roman"/>
                <w:bCs/>
                <w:color w:val="000000" w:themeColor="text1"/>
                <w:kern w:val="0"/>
                <w:sz w:val="24"/>
                <w:lang w:eastAsia="zh-CN"/>
                <w14:textFill>
                  <w14:solidFill>
                    <w14:schemeClr w14:val="tx1"/>
                  </w14:solidFill>
                </w14:textFill>
              </w:rPr>
              <w:t>项目</w:t>
            </w:r>
            <w:r>
              <w:rPr>
                <w:rFonts w:ascii="Times New Roman" w:hAnsi="Times New Roman" w:eastAsia="宋体" w:cs="Times New Roman"/>
                <w:bCs/>
                <w:color w:val="000000" w:themeColor="text1"/>
                <w:kern w:val="0"/>
                <w:sz w:val="24"/>
                <w14:textFill>
                  <w14:solidFill>
                    <w14:schemeClr w14:val="tx1"/>
                  </w14:solidFill>
                </w14:textFill>
              </w:rPr>
              <w:t>喷漆采用自动喷枪进行生产，根据建设单位提供资料，单个喷枪的</w:t>
            </w:r>
            <w:r>
              <w:rPr>
                <w:rFonts w:hint="eastAsia" w:ascii="Times New Roman" w:hAnsi="Times New Roman" w:eastAsia="宋体" w:cs="Times New Roman"/>
                <w:bCs/>
                <w:color w:val="000000" w:themeColor="text1"/>
                <w:kern w:val="0"/>
                <w:sz w:val="24"/>
                <w14:textFill>
                  <w14:solidFill>
                    <w14:schemeClr w14:val="tx1"/>
                  </w14:solidFill>
                </w14:textFill>
              </w:rPr>
              <w:t>喷料</w:t>
            </w:r>
            <w:r>
              <w:rPr>
                <w:rFonts w:ascii="Times New Roman" w:hAnsi="Times New Roman" w:eastAsia="宋体" w:cs="Times New Roman"/>
                <w:bCs/>
                <w:color w:val="000000" w:themeColor="text1"/>
                <w:kern w:val="0"/>
                <w:sz w:val="24"/>
                <w14:textFill>
                  <w14:solidFill>
                    <w14:schemeClr w14:val="tx1"/>
                  </w14:solidFill>
                </w14:textFill>
              </w:rPr>
              <w:t>喷出量为</w:t>
            </w:r>
            <w:r>
              <w:rPr>
                <w:rFonts w:hint="eastAsia" w:ascii="Times New Roman" w:hAnsi="Times New Roman" w:eastAsia="宋体" w:cs="Times New Roman"/>
                <w:bCs/>
                <w:color w:val="000000" w:themeColor="text1"/>
                <w:kern w:val="0"/>
                <w:sz w:val="24"/>
                <w:lang w:val="en-US" w:eastAsia="zh-CN"/>
                <w14:textFill>
                  <w14:solidFill>
                    <w14:schemeClr w14:val="tx1"/>
                  </w14:solidFill>
                </w14:textFill>
              </w:rPr>
              <w:t>4</w:t>
            </w:r>
            <w:r>
              <w:rPr>
                <w:rFonts w:ascii="Times New Roman" w:hAnsi="Times New Roman" w:eastAsia="宋体" w:cs="Times New Roman"/>
                <w:bCs/>
                <w:color w:val="000000" w:themeColor="text1"/>
                <w:kern w:val="0"/>
                <w:sz w:val="24"/>
                <w14:textFill>
                  <w14:solidFill>
                    <w14:schemeClr w14:val="tx1"/>
                  </w14:solidFill>
                </w14:textFill>
              </w:rPr>
              <w:t>kg/h，橡胶脚轮喷漆工序每生产一批次脚轮所需</w:t>
            </w:r>
            <w:r>
              <w:rPr>
                <w:rFonts w:hint="eastAsia" w:ascii="Times New Roman" w:hAnsi="Times New Roman" w:eastAsia="宋体" w:cs="Times New Roman"/>
                <w:bCs/>
                <w:color w:val="000000" w:themeColor="text1"/>
                <w:kern w:val="0"/>
                <w:sz w:val="24"/>
                <w14:textFill>
                  <w14:solidFill>
                    <w14:schemeClr w14:val="tx1"/>
                  </w14:solidFill>
                </w14:textFill>
              </w:rPr>
              <w:t>8h，</w:t>
            </w:r>
            <w:r>
              <w:rPr>
                <w:rFonts w:ascii="Times New Roman" w:hAnsi="Times New Roman" w:eastAsia="宋体" w:cs="Times New Roman"/>
                <w:bCs/>
                <w:color w:val="000000" w:themeColor="text1"/>
                <w:kern w:val="0"/>
                <w:sz w:val="24"/>
                <w14:textFill>
                  <w14:solidFill>
                    <w14:schemeClr w14:val="tx1"/>
                  </w14:solidFill>
                </w14:textFill>
              </w:rPr>
              <w:t>喷枪工作时间为0.</w:t>
            </w:r>
            <w:r>
              <w:rPr>
                <w:rFonts w:hint="eastAsia" w:ascii="Times New Roman" w:hAnsi="Times New Roman" w:eastAsia="宋体" w:cs="Times New Roman"/>
                <w:bCs/>
                <w:color w:val="000000" w:themeColor="text1"/>
                <w:kern w:val="0"/>
                <w:sz w:val="24"/>
                <w:lang w:val="en-US" w:eastAsia="zh-CN"/>
                <w14:textFill>
                  <w14:solidFill>
                    <w14:schemeClr w14:val="tx1"/>
                  </w14:solidFill>
                </w14:textFill>
              </w:rPr>
              <w:t>5</w:t>
            </w:r>
            <w:r>
              <w:rPr>
                <w:rFonts w:ascii="Times New Roman" w:hAnsi="Times New Roman" w:eastAsia="宋体" w:cs="Times New Roman"/>
                <w:bCs/>
                <w:color w:val="000000" w:themeColor="text1"/>
                <w:kern w:val="0"/>
                <w:sz w:val="24"/>
                <w14:textFill>
                  <w14:solidFill>
                    <w14:schemeClr w14:val="tx1"/>
                  </w14:solidFill>
                </w14:textFill>
              </w:rPr>
              <w:t>h每批次，单个喷枪的喷料喷出量为</w:t>
            </w:r>
            <w:r>
              <w:rPr>
                <w:rFonts w:hint="eastAsia" w:ascii="Times New Roman" w:hAnsi="Times New Roman" w:eastAsia="宋体" w:cs="Times New Roman"/>
                <w:bCs/>
                <w:color w:val="000000" w:themeColor="text1"/>
                <w:kern w:val="0"/>
                <w:sz w:val="24"/>
                <w:lang w:val="en-US" w:eastAsia="zh-CN"/>
                <w14:textFill>
                  <w14:solidFill>
                    <w14:schemeClr w14:val="tx1"/>
                  </w14:solidFill>
                </w14:textFill>
              </w:rPr>
              <w:t>2</w:t>
            </w:r>
            <w:r>
              <w:rPr>
                <w:rFonts w:ascii="Times New Roman" w:hAnsi="Times New Roman" w:eastAsia="宋体" w:cs="Times New Roman"/>
                <w:bCs/>
                <w:color w:val="000000" w:themeColor="text1"/>
                <w:kern w:val="0"/>
                <w:sz w:val="24"/>
                <w14:textFill>
                  <w14:solidFill>
                    <w14:schemeClr w14:val="tx1"/>
                  </w14:solidFill>
                </w14:textFill>
              </w:rPr>
              <w:t>kg/天，</w:t>
            </w:r>
            <w:r>
              <w:rPr>
                <w:rFonts w:hint="eastAsia" w:ascii="Times New Roman" w:hAnsi="Times New Roman" w:eastAsia="宋体" w:cs="Times New Roman"/>
                <w:bCs/>
                <w:color w:val="000000" w:themeColor="text1"/>
                <w:kern w:val="0"/>
                <w:sz w:val="24"/>
                <w:lang w:eastAsia="zh-CN"/>
                <w14:textFill>
                  <w14:solidFill>
                    <w14:schemeClr w14:val="tx1"/>
                  </w14:solidFill>
                </w14:textFill>
              </w:rPr>
              <w:t>项目</w:t>
            </w:r>
            <w:r>
              <w:rPr>
                <w:rFonts w:ascii="Times New Roman" w:hAnsi="Times New Roman" w:eastAsia="宋体" w:cs="Times New Roman"/>
                <w:bCs/>
                <w:color w:val="000000" w:themeColor="text1"/>
                <w:kern w:val="0"/>
                <w:sz w:val="24"/>
                <w14:textFill>
                  <w14:solidFill>
                    <w14:schemeClr w14:val="tx1"/>
                  </w14:solidFill>
                </w14:textFill>
              </w:rPr>
              <w:t>共有</w:t>
            </w:r>
            <w:r>
              <w:rPr>
                <w:rFonts w:hint="eastAsia" w:ascii="Times New Roman" w:hAnsi="Times New Roman" w:eastAsia="宋体" w:cs="Times New Roman"/>
                <w:bCs/>
                <w:color w:val="000000" w:themeColor="text1"/>
                <w:kern w:val="0"/>
                <w:sz w:val="24"/>
                <w:lang w:val="en-US" w:eastAsia="zh-CN"/>
                <w14:textFill>
                  <w14:solidFill>
                    <w14:schemeClr w14:val="tx1"/>
                  </w14:solidFill>
                </w14:textFill>
              </w:rPr>
              <w:t>2</w:t>
            </w:r>
            <w:r>
              <w:rPr>
                <w:rFonts w:hint="eastAsia" w:ascii="Times New Roman" w:hAnsi="Times New Roman" w:eastAsia="宋体" w:cs="Times New Roman"/>
                <w:bCs/>
                <w:color w:val="000000" w:themeColor="text1"/>
                <w:kern w:val="0"/>
                <w:sz w:val="24"/>
                <w14:textFill>
                  <w14:solidFill>
                    <w14:schemeClr w14:val="tx1"/>
                  </w14:solidFill>
                </w14:textFill>
              </w:rPr>
              <w:t>个喷枪，每年工作3</w:t>
            </w:r>
            <w:r>
              <w:rPr>
                <w:rFonts w:ascii="Times New Roman" w:hAnsi="Times New Roman" w:eastAsia="宋体" w:cs="Times New Roman"/>
                <w:bCs/>
                <w:color w:val="000000" w:themeColor="text1"/>
                <w:kern w:val="0"/>
                <w:sz w:val="24"/>
                <w14:textFill>
                  <w14:solidFill>
                    <w14:schemeClr w14:val="tx1"/>
                  </w14:solidFill>
                </w14:textFill>
              </w:rPr>
              <w:t>00天，则喷枪喷出量为</w:t>
            </w:r>
            <w:r>
              <w:rPr>
                <w:rFonts w:hint="eastAsia" w:ascii="Times New Roman" w:hAnsi="Times New Roman" w:eastAsia="宋体" w:cs="Times New Roman"/>
                <w:bCs/>
                <w:color w:val="000000" w:themeColor="text1"/>
                <w:kern w:val="0"/>
                <w:sz w:val="24"/>
                <w:lang w:val="en-US" w:eastAsia="zh-CN"/>
                <w14:textFill>
                  <w14:solidFill>
                    <w14:schemeClr w14:val="tx1"/>
                  </w14:solidFill>
                </w14:textFill>
              </w:rPr>
              <w:t>1.2</w:t>
            </w:r>
            <w:r>
              <w:rPr>
                <w:rFonts w:ascii="Times New Roman" w:hAnsi="Times New Roman" w:eastAsia="宋体" w:cs="Times New Roman"/>
                <w:bCs/>
                <w:color w:val="000000" w:themeColor="text1"/>
                <w:kern w:val="0"/>
                <w:sz w:val="24"/>
                <w14:textFill>
                  <w14:solidFill>
                    <w14:schemeClr w14:val="tx1"/>
                  </w14:solidFill>
                </w14:textFill>
              </w:rPr>
              <w:t>t/a。本</w:t>
            </w:r>
            <w:r>
              <w:rPr>
                <w:rFonts w:hint="eastAsia" w:ascii="Times New Roman" w:hAnsi="Times New Roman" w:eastAsia="宋体" w:cs="Times New Roman"/>
                <w:bCs/>
                <w:color w:val="000000" w:themeColor="text1"/>
                <w:kern w:val="0"/>
                <w:sz w:val="24"/>
                <w:lang w:eastAsia="zh-CN"/>
                <w14:textFill>
                  <w14:solidFill>
                    <w14:schemeClr w14:val="tx1"/>
                  </w14:solidFill>
                </w14:textFill>
              </w:rPr>
              <w:t>项目</w:t>
            </w:r>
            <w:r>
              <w:rPr>
                <w:rFonts w:ascii="Times New Roman" w:hAnsi="Times New Roman" w:eastAsia="宋体" w:cs="Times New Roman"/>
                <w:bCs/>
                <w:color w:val="000000" w:themeColor="text1"/>
                <w:kern w:val="0"/>
                <w:sz w:val="24"/>
                <w14:textFill>
                  <w14:solidFill>
                    <w14:schemeClr w14:val="tx1"/>
                  </w14:solidFill>
                </w14:textFill>
              </w:rPr>
              <w:t>喷漆用量为</w:t>
            </w:r>
            <w:r>
              <w:rPr>
                <w:rFonts w:hint="eastAsia" w:ascii="Times New Roman" w:hAnsi="Times New Roman" w:eastAsia="宋体" w:cs="Times New Roman"/>
                <w:bCs/>
                <w:color w:val="000000" w:themeColor="text1"/>
                <w:kern w:val="0"/>
                <w:sz w:val="24"/>
                <w:lang w:val="en-US" w:eastAsia="zh-CN"/>
                <w14:textFill>
                  <w14:solidFill>
                    <w14:schemeClr w14:val="tx1"/>
                  </w14:solidFill>
                </w14:textFill>
              </w:rPr>
              <w:t>1.073</w:t>
            </w:r>
            <w:r>
              <w:rPr>
                <w:rFonts w:ascii="Times New Roman" w:hAnsi="Times New Roman" w:eastAsia="宋体" w:cs="Times New Roman"/>
                <w:bCs/>
                <w:color w:val="000000" w:themeColor="text1"/>
                <w:kern w:val="0"/>
                <w:sz w:val="24"/>
                <w14:textFill>
                  <w14:solidFill>
                    <w14:schemeClr w14:val="tx1"/>
                  </w14:solidFill>
                </w14:textFill>
              </w:rPr>
              <w:t>t/a，</w:t>
            </w:r>
            <w:r>
              <w:rPr>
                <w:rFonts w:hint="eastAsia" w:ascii="Times New Roman" w:hAnsi="Times New Roman" w:eastAsia="宋体" w:cs="Times New Roman"/>
                <w:bCs/>
                <w:color w:val="000000" w:themeColor="text1"/>
                <w:kern w:val="0"/>
                <w:sz w:val="24"/>
                <w14:textFill>
                  <w14:solidFill>
                    <w14:schemeClr w14:val="tx1"/>
                  </w14:solidFill>
                </w14:textFill>
              </w:rPr>
              <w:t>结合实际生产，设备无法全年保持满负荷生产，需保留10%~20%的安全系数。因此，本</w:t>
            </w:r>
            <w:r>
              <w:rPr>
                <w:rFonts w:hint="eastAsia" w:ascii="Times New Roman" w:hAnsi="Times New Roman" w:eastAsia="宋体" w:cs="Times New Roman"/>
                <w:bCs/>
                <w:color w:val="000000" w:themeColor="text1"/>
                <w:kern w:val="0"/>
                <w:sz w:val="24"/>
                <w:lang w:eastAsia="zh-CN"/>
                <w14:textFill>
                  <w14:solidFill>
                    <w14:schemeClr w14:val="tx1"/>
                  </w14:solidFill>
                </w14:textFill>
              </w:rPr>
              <w:t>项目</w:t>
            </w:r>
            <w:r>
              <w:rPr>
                <w:rFonts w:hint="eastAsia" w:ascii="Times New Roman" w:hAnsi="Times New Roman" w:eastAsia="宋体" w:cs="Times New Roman"/>
                <w:bCs/>
                <w:color w:val="000000" w:themeColor="text1"/>
                <w:kern w:val="0"/>
                <w:sz w:val="24"/>
                <w14:textFill>
                  <w14:solidFill>
                    <w14:schemeClr w14:val="tx1"/>
                  </w14:solidFill>
                </w14:textFill>
              </w:rPr>
              <w:t>生产设备与产能具有匹配性。</w:t>
            </w:r>
          </w:p>
          <w:p w14:paraId="527BB1A9">
            <w:pPr>
              <w:spacing w:line="360" w:lineRule="auto"/>
              <w:ind w:firstLine="480" w:firstLineChars="200"/>
              <w:jc w:val="left"/>
              <w:rPr>
                <w:rFonts w:ascii="Times New Roman" w:hAnsi="Times New Roman" w:eastAsia="宋体" w:cs="Times New Roman"/>
                <w:color w:val="000000" w:themeColor="text1"/>
                <w:sz w:val="24"/>
                <w:lang w:val="zh-CN"/>
                <w14:textFill>
                  <w14:solidFill>
                    <w14:schemeClr w14:val="tx1"/>
                  </w14:solidFill>
                </w14:textFill>
              </w:rPr>
            </w:pPr>
            <w:r>
              <w:rPr>
                <w:rFonts w:hint="eastAsia" w:ascii="Times New Roman" w:hAnsi="Times New Roman" w:eastAsia="宋体" w:cs="Times New Roman"/>
                <w:color w:val="000000" w:themeColor="text1"/>
                <w:sz w:val="24"/>
                <w:lang w:val="zh-CN"/>
                <w14:textFill>
                  <w14:solidFill>
                    <w14:schemeClr w14:val="tx1"/>
                  </w14:solidFill>
                </w14:textFill>
              </w:rPr>
              <w:t>5、人员及生产制度</w:t>
            </w:r>
          </w:p>
          <w:p w14:paraId="3D595F6E">
            <w:pPr>
              <w:spacing w:line="360" w:lineRule="auto"/>
              <w:ind w:firstLine="480" w:firstLineChars="200"/>
              <w:jc w:val="left"/>
              <w:rPr>
                <w:rFonts w:ascii="Times New Roman" w:hAnsi="Times New Roman" w:eastAsia="宋体" w:cs="Times New Roman"/>
                <w:color w:val="000000" w:themeColor="text1"/>
                <w:sz w:val="24"/>
                <w:lang w:val="zh-CN"/>
                <w14:textFill>
                  <w14:solidFill>
                    <w14:schemeClr w14:val="tx1"/>
                  </w14:solidFill>
                </w14:textFill>
              </w:rPr>
            </w:pPr>
            <w:r>
              <w:rPr>
                <w:rFonts w:hint="eastAsia" w:ascii="Times New Roman" w:hAnsi="Times New Roman" w:eastAsia="宋体" w:cs="Times New Roman"/>
                <w:color w:val="000000" w:themeColor="text1"/>
                <w:sz w:val="24"/>
                <w:lang w:val="zh-CN"/>
                <w14:textFill>
                  <w14:solidFill>
                    <w14:schemeClr w14:val="tx1"/>
                  </w14:solidFill>
                </w14:textFill>
              </w:rPr>
              <w:t>本项目</w:t>
            </w:r>
            <w:r>
              <w:rPr>
                <w:rFonts w:ascii="Times New Roman" w:hAnsi="Times New Roman" w:eastAsia="宋体" w:cs="Times New Roman"/>
                <w:color w:val="000000" w:themeColor="text1"/>
                <w:sz w:val="24"/>
                <w:lang w:val="zh-CN"/>
                <w14:textFill>
                  <w14:solidFill>
                    <w14:schemeClr w14:val="tx1"/>
                  </w14:solidFill>
                </w14:textFill>
              </w:rPr>
              <w:t>劳动定员为</w:t>
            </w:r>
            <w:r>
              <w:rPr>
                <w:rFonts w:hint="eastAsia" w:ascii="Times New Roman" w:hAnsi="Times New Roman" w:eastAsia="宋体" w:cs="Times New Roman"/>
                <w:color w:val="000000" w:themeColor="text1"/>
                <w:sz w:val="24"/>
                <w:lang w:val="en-US" w:eastAsia="zh-CN"/>
                <w14:textFill>
                  <w14:solidFill>
                    <w14:schemeClr w14:val="tx1"/>
                  </w14:solidFill>
                </w14:textFill>
              </w:rPr>
              <w:t>2</w:t>
            </w:r>
            <w:r>
              <w:rPr>
                <w:rFonts w:ascii="Times New Roman" w:hAnsi="Times New Roman" w:eastAsia="宋体" w:cs="Times New Roman"/>
                <w:color w:val="000000" w:themeColor="text1"/>
                <w:sz w:val="24"/>
                <w:lang w:val="zh-CN"/>
                <w14:textFill>
                  <w14:solidFill>
                    <w14:schemeClr w14:val="tx1"/>
                  </w14:solidFill>
                </w14:textFill>
              </w:rPr>
              <w:t>0人，原项目</w:t>
            </w:r>
            <w:r>
              <w:rPr>
                <w:rFonts w:hint="eastAsia" w:ascii="Times New Roman" w:hAnsi="Times New Roman" w:eastAsia="宋体" w:cs="Times New Roman"/>
                <w:color w:val="000000" w:themeColor="text1"/>
                <w:sz w:val="24"/>
                <w:lang w:val="zh-CN"/>
                <w14:textFill>
                  <w14:solidFill>
                    <w14:schemeClr w14:val="tx1"/>
                  </w14:solidFill>
                </w14:textFill>
              </w:rPr>
              <w:t>年工作300天，每天工作1班，每班8小时，年工作3</w:t>
            </w:r>
            <w:r>
              <w:rPr>
                <w:rFonts w:ascii="Times New Roman" w:hAnsi="Times New Roman" w:eastAsia="宋体" w:cs="Times New Roman"/>
                <w:color w:val="000000" w:themeColor="text1"/>
                <w:sz w:val="24"/>
                <w:lang w:val="zh-CN"/>
                <w14:textFill>
                  <w14:solidFill>
                    <w14:schemeClr w14:val="tx1"/>
                  </w14:solidFill>
                </w14:textFill>
              </w:rPr>
              <w:t>00天，每天工作</w:t>
            </w:r>
            <w:r>
              <w:rPr>
                <w:rFonts w:hint="eastAsia" w:ascii="Times New Roman" w:hAnsi="Times New Roman" w:eastAsia="宋体" w:cs="Times New Roman"/>
                <w:color w:val="000000" w:themeColor="text1"/>
                <w:sz w:val="24"/>
                <w:lang w:val="zh-CN"/>
                <w14:textFill>
                  <w14:solidFill>
                    <w14:schemeClr w14:val="tx1"/>
                  </w14:solidFill>
                </w14:textFill>
              </w:rPr>
              <w:t>1班，每班8小时。厂区不提供食宿。</w:t>
            </w:r>
          </w:p>
          <w:p w14:paraId="6E5B712A">
            <w:pPr>
              <w:spacing w:line="360" w:lineRule="auto"/>
              <w:ind w:firstLine="480" w:firstLineChars="200"/>
              <w:rPr>
                <w:rFonts w:ascii="Times New Roman" w:hAnsi="Times New Roman" w:eastAsia="宋体" w:cs="Times New Roman"/>
                <w:color w:val="000000" w:themeColor="text1"/>
                <w:sz w:val="24"/>
                <w:lang w:val="zh-CN"/>
                <w14:textFill>
                  <w14:solidFill>
                    <w14:schemeClr w14:val="tx1"/>
                  </w14:solidFill>
                </w14:textFill>
              </w:rPr>
            </w:pPr>
            <w:r>
              <w:rPr>
                <w:rFonts w:hint="eastAsia" w:ascii="Times New Roman" w:hAnsi="Times New Roman" w:eastAsia="宋体" w:cs="Times New Roman"/>
                <w:color w:val="000000" w:themeColor="text1"/>
                <w:sz w:val="24"/>
                <w:lang w:val="zh-CN"/>
                <w14:textFill>
                  <w14:solidFill>
                    <w14:schemeClr w14:val="tx1"/>
                  </w14:solidFill>
                </w14:textFill>
              </w:rPr>
              <w:t>6、给排水情况</w:t>
            </w:r>
          </w:p>
          <w:p w14:paraId="6CC589E4">
            <w:pPr>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（1）给水：</w:t>
            </w:r>
          </w:p>
          <w:p w14:paraId="7147E65D">
            <w:pPr>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用水由自来水管网提供，主要为办公生活用水和间接冷却水。</w:t>
            </w:r>
          </w:p>
          <w:p w14:paraId="4D0CC950">
            <w:pPr>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lang w:val="en-US" w:eastAsia="zh-CN"/>
                <w14:textFill>
                  <w14:solidFill>
                    <w14:schemeClr w14:val="tx1"/>
                  </w14:solidFill>
                </w14:textFill>
              </w:rPr>
              <w:t>①生活用水：</w:t>
            </w: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员工</w:t>
            </w:r>
            <w:r>
              <w:rPr>
                <w:rFonts w:ascii="Times New Roman" w:hAnsi="Times New Roman" w:eastAsia="宋体" w:cs="Times New Roman"/>
                <w:bCs/>
                <w:color w:val="000000" w:themeColor="text1"/>
                <w:sz w:val="24"/>
                <w14:textFill>
                  <w14:solidFill>
                    <w14:schemeClr w14:val="tx1"/>
                  </w14:solidFill>
                </w14:textFill>
              </w:rPr>
              <w:t>20</w:t>
            </w:r>
            <w:r>
              <w:rPr>
                <w:rFonts w:hint="eastAsia" w:ascii="Times New Roman" w:hAnsi="Times New Roman" w:eastAsia="宋体" w:cs="Times New Roman"/>
                <w:bCs/>
                <w:color w:val="000000" w:themeColor="text1"/>
                <w:sz w:val="24"/>
                <w14:textFill>
                  <w14:solidFill>
                    <w14:schemeClr w14:val="tx1"/>
                  </w14:solidFill>
                </w14:textFill>
              </w:rPr>
              <w:t>人，年生产300天，员工均不在厂内食宿。根据广东省地方标准《用水定额 第3部分：生活》（DB44/T1461.3-2021）表A.1服务业用水定额表，员工生活用水定额参考国家行政机构无食堂和浴室10m</w:t>
            </w:r>
            <w:r>
              <w:rPr>
                <w:rFonts w:hint="eastAsia" w:ascii="Times New Roman" w:hAnsi="Times New Roman" w:eastAsia="宋体" w:cs="Times New Roman"/>
                <w:bCs/>
                <w:color w:val="000000" w:themeColor="text1"/>
                <w:sz w:val="24"/>
                <w:vertAlign w:val="superscript"/>
                <w14:textFill>
                  <w14:solidFill>
                    <w14:schemeClr w14:val="tx1"/>
                  </w14:solidFill>
                </w14:textFill>
              </w:rPr>
              <w:t>3</w:t>
            </w:r>
            <w:r>
              <w:rPr>
                <w:rFonts w:hint="eastAsia" w:ascii="Times New Roman" w:hAnsi="Times New Roman" w:eastAsia="宋体" w:cs="Times New Roman"/>
                <w:bCs/>
                <w:color w:val="000000" w:themeColor="text1"/>
                <w:sz w:val="24"/>
                <w14:textFill>
                  <w14:solidFill>
                    <w14:schemeClr w14:val="tx1"/>
                  </w14:solidFill>
                </w14:textFill>
              </w:rPr>
              <w:t>/（人·a），则本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员工生活用水量为</w:t>
            </w:r>
            <w:r>
              <w:rPr>
                <w:rFonts w:ascii="Times New Roman" w:hAnsi="Times New Roman" w:eastAsia="宋体" w:cs="Times New Roman"/>
                <w:bCs/>
                <w:color w:val="000000" w:themeColor="text1"/>
                <w:sz w:val="24"/>
                <w14:textFill>
                  <w14:solidFill>
                    <w14:schemeClr w14:val="tx1"/>
                  </w14:solidFill>
                </w14:textFill>
              </w:rPr>
              <w:t>200</w:t>
            </w:r>
            <w:r>
              <w:rPr>
                <w:rFonts w:hint="eastAsia" w:ascii="Times New Roman" w:hAnsi="Times New Roman" w:eastAsia="宋体" w:cs="Times New Roman"/>
                <w:bCs/>
                <w:color w:val="000000" w:themeColor="text1"/>
                <w:sz w:val="24"/>
                <w14:textFill>
                  <w14:solidFill>
                    <w14:schemeClr w14:val="tx1"/>
                  </w14:solidFill>
                </w14:textFill>
              </w:rPr>
              <w:t>t/a（0</w:t>
            </w:r>
            <w:r>
              <w:rPr>
                <w:rFonts w:ascii="Times New Roman" w:hAnsi="Times New Roman" w:eastAsia="宋体" w:cs="Times New Roman"/>
                <w:bCs/>
                <w:color w:val="000000" w:themeColor="text1"/>
                <w:sz w:val="24"/>
                <w14:textFill>
                  <w14:solidFill>
                    <w14:schemeClr w14:val="tx1"/>
                  </w14:solidFill>
                </w14:textFill>
              </w:rPr>
              <w:t>.67</w:t>
            </w:r>
            <w:r>
              <w:rPr>
                <w:rFonts w:hint="eastAsia" w:ascii="Times New Roman" w:hAnsi="Times New Roman" w:eastAsia="宋体" w:cs="Times New Roman"/>
                <w:bCs/>
                <w:color w:val="000000" w:themeColor="text1"/>
                <w:sz w:val="24"/>
                <w14:textFill>
                  <w14:solidFill>
                    <w14:schemeClr w14:val="tx1"/>
                  </w14:solidFill>
                </w14:textFill>
              </w:rPr>
              <w:t>t/d），即人均生活用水量为33.</w:t>
            </w:r>
            <w:r>
              <w:rPr>
                <w:rFonts w:ascii="Times New Roman" w:hAnsi="Times New Roman" w:eastAsia="宋体" w:cs="Times New Roman"/>
                <w:bCs/>
                <w:color w:val="000000" w:themeColor="text1"/>
                <w:sz w:val="24"/>
                <w14:textFill>
                  <w14:solidFill>
                    <w14:schemeClr w14:val="tx1"/>
                  </w14:solidFill>
                </w14:textFill>
              </w:rPr>
              <w:t>3</w:t>
            </w:r>
            <w:r>
              <w:rPr>
                <w:rFonts w:hint="eastAsia" w:ascii="Times New Roman" w:hAnsi="Times New Roman" w:eastAsia="宋体" w:cs="Times New Roman"/>
                <w:bCs/>
                <w:color w:val="000000" w:themeColor="text1"/>
                <w:sz w:val="24"/>
                <w14:textFill>
                  <w14:solidFill>
                    <w14:schemeClr w14:val="tx1"/>
                  </w14:solidFill>
                </w14:textFill>
              </w:rPr>
              <w:t>升/人·天</w:t>
            </w:r>
            <w:r>
              <w:rPr>
                <w:rFonts w:ascii="Times New Roman" w:hAnsi="Times New Roman" w:eastAsia="宋体" w:cs="Times New Roman"/>
                <w:bCs/>
                <w:color w:val="000000" w:themeColor="text1"/>
                <w:sz w:val="24"/>
                <w14:textFill>
                  <w14:solidFill>
                    <w14:schemeClr w14:val="tx1"/>
                  </w14:solidFill>
                </w14:textFill>
              </w:rPr>
              <w:t>。</w:t>
            </w:r>
          </w:p>
          <w:p w14:paraId="3FD41B53">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hint="eastAsia"/>
                <w:color w:val="000000" w:themeColor="text1"/>
                <w:sz w:val="24"/>
                <w:szCs w:val="24"/>
                <w:shd w:val="clear" w:color="auto" w:fill="auto"/>
                <w:lang w:val="en-US" w:eastAsia="zh-CN"/>
                <w14:textFill>
                  <w14:solidFill>
                    <w14:schemeClr w14:val="tx1"/>
                  </w14:solidFill>
                </w14:textFill>
              </w:rPr>
              <w:t>②间接冷却水：</w:t>
            </w:r>
            <w:r>
              <w:rPr>
                <w:rFonts w:hint="eastAsia" w:ascii="Times New Roman" w:hAnsi="Times New Roman" w:eastAsia="宋体" w:cs="Times New Roman"/>
                <w:color w:val="000000" w:themeColor="text1"/>
                <w:sz w:val="24"/>
                <w:lang w:bidi="zh-CN"/>
                <w14:textFill>
                  <w14:solidFill>
                    <w14:schemeClr w14:val="tx1"/>
                  </w14:solidFill>
                </w14:textFill>
              </w:rPr>
              <w:t>本项目浇注成型后</w:t>
            </w:r>
            <w:r>
              <w:rPr>
                <w:rFonts w:ascii="Times New Roman" w:hAnsi="Times New Roman" w:eastAsia="宋体" w:cs="Times New Roman"/>
                <w:color w:val="000000" w:themeColor="text1"/>
                <w:sz w:val="24"/>
                <w:lang w:bidi="zh-CN"/>
                <w14:textFill>
                  <w14:solidFill>
                    <w14:schemeClr w14:val="tx1"/>
                  </w14:solidFill>
                </w14:textFill>
              </w:rPr>
              <w:t>采用夹套冷却水冷却，冷却水循环利用，</w:t>
            </w:r>
            <w:r>
              <w:rPr>
                <w:rFonts w:hint="eastAsia" w:ascii="Times New Roman" w:hAnsi="Times New Roman" w:eastAsia="宋体" w:cs="Times New Roman"/>
                <w:color w:val="000000" w:themeColor="text1"/>
                <w:sz w:val="24"/>
                <w:lang w:bidi="zh-CN"/>
                <w14:textFill>
                  <w14:solidFill>
                    <w14:schemeClr w14:val="tx1"/>
                  </w14:solidFill>
                </w14:textFill>
              </w:rPr>
              <w:t>一年</w:t>
            </w:r>
            <w:r>
              <w:rPr>
                <w:rFonts w:ascii="Times New Roman" w:hAnsi="Times New Roman" w:eastAsia="宋体" w:cs="Times New Roman"/>
                <w:color w:val="000000" w:themeColor="text1"/>
                <w:sz w:val="24"/>
                <w:lang w:bidi="zh-CN"/>
                <w14:textFill>
                  <w14:solidFill>
                    <w14:schemeClr w14:val="tx1"/>
                  </w14:solidFill>
                </w14:textFill>
              </w:rPr>
              <w:t>一排。本</w:t>
            </w:r>
            <w:r>
              <w:rPr>
                <w:rFonts w:hint="eastAsia" w:ascii="Times New Roman" w:hAnsi="Times New Roman" w:eastAsia="宋体" w:cs="Times New Roman"/>
                <w:color w:val="000000" w:themeColor="text1"/>
                <w:sz w:val="24"/>
                <w:lang w:bidi="zh-CN"/>
                <w14:textFill>
                  <w14:solidFill>
                    <w14:schemeClr w14:val="tx1"/>
                  </w14:solidFill>
                </w14:textFill>
              </w:rPr>
              <w:t>项目</w:t>
            </w:r>
            <w:r>
              <w:rPr>
                <w:rFonts w:ascii="Times New Roman" w:hAnsi="Times New Roman" w:eastAsia="宋体" w:cs="Times New Roman"/>
                <w:color w:val="000000" w:themeColor="text1"/>
                <w:sz w:val="24"/>
                <w:lang w:bidi="zh-CN"/>
                <w14:textFill>
                  <w14:solidFill>
                    <w14:schemeClr w14:val="tx1"/>
                  </w14:solidFill>
                </w14:textFill>
              </w:rPr>
              <w:t>设有一个循环冷水池</w:t>
            </w:r>
            <w:r>
              <w:rPr>
                <w:rFonts w:hint="eastAsia" w:ascii="Times New Roman" w:hAnsi="Times New Roman" w:eastAsia="宋体" w:cs="Times New Roman"/>
                <w:color w:val="000000" w:themeColor="text1"/>
                <w:sz w:val="24"/>
                <w:lang w:bidi="zh-CN"/>
                <w14:textFill>
                  <w14:solidFill>
                    <w14:schemeClr w14:val="tx1"/>
                  </w14:solidFill>
                </w14:textFill>
              </w:rPr>
              <w:t>，体积</w:t>
            </w:r>
            <w:r>
              <w:rPr>
                <w:rFonts w:ascii="Times New Roman" w:hAnsi="Times New Roman" w:eastAsia="宋体" w:cs="Times New Roman"/>
                <w:color w:val="000000" w:themeColor="text1"/>
                <w:sz w:val="24"/>
                <w:lang w:bidi="zh-CN"/>
                <w14:textFill>
                  <w14:solidFill>
                    <w14:schemeClr w14:val="tx1"/>
                  </w14:solidFill>
                </w14:textFill>
              </w:rPr>
              <w:t>为25</w:t>
            </w:r>
            <w:r>
              <w:rPr>
                <w:rFonts w:hint="eastAsia" w:ascii="Times New Roman" w:hAnsi="Times New Roman" w:eastAsia="宋体" w:cs="Times New Roman"/>
                <w:color w:val="000000" w:themeColor="text1"/>
                <w:sz w:val="24"/>
                <w:lang w:bidi="zh-CN"/>
                <w14:textFill>
                  <w14:solidFill>
                    <w14:schemeClr w14:val="tx1"/>
                  </w14:solidFill>
                </w14:textFill>
              </w:rPr>
              <w:t>m</w:t>
            </w:r>
            <w:r>
              <w:rPr>
                <w:rFonts w:hint="eastAsia" w:ascii="Times New Roman" w:hAnsi="Times New Roman" w:eastAsia="宋体" w:cs="Times New Roman"/>
                <w:color w:val="000000" w:themeColor="text1"/>
                <w:sz w:val="24"/>
                <w:vertAlign w:val="superscript"/>
                <w:lang w:bidi="zh-CN"/>
                <w14:textFill>
                  <w14:solidFill>
                    <w14:schemeClr w14:val="tx1"/>
                  </w14:solidFill>
                </w14:textFill>
              </w:rPr>
              <w:t>3</w:t>
            </w:r>
            <w:r>
              <w:rPr>
                <w:rFonts w:ascii="Times New Roman" w:hAnsi="Times New Roman" w:eastAsia="宋体" w:cs="Times New Roman"/>
                <w:color w:val="000000" w:themeColor="text1"/>
                <w:sz w:val="24"/>
                <w:lang w:bidi="zh-CN"/>
                <w14:textFill>
                  <w14:solidFill>
                    <w14:schemeClr w14:val="tx1"/>
                  </w14:solidFill>
                </w14:textFill>
              </w:rPr>
              <w:t>，循环水量为10</w:t>
            </w:r>
            <w:r>
              <w:rPr>
                <w:rFonts w:hint="eastAsia" w:ascii="Times New Roman" w:hAnsi="Times New Roman" w:eastAsia="宋体" w:cs="Times New Roman"/>
                <w:color w:val="000000" w:themeColor="text1"/>
                <w:sz w:val="24"/>
                <w:lang w:bidi="zh-CN"/>
                <w14:textFill>
                  <w14:solidFill>
                    <w14:schemeClr w14:val="tx1"/>
                  </w14:solidFill>
                </w14:textFill>
              </w:rPr>
              <w:t>m</w:t>
            </w:r>
            <w:r>
              <w:rPr>
                <w:rFonts w:hint="eastAsia" w:ascii="Times New Roman" w:hAnsi="Times New Roman" w:eastAsia="宋体" w:cs="Times New Roman"/>
                <w:color w:val="000000" w:themeColor="text1"/>
                <w:sz w:val="24"/>
                <w:vertAlign w:val="superscript"/>
                <w:lang w:bidi="zh-CN"/>
                <w14:textFill>
                  <w14:solidFill>
                    <w14:schemeClr w14:val="tx1"/>
                  </w14:solidFill>
                </w14:textFill>
              </w:rPr>
              <w:t>3</w:t>
            </w:r>
            <w:r>
              <w:rPr>
                <w:rFonts w:ascii="Times New Roman" w:hAnsi="Times New Roman" w:eastAsia="宋体" w:cs="Times New Roman"/>
                <w:color w:val="000000" w:themeColor="text1"/>
                <w:sz w:val="24"/>
                <w:lang w:bidi="zh-CN"/>
                <w14:textFill>
                  <w14:solidFill>
                    <w14:schemeClr w14:val="tx1"/>
                  </w14:solidFill>
                </w14:textFill>
              </w:rPr>
              <w:t>/h。冷却塔用水主要为冷却塔运行过程中损耗水量，需定期补充水。</w:t>
            </w:r>
            <w:r>
              <w:rPr>
                <w:rFonts w:hint="eastAsia" w:ascii="Calibri" w:hAnsi="Calibri" w:eastAsia="宋体" w:cs="Times New Roman"/>
                <w:color w:val="000000" w:themeColor="text1"/>
                <w:sz w:val="24"/>
                <w14:textFill>
                  <w14:solidFill>
                    <w14:schemeClr w14:val="tx1"/>
                  </w14:solidFill>
                </w14:textFill>
              </w:rPr>
              <w:t>参考《工业循环冷却水处理设计规范》</w:t>
            </w:r>
            <w:r>
              <w:rPr>
                <w:rFonts w:ascii="Times New Roman" w:hAnsi="Times New Roman" w:eastAsia="宋体" w:cs="Times New Roman"/>
                <w:color w:val="000000" w:themeColor="text1"/>
                <w:sz w:val="24"/>
                <w14:textFill>
                  <w14:solidFill>
                    <w14:schemeClr w14:val="tx1"/>
                  </w14:solidFill>
                </w14:textFill>
              </w:rPr>
              <w:t>（GB/T50050-2017</w:t>
            </w:r>
            <w:r>
              <w:rPr>
                <w:rFonts w:hint="eastAsia" w:ascii="Calibri" w:hAnsi="Calibri" w:eastAsia="宋体" w:cs="Times New Roman"/>
                <w:color w:val="000000" w:themeColor="text1"/>
                <w:sz w:val="24"/>
                <w14:textFill>
                  <w14:solidFill>
                    <w14:schemeClr w14:val="tx1"/>
                  </w14:solidFill>
                </w14:textFill>
              </w:rPr>
              <w:t>）中第五章补充水处理的相关内容，本</w:t>
            </w:r>
            <w:r>
              <w:rPr>
                <w:rFonts w:hint="eastAsia" w:ascii="Calibri" w:hAnsi="Calibri" w:eastAsia="宋体" w:cs="Times New Roman"/>
                <w:color w:val="000000" w:themeColor="text1"/>
                <w:sz w:val="24"/>
                <w:lang w:eastAsia="zh-CN"/>
                <w14:textFill>
                  <w14:solidFill>
                    <w14:schemeClr w14:val="tx1"/>
                  </w14:solidFill>
                </w14:textFill>
              </w:rPr>
              <w:t>项目</w:t>
            </w:r>
            <w:r>
              <w:rPr>
                <w:rFonts w:hint="eastAsia" w:ascii="Calibri" w:hAnsi="Calibri" w:eastAsia="宋体" w:cs="Times New Roman"/>
                <w:color w:val="000000" w:themeColor="text1"/>
                <w:sz w:val="24"/>
                <w14:textFill>
                  <w14:solidFill>
                    <w14:schemeClr w14:val="tx1"/>
                  </w14:solidFill>
                </w14:textFill>
              </w:rPr>
              <w:t>的蒸发水量损失水率宜按下列公式进行计算</w:t>
            </w:r>
            <w:r>
              <w:rPr>
                <w:rFonts w:ascii="Times New Roman" w:hAnsi="Times New Roman" w:eastAsia="宋体" w:cs="Times New Roman"/>
                <w:color w:val="000000" w:themeColor="text1"/>
                <w:sz w:val="24"/>
                <w:lang w:bidi="zh-CN"/>
                <w14:textFill>
                  <w14:solidFill>
                    <w14:schemeClr w14:val="tx1"/>
                  </w14:solidFill>
                </w14:textFill>
              </w:rPr>
              <w:t>：</w:t>
            </w:r>
          </w:p>
          <w:p w14:paraId="714709A7">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ascii="Times New Roman" w:hAnsi="Times New Roman" w:eastAsia="宋体" w:cs="Times New Roman"/>
                <w:color w:val="000000" w:themeColor="text1"/>
                <w:sz w:val="24"/>
                <w:lang w:bidi="zh-CN"/>
                <w14:textFill>
                  <w14:solidFill>
                    <w14:schemeClr w14:val="tx1"/>
                  </w14:solidFill>
                </w14:textFill>
              </w:rPr>
              <w:t>Qc=K</w:t>
            </w:r>
            <w:r>
              <w:rPr>
                <w:rFonts w:ascii="Times New Roman" w:hAnsi="Times New Roman" w:eastAsia="宋体" w:cs="Times New Roman"/>
                <w:color w:val="000000" w:themeColor="text1"/>
                <w:sz w:val="24"/>
                <w:vertAlign w:val="subscript"/>
                <w:lang w:bidi="zh-CN"/>
                <w14:textFill>
                  <w14:solidFill>
                    <w14:schemeClr w14:val="tx1"/>
                  </w14:solidFill>
                </w14:textFill>
              </w:rPr>
              <w:t>1</w:t>
            </w:r>
            <w:r>
              <w:rPr>
                <w:rFonts w:ascii="Times New Roman" w:hAnsi="Times New Roman" w:eastAsia="宋体" w:cs="Times New Roman"/>
                <w:color w:val="000000" w:themeColor="text1"/>
                <w:sz w:val="24"/>
                <w:lang w:bidi="zh-CN"/>
                <w14:textFill>
                  <w14:solidFill>
                    <w14:schemeClr w14:val="tx1"/>
                  </w14:solidFill>
                </w14:textFill>
              </w:rPr>
              <w:t>ΔtQ</w:t>
            </w:r>
          </w:p>
          <w:p w14:paraId="1E735BAC">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ascii="Times New Roman" w:hAnsi="Times New Roman" w:eastAsia="宋体" w:cs="Times New Roman"/>
                <w:color w:val="000000" w:themeColor="text1"/>
                <w:sz w:val="24"/>
                <w:lang w:bidi="zh-CN"/>
                <w14:textFill>
                  <w14:solidFill>
                    <w14:schemeClr w14:val="tx1"/>
                  </w14:solidFill>
                </w14:textFill>
              </w:rPr>
              <w:t>式中Qc——蒸发损失水量，t/h；</w:t>
            </w:r>
          </w:p>
          <w:p w14:paraId="31D783AC">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ascii="Times New Roman" w:hAnsi="Times New Roman" w:eastAsia="宋体" w:cs="Times New Roman"/>
                <w:color w:val="000000" w:themeColor="text1"/>
                <w:sz w:val="24"/>
                <w:lang w:bidi="zh-CN"/>
                <w14:textFill>
                  <w14:solidFill>
                    <w14:schemeClr w14:val="tx1"/>
                  </w14:solidFill>
                </w14:textFill>
              </w:rPr>
              <w:t>Δt——冷却塔进水与出水温度差，℃，本项目取</w:t>
            </w:r>
            <w:r>
              <w:rPr>
                <w:rFonts w:hint="eastAsia" w:ascii="Times New Roman" w:hAnsi="Times New Roman" w:eastAsia="宋体" w:cs="Times New Roman"/>
                <w:color w:val="000000" w:themeColor="text1"/>
                <w:sz w:val="24"/>
                <w:lang w:bidi="zh-CN"/>
                <w14:textFill>
                  <w14:solidFill>
                    <w14:schemeClr w14:val="tx1"/>
                  </w14:solidFill>
                </w14:textFill>
              </w:rPr>
              <w:t>1</w:t>
            </w:r>
            <w:r>
              <w:rPr>
                <w:rFonts w:ascii="Times New Roman" w:hAnsi="Times New Roman" w:eastAsia="宋体" w:cs="Times New Roman"/>
                <w:color w:val="000000" w:themeColor="text1"/>
                <w:sz w:val="24"/>
                <w:lang w:bidi="zh-CN"/>
                <w14:textFill>
                  <w14:solidFill>
                    <w14:schemeClr w14:val="tx1"/>
                  </w14:solidFill>
                </w14:textFill>
              </w:rPr>
              <w:t>0；</w:t>
            </w:r>
          </w:p>
          <w:p w14:paraId="4D6265ED">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hint="eastAsia" w:ascii="Times New Roman" w:hAnsi="Times New Roman" w:eastAsia="宋体" w:cs="Times New Roman"/>
                <w:color w:val="000000" w:themeColor="text1"/>
                <w:sz w:val="24"/>
                <w:lang w:bidi="zh-CN"/>
                <w14:textFill>
                  <w14:solidFill>
                    <w14:schemeClr w14:val="tx1"/>
                  </w14:solidFill>
                </w14:textFill>
              </w:rPr>
              <w:t>Q——循环水量，t/h，本项目取值10；</w:t>
            </w:r>
          </w:p>
          <w:p w14:paraId="1E9BD9EB">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hint="eastAsia" w:ascii="Times New Roman" w:hAnsi="Times New Roman" w:eastAsia="宋体" w:cs="Times New Roman"/>
                <w:color w:val="000000" w:themeColor="text1"/>
                <w:sz w:val="24"/>
                <w:lang w:bidi="zh-CN"/>
                <w14:textFill>
                  <w14:solidFill>
                    <w14:schemeClr w14:val="tx1"/>
                  </w14:solidFill>
                </w14:textFill>
              </w:rPr>
              <w:t>K</w:t>
            </w:r>
            <w:r>
              <w:rPr>
                <w:rFonts w:hint="eastAsia" w:ascii="Times New Roman" w:hAnsi="Times New Roman" w:eastAsia="宋体" w:cs="Times New Roman"/>
                <w:color w:val="000000" w:themeColor="text1"/>
                <w:sz w:val="24"/>
                <w:vertAlign w:val="subscript"/>
                <w:lang w:bidi="zh-CN"/>
                <w14:textFill>
                  <w14:solidFill>
                    <w14:schemeClr w14:val="tx1"/>
                  </w14:solidFill>
                </w14:textFill>
              </w:rPr>
              <w:t>1</w:t>
            </w:r>
            <w:r>
              <w:rPr>
                <w:rFonts w:hint="eastAsia" w:ascii="Times New Roman" w:hAnsi="Times New Roman" w:eastAsia="宋体" w:cs="Times New Roman"/>
                <w:color w:val="000000" w:themeColor="text1"/>
                <w:sz w:val="24"/>
                <w:lang w:bidi="zh-CN"/>
                <w14:textFill>
                  <w14:solidFill>
                    <w14:schemeClr w14:val="tx1"/>
                  </w14:solidFill>
                </w14:textFill>
              </w:rPr>
              <w:t>——蒸发系数，</w:t>
            </w:r>
            <w:r>
              <w:rPr>
                <w:rFonts w:ascii="Times New Roman" w:hAnsi="Times New Roman" w:eastAsia="宋体" w:cs="Times New Roman"/>
                <w:color w:val="000000" w:themeColor="text1"/>
                <w:sz w:val="24"/>
                <w:lang w:bidi="zh-CN"/>
                <w14:textFill>
                  <w14:solidFill>
                    <w14:schemeClr w14:val="tx1"/>
                  </w14:solidFill>
                </w14:textFill>
              </w:rPr>
              <w:t>℃</w:t>
            </w:r>
            <w:r>
              <w:rPr>
                <w:rFonts w:hint="eastAsia" w:ascii="Times New Roman" w:hAnsi="Times New Roman" w:eastAsia="宋体" w:cs="Times New Roman"/>
                <w:color w:val="000000" w:themeColor="text1"/>
                <w:sz w:val="24"/>
                <w:lang w:bidi="zh-CN"/>
                <w14:textFill>
                  <w14:solidFill>
                    <w14:schemeClr w14:val="tx1"/>
                  </w14:solidFill>
                </w14:textFill>
              </w:rPr>
              <w:t>-1，本项目取0.0014（气温取20</w:t>
            </w:r>
            <w:r>
              <w:rPr>
                <w:rFonts w:ascii="Times New Roman" w:hAnsi="Times New Roman" w:eastAsia="宋体" w:cs="Times New Roman"/>
                <w:color w:val="000000" w:themeColor="text1"/>
                <w:sz w:val="24"/>
                <w:lang w:bidi="zh-CN"/>
                <w14:textFill>
                  <w14:solidFill>
                    <w14:schemeClr w14:val="tx1"/>
                  </w14:solidFill>
                </w14:textFill>
              </w:rPr>
              <w:t>℃</w:t>
            </w:r>
            <w:r>
              <w:rPr>
                <w:rFonts w:hint="eastAsia" w:ascii="Times New Roman" w:hAnsi="Times New Roman" w:eastAsia="宋体" w:cs="Times New Roman"/>
                <w:color w:val="000000" w:themeColor="text1"/>
                <w:sz w:val="24"/>
                <w:lang w:bidi="zh-CN"/>
                <w14:textFill>
                  <w14:solidFill>
                    <w14:schemeClr w14:val="tx1"/>
                  </w14:solidFill>
                </w14:textFill>
              </w:rPr>
              <w:t>）。</w:t>
            </w:r>
          </w:p>
          <w:p w14:paraId="144C967D">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hint="eastAsia" w:ascii="Times New Roman" w:hAnsi="Times New Roman" w:eastAsia="宋体" w:cs="Times New Roman"/>
                <w:color w:val="000000" w:themeColor="text1"/>
                <w:sz w:val="24"/>
                <w:lang w:bidi="zh-CN"/>
                <w14:textFill>
                  <w14:solidFill>
                    <w14:schemeClr w14:val="tx1"/>
                  </w14:solidFill>
                </w14:textFill>
              </w:rPr>
              <w:t>冷却装置每天工作8h，年工作3</w:t>
            </w:r>
            <w:r>
              <w:rPr>
                <w:rFonts w:ascii="Times New Roman" w:hAnsi="Times New Roman" w:eastAsia="宋体" w:cs="Times New Roman"/>
                <w:color w:val="000000" w:themeColor="text1"/>
                <w:sz w:val="24"/>
                <w:lang w:bidi="zh-CN"/>
                <w14:textFill>
                  <w14:solidFill>
                    <w14:schemeClr w14:val="tx1"/>
                  </w14:solidFill>
                </w14:textFill>
              </w:rPr>
              <w:t>00天</w:t>
            </w:r>
            <w:r>
              <w:rPr>
                <w:rFonts w:hint="eastAsia" w:ascii="Times New Roman" w:hAnsi="Times New Roman" w:eastAsia="宋体" w:cs="Times New Roman"/>
                <w:color w:val="000000" w:themeColor="text1"/>
                <w:sz w:val="24"/>
                <w:lang w:bidi="zh-CN"/>
                <w14:textFill>
                  <w14:solidFill>
                    <w14:schemeClr w14:val="tx1"/>
                  </w14:solidFill>
                </w14:textFill>
              </w:rPr>
              <w:t>，经计算，项目冷却塔冷却水蒸发损耗量为0.</w:t>
            </w:r>
            <w:r>
              <w:rPr>
                <w:rFonts w:ascii="Times New Roman" w:hAnsi="Times New Roman" w:eastAsia="宋体" w:cs="Times New Roman"/>
                <w:color w:val="000000" w:themeColor="text1"/>
                <w:sz w:val="24"/>
                <w:lang w:bidi="zh-CN"/>
                <w14:textFill>
                  <w14:solidFill>
                    <w14:schemeClr w14:val="tx1"/>
                  </w14:solidFill>
                </w14:textFill>
              </w:rPr>
              <w:t>14</w:t>
            </w:r>
            <w:r>
              <w:rPr>
                <w:rFonts w:hint="eastAsia" w:ascii="Times New Roman" w:hAnsi="Times New Roman" w:eastAsia="宋体" w:cs="Times New Roman"/>
                <w:color w:val="000000" w:themeColor="text1"/>
                <w:sz w:val="24"/>
                <w:lang w:bidi="zh-CN"/>
                <w14:textFill>
                  <w14:solidFill>
                    <w14:schemeClr w14:val="tx1"/>
                  </w14:solidFill>
                </w14:textFill>
              </w:rPr>
              <w:t>t/h，日损耗量为1</w:t>
            </w:r>
            <w:r>
              <w:rPr>
                <w:rFonts w:ascii="Times New Roman" w:hAnsi="Times New Roman" w:eastAsia="宋体" w:cs="Times New Roman"/>
                <w:color w:val="000000" w:themeColor="text1"/>
                <w:sz w:val="24"/>
                <w:lang w:bidi="zh-CN"/>
                <w14:textFill>
                  <w14:solidFill>
                    <w14:schemeClr w14:val="tx1"/>
                  </w14:solidFill>
                </w14:textFill>
              </w:rPr>
              <w:t>.12t/d，年损耗量为336t</w:t>
            </w:r>
            <w:r>
              <w:rPr>
                <w:rFonts w:hint="eastAsia" w:ascii="Times New Roman" w:hAnsi="Times New Roman" w:eastAsia="宋体" w:cs="Times New Roman"/>
                <w:color w:val="000000" w:themeColor="text1"/>
                <w:sz w:val="24"/>
                <w:lang w:bidi="zh-CN"/>
                <w14:textFill>
                  <w14:solidFill>
                    <w14:schemeClr w14:val="tx1"/>
                  </w14:solidFill>
                </w14:textFill>
              </w:rPr>
              <w:t>/a，年用水量为3</w:t>
            </w:r>
            <w:r>
              <w:rPr>
                <w:rFonts w:ascii="Times New Roman" w:hAnsi="Times New Roman" w:eastAsia="宋体" w:cs="Times New Roman"/>
                <w:color w:val="000000" w:themeColor="text1"/>
                <w:sz w:val="24"/>
                <w:lang w:bidi="zh-CN"/>
                <w14:textFill>
                  <w14:solidFill>
                    <w14:schemeClr w14:val="tx1"/>
                  </w14:solidFill>
                </w14:textFill>
              </w:rPr>
              <w:t>61t/a，</w:t>
            </w:r>
            <w:r>
              <w:rPr>
                <w:rFonts w:hint="eastAsia" w:ascii="Times New Roman" w:hAnsi="Times New Roman" w:eastAsia="宋体" w:cs="Times New Roman"/>
                <w:color w:val="000000" w:themeColor="text1"/>
                <w:sz w:val="24"/>
                <w:lang w:bidi="zh-CN"/>
                <w14:textFill>
                  <w14:solidFill>
                    <w14:schemeClr w14:val="tx1"/>
                  </w14:solidFill>
                </w14:textFill>
              </w:rPr>
              <w:t>冷却塔冷却水循环使用，需定期补充以保证冷却塔的正常运行。冷却塔无需外加防结垢剂</w:t>
            </w:r>
            <w:r>
              <w:rPr>
                <w:rFonts w:ascii="Times New Roman" w:hAnsi="Times New Roman" w:eastAsia="宋体" w:cs="Times New Roman"/>
                <w:color w:val="000000" w:themeColor="text1"/>
                <w:sz w:val="24"/>
                <w:lang w:bidi="zh-CN"/>
                <w14:textFill>
                  <w14:solidFill>
                    <w14:schemeClr w14:val="tx1"/>
                  </w14:solidFill>
                </w14:textFill>
              </w:rPr>
              <w:t>。</w:t>
            </w:r>
          </w:p>
          <w:p w14:paraId="03D333CB">
            <w:pPr>
              <w:pStyle w:val="61"/>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color w:val="000000" w:themeColor="text1"/>
                <w:shd w:val="clear" w:color="auto" w:fill="auto"/>
                <w:lang w:val="en-US" w:eastAsia="zh-CN"/>
                <w14:textFill>
                  <w14:solidFill>
                    <w14:schemeClr w14:val="tx1"/>
                  </w14:solidFill>
                </w14:textFill>
              </w:rPr>
            </w:pPr>
            <w:r>
              <w:rPr>
                <w:rFonts w:hint="eastAsia" w:ascii="Times New Roman" w:hAnsi="Times New Roman" w:eastAsia="宋体" w:cs="Times New Roman"/>
                <w:color w:val="000000" w:themeColor="text1"/>
                <w:sz w:val="24"/>
                <w:lang w:bidi="zh-CN"/>
                <w14:textFill>
                  <w14:solidFill>
                    <w14:schemeClr w14:val="tx1"/>
                  </w14:solidFill>
                </w14:textFill>
              </w:rPr>
              <w:t>冷却塔平均</w:t>
            </w:r>
            <w:r>
              <w:rPr>
                <w:rFonts w:ascii="Times New Roman" w:hAnsi="Times New Roman" w:eastAsia="宋体" w:cs="Times New Roman"/>
                <w:color w:val="000000" w:themeColor="text1"/>
                <w:sz w:val="24"/>
                <w:lang w:bidi="zh-CN"/>
                <w14:textFill>
                  <w14:solidFill>
                    <w14:schemeClr w14:val="tx1"/>
                  </w14:solidFill>
                </w14:textFill>
              </w:rPr>
              <w:t>一年排</w:t>
            </w:r>
            <w:r>
              <w:rPr>
                <w:rFonts w:hint="eastAsia" w:ascii="Times New Roman" w:hAnsi="Times New Roman" w:eastAsia="宋体" w:cs="Times New Roman"/>
                <w:color w:val="000000" w:themeColor="text1"/>
                <w:sz w:val="24"/>
                <w:lang w:bidi="zh-CN"/>
                <w14:textFill>
                  <w14:solidFill>
                    <w14:schemeClr w14:val="tx1"/>
                  </w14:solidFill>
                </w14:textFill>
              </w:rPr>
              <w:t>一次</w:t>
            </w:r>
            <w:r>
              <w:rPr>
                <w:rFonts w:ascii="Times New Roman" w:hAnsi="Times New Roman" w:eastAsia="宋体" w:cs="Times New Roman"/>
                <w:color w:val="000000" w:themeColor="text1"/>
                <w:sz w:val="24"/>
                <w:lang w:bidi="zh-CN"/>
                <w14:textFill>
                  <w14:solidFill>
                    <w14:schemeClr w14:val="tx1"/>
                  </w14:solidFill>
                </w14:textFill>
              </w:rPr>
              <w:t>水，排水量为25m</w:t>
            </w:r>
            <w:r>
              <w:rPr>
                <w:rFonts w:ascii="Times New Roman" w:hAnsi="Times New Roman" w:eastAsia="宋体" w:cs="Times New Roman"/>
                <w:color w:val="000000" w:themeColor="text1"/>
                <w:sz w:val="24"/>
                <w:vertAlign w:val="superscript"/>
                <w:lang w:bidi="zh-CN"/>
                <w14:textFill>
                  <w14:solidFill>
                    <w14:schemeClr w14:val="tx1"/>
                  </w14:solidFill>
                </w14:textFill>
              </w:rPr>
              <w:t>3</w:t>
            </w:r>
            <w:r>
              <w:rPr>
                <w:rFonts w:ascii="Times New Roman" w:hAnsi="Times New Roman" w:eastAsia="宋体" w:cs="Times New Roman"/>
                <w:color w:val="000000" w:themeColor="text1"/>
                <w:sz w:val="24"/>
                <w:lang w:bidi="zh-CN"/>
                <w14:textFill>
                  <w14:solidFill>
                    <w14:schemeClr w14:val="tx1"/>
                  </w14:solidFill>
                </w14:textFill>
              </w:rPr>
              <w:t>/</w:t>
            </w:r>
            <w:r>
              <w:rPr>
                <w:rFonts w:hint="eastAsia" w:ascii="Times New Roman" w:hAnsi="Times New Roman" w:eastAsia="宋体" w:cs="Times New Roman"/>
                <w:color w:val="000000" w:themeColor="text1"/>
                <w:sz w:val="24"/>
                <w:lang w:bidi="zh-CN"/>
                <w14:textFill>
                  <w14:solidFill>
                    <w14:schemeClr w14:val="tx1"/>
                  </w14:solidFill>
                </w14:textFill>
              </w:rPr>
              <w:t>次</w:t>
            </w:r>
            <w:r>
              <w:rPr>
                <w:rFonts w:ascii="Times New Roman" w:hAnsi="Times New Roman" w:eastAsia="宋体" w:cs="Times New Roman"/>
                <w:color w:val="000000" w:themeColor="text1"/>
                <w:sz w:val="24"/>
                <w:lang w:bidi="zh-CN"/>
                <w14:textFill>
                  <w14:solidFill>
                    <w14:schemeClr w14:val="tx1"/>
                  </w14:solidFill>
                </w14:textFill>
              </w:rPr>
              <w:t>，年补充用水量为25t/a。</w:t>
            </w:r>
            <w:r>
              <w:rPr>
                <w:rFonts w:hint="eastAsia" w:ascii="Times New Roman" w:hAnsi="Times New Roman" w:eastAsia="宋体" w:cs="Times New Roman"/>
                <w:color w:val="000000" w:themeColor="text1"/>
                <w:sz w:val="24"/>
                <w:lang w:bidi="zh-CN"/>
                <w14:textFill>
                  <w14:solidFill>
                    <w14:schemeClr w14:val="tx1"/>
                  </w14:solidFill>
                </w14:textFill>
              </w:rPr>
              <w:t>由于冷却塔无需外加药剂，冷却塔排水无特征污染物，属于清净下水，</w:t>
            </w:r>
            <w:r>
              <w:rPr>
                <w:rFonts w:ascii="Times New Roman" w:hAnsi="Times New Roman" w:eastAsia="宋体" w:cs="Times New Roman"/>
                <w:color w:val="000000" w:themeColor="text1"/>
                <w:sz w:val="24"/>
                <w:lang w:bidi="zh-CN"/>
                <w14:textFill>
                  <w14:solidFill>
                    <w14:schemeClr w14:val="tx1"/>
                  </w14:solidFill>
                </w14:textFill>
              </w:rPr>
              <w:t>接入市政污水管网排入园区污水处理厂处理。</w:t>
            </w:r>
          </w:p>
          <w:p w14:paraId="6C903D18">
            <w:pPr>
              <w:pStyle w:val="61"/>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cs="Times New Roman"/>
                <w:color w:val="000000" w:themeColor="text1"/>
                <w:sz w:val="24"/>
                <w:shd w:val="clear" w:color="auto" w:fill="auto"/>
                <w:lang w:val="en-US" w:bidi="zh-CN"/>
                <w14:textFill>
                  <w14:solidFill>
                    <w14:schemeClr w14:val="tx1"/>
                  </w14:solidFill>
                </w14:textFill>
              </w:rPr>
            </w:pPr>
            <w:r>
              <w:rPr>
                <w:rFonts w:hint="eastAsia"/>
                <w:color w:val="000000" w:themeColor="text1"/>
                <w:shd w:val="clear" w:color="auto" w:fill="auto"/>
                <w:lang w:val="en-US" w:eastAsia="zh-CN"/>
                <w14:textFill>
                  <w14:solidFill>
                    <w14:schemeClr w14:val="tx1"/>
                  </w14:solidFill>
                </w14:textFill>
              </w:rPr>
              <w:t>本项目</w:t>
            </w:r>
            <w:r>
              <w:rPr>
                <w:rFonts w:hint="eastAsia" w:ascii="Times New Roman" w:hAnsi="Times New Roman" w:cs="Times New Roman"/>
                <w:color w:val="000000" w:themeColor="text1"/>
                <w:sz w:val="24"/>
                <w:shd w:val="clear" w:color="auto" w:fill="auto"/>
                <w:lang w:val="en-US" w:bidi="zh-CN"/>
                <w14:textFill>
                  <w14:solidFill>
                    <w14:schemeClr w14:val="tx1"/>
                  </w14:solidFill>
                </w14:textFill>
              </w:rPr>
              <w:t>冷却水年用水量为361t/a，年损耗量为336t/a，年排水量为25t/a。</w:t>
            </w:r>
          </w:p>
          <w:p w14:paraId="2AEADD55">
            <w:pPr>
              <w:pStyle w:val="27"/>
              <w:wordWrap w:val="0"/>
              <w:topLinePunct/>
              <w:spacing w:line="360" w:lineRule="auto"/>
              <w:ind w:firstLine="480" w:firstLineChars="200"/>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cs="Times New Roman"/>
                <w:b w:val="0"/>
                <w:bCs w:val="0"/>
                <w:color w:val="000000" w:themeColor="text1"/>
                <w:sz w:val="24"/>
                <w:shd w:val="clear" w:color="auto" w:fill="auto"/>
                <w:lang w:val="en-US" w:bidi="zh-CN"/>
                <w14:textFill>
                  <w14:solidFill>
                    <w14:schemeClr w14:val="tx1"/>
                  </w14:solidFill>
                </w14:textFill>
              </w:rPr>
              <w:t>③水帘柜用水：</w:t>
            </w:r>
            <w:r>
              <w:rPr>
                <w:rFonts w:hint="eastAsia" w:ascii="Times New Roman" w:hAnsi="Times New Roman" w:cs="Times New Roman"/>
                <w:color w:val="000000" w:themeColor="text1"/>
                <w:sz w:val="24"/>
                <w:szCs w:val="24"/>
                <w:highlight w:val="none"/>
                <w14:textFill>
                  <w14:solidFill>
                    <w14:schemeClr w14:val="tx1"/>
                  </w14:solidFill>
                </w14:textFill>
              </w:rPr>
              <w:t>根据</w:t>
            </w:r>
            <w:r>
              <w:rPr>
                <w:rFonts w:ascii="Times New Roman" w:hAnsi="Times New Roman" w:cs="Times New Roman"/>
                <w:color w:val="000000" w:themeColor="text1"/>
                <w:sz w:val="24"/>
                <w:szCs w:val="24"/>
                <w:highlight w:val="none"/>
                <w14:textFill>
                  <w14:solidFill>
                    <w14:schemeClr w14:val="tx1"/>
                  </w14:solidFill>
                </w14:textFill>
              </w:rPr>
              <w:t>《简明通风设计手册》（孙一坚主编）第527页表10-48“各种吸收装置的技术经济比较”内容，</w:t>
            </w:r>
            <w:r>
              <w:rPr>
                <w:rFonts w:hint="eastAsia" w:ascii="Times New Roman" w:hAnsi="Times New Roman" w:cs="Times New Roman"/>
                <w:color w:val="000000" w:themeColor="text1"/>
                <w:sz w:val="24"/>
                <w:szCs w:val="24"/>
                <w:highlight w:val="none"/>
                <w14:textFill>
                  <w14:solidFill>
                    <w14:schemeClr w14:val="tx1"/>
                  </w14:solidFill>
                </w14:textFill>
              </w:rPr>
              <w:t>喷淋塔的液气比0.1 L/m</w:t>
            </w:r>
            <w:r>
              <w:rPr>
                <w:rFonts w:hint="eastAsia" w:ascii="Times New Roman" w:hAnsi="Times New Roman" w:cs="Times New Roman"/>
                <w:color w:val="000000" w:themeColor="text1"/>
                <w:sz w:val="24"/>
                <w:szCs w:val="24"/>
                <w:highlight w:val="none"/>
                <w:vertAlign w:val="superscript"/>
                <w14:textFill>
                  <w14:solidFill>
                    <w14:schemeClr w14:val="tx1"/>
                  </w14:solidFill>
                </w14:textFill>
              </w:rPr>
              <w:t>3</w:t>
            </w:r>
            <w:r>
              <w:rPr>
                <w:rFonts w:hint="eastAsia" w:ascii="Times New Roman" w:hAnsi="Times New Roman" w:cs="Times New Roman"/>
                <w:color w:val="000000" w:themeColor="text1"/>
                <w:sz w:val="24"/>
                <w:szCs w:val="24"/>
                <w:highlight w:val="none"/>
                <w14:textFill>
                  <w14:solidFill>
                    <w14:schemeClr w14:val="tx1"/>
                  </w14:solidFill>
                </w14:textFill>
              </w:rPr>
              <w:t>～1.0 L/m</w:t>
            </w:r>
            <w:r>
              <w:rPr>
                <w:rFonts w:hint="eastAsia" w:ascii="Times New Roman" w:hAnsi="Times New Roman" w:cs="Times New Roman"/>
                <w:color w:val="000000" w:themeColor="text1"/>
                <w:sz w:val="24"/>
                <w:szCs w:val="24"/>
                <w:highlight w:val="none"/>
                <w:vertAlign w:val="superscript"/>
                <w14:textFill>
                  <w14:solidFill>
                    <w14:schemeClr w14:val="tx1"/>
                  </w14:solidFill>
                </w14:textFill>
              </w:rPr>
              <w:t>3</w:t>
            </w:r>
            <w:r>
              <w:rPr>
                <w:rFonts w:hint="eastAsia" w:ascii="Times New Roman" w:hAnsi="Times New Roman" w:cs="Times New Roman"/>
                <w:color w:val="000000" w:themeColor="text1"/>
                <w:sz w:val="24"/>
                <w:szCs w:val="24"/>
                <w:highlight w:val="none"/>
                <w14:textFill>
                  <w14:solidFill>
                    <w14:schemeClr w14:val="tx1"/>
                  </w14:solidFill>
                </w14:textFill>
              </w:rPr>
              <w:t>，水帘柜喷淋用水参考液气比1.0 L/m</w:t>
            </w:r>
            <w:r>
              <w:rPr>
                <w:rFonts w:hint="eastAsia" w:ascii="Times New Roman" w:hAnsi="Times New Roman" w:cs="Times New Roman"/>
                <w:color w:val="000000" w:themeColor="text1"/>
                <w:sz w:val="24"/>
                <w:szCs w:val="24"/>
                <w:highlight w:val="none"/>
                <w:vertAlign w:val="superscript"/>
                <w14:textFill>
                  <w14:solidFill>
                    <w14:schemeClr w14:val="tx1"/>
                  </w14:solidFill>
                </w14:textFill>
              </w:rPr>
              <w:t>3</w:t>
            </w:r>
            <w:r>
              <w:rPr>
                <w:rFonts w:hint="eastAsia" w:ascii="Times New Roman" w:hAnsi="Times New Roman" w:cs="Times New Roman"/>
                <w:color w:val="000000" w:themeColor="text1"/>
                <w:sz w:val="24"/>
                <w:szCs w:val="24"/>
                <w:highlight w:val="none"/>
                <w14:textFill>
                  <w14:solidFill>
                    <w14:schemeClr w14:val="tx1"/>
                  </w14:solidFill>
                </w14:textFill>
              </w:rPr>
              <w:t>算，本次评价取</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ascii="Times New Roman" w:hAnsi="Times New Roman" w:cs="Times New Roman"/>
                <w:color w:val="000000" w:themeColor="text1"/>
                <w:sz w:val="24"/>
                <w:szCs w:val="24"/>
                <w:highlight w:val="none"/>
                <w14:textFill>
                  <w14:solidFill>
                    <w14:schemeClr w14:val="tx1"/>
                  </w14:solidFill>
                </w14:textFill>
              </w:rPr>
              <w:t>L/m</w:t>
            </w:r>
            <w:r>
              <w:rPr>
                <w:rFonts w:ascii="Times New Roman" w:hAnsi="Times New Roman" w:cs="Times New Roman"/>
                <w:color w:val="000000" w:themeColor="text1"/>
                <w:sz w:val="24"/>
                <w:szCs w:val="24"/>
                <w:highlight w:val="none"/>
                <w:vertAlign w:val="superscript"/>
                <w14:textFill>
                  <w14:solidFill>
                    <w14:schemeClr w14:val="tx1"/>
                  </w14:solidFill>
                </w14:textFill>
              </w:rPr>
              <w:t>3</w:t>
            </w:r>
            <w:r>
              <w:rPr>
                <w:rFonts w:ascii="Times New Roman" w:hAnsi="Times New Roman" w:cs="Times New Roman"/>
                <w:color w:val="000000" w:themeColor="text1"/>
                <w:sz w:val="24"/>
                <w:szCs w:val="24"/>
                <w:highlight w:val="none"/>
                <w14:textFill>
                  <w14:solidFill>
                    <w14:schemeClr w14:val="tx1"/>
                  </w14:solidFill>
                </w14:textFill>
              </w:rPr>
              <w:t>计算，在</w:t>
            </w:r>
            <w:r>
              <w:rPr>
                <w:rFonts w:hint="eastAsia" w:ascii="Times New Roman" w:hAnsi="Times New Roman" w:cs="Times New Roman"/>
                <w:color w:val="000000" w:themeColor="text1"/>
                <w:sz w:val="24"/>
                <w:szCs w:val="24"/>
                <w:highlight w:val="none"/>
                <w14:textFill>
                  <w14:solidFill>
                    <w14:schemeClr w14:val="tx1"/>
                  </w14:solidFill>
                </w14:textFill>
              </w:rPr>
              <w:t>喷漆工序收集</w:t>
            </w:r>
            <w:r>
              <w:rPr>
                <w:rFonts w:ascii="Times New Roman" w:hAnsi="Times New Roman" w:cs="Times New Roman"/>
                <w:color w:val="000000" w:themeColor="text1"/>
                <w:sz w:val="24"/>
                <w:szCs w:val="24"/>
                <w:highlight w:val="none"/>
                <w14:textFill>
                  <w14:solidFill>
                    <w14:schemeClr w14:val="tx1"/>
                  </w14:solidFill>
                </w14:textFill>
              </w:rPr>
              <w:t>风量为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10000</w:t>
            </w:r>
            <w:r>
              <w:rPr>
                <w:rFonts w:ascii="Times New Roman" w:hAnsi="Times New Roman" w:cs="Times New Roman"/>
                <w:color w:val="000000" w:themeColor="text1"/>
                <w:sz w:val="24"/>
                <w:szCs w:val="24"/>
                <w:highlight w:val="none"/>
                <w14:textFill>
                  <w14:solidFill>
                    <w14:schemeClr w14:val="tx1"/>
                  </w14:solidFill>
                </w14:textFill>
              </w:rPr>
              <w:t>m</w:t>
            </w:r>
            <w:r>
              <w:rPr>
                <w:rFonts w:ascii="Times New Roman" w:hAnsi="Times New Roman" w:cs="Times New Roman"/>
                <w:color w:val="000000" w:themeColor="text1"/>
                <w:sz w:val="24"/>
                <w:szCs w:val="24"/>
                <w:highlight w:val="none"/>
                <w:vertAlign w:val="superscript"/>
                <w14:textFill>
                  <w14:solidFill>
                    <w14:schemeClr w14:val="tx1"/>
                  </w14:solidFill>
                </w14:textFill>
              </w:rPr>
              <w:t>3</w:t>
            </w:r>
            <w:r>
              <w:rPr>
                <w:rFonts w:ascii="Times New Roman" w:hAnsi="Times New Roman" w:cs="Times New Roman"/>
                <w:color w:val="000000" w:themeColor="text1"/>
                <w:sz w:val="24"/>
                <w:szCs w:val="24"/>
                <w:highlight w:val="none"/>
                <w14:textFill>
                  <w14:solidFill>
                    <w14:schemeClr w14:val="tx1"/>
                  </w14:solidFill>
                </w14:textFill>
              </w:rPr>
              <w:t>/h的情况下</w:t>
            </w:r>
            <w:r>
              <w:rPr>
                <w:rFonts w:hint="eastAsia" w:ascii="Times New Roman" w:hAnsi="Times New Roman" w:cs="Times New Roman"/>
                <w:color w:val="000000" w:themeColor="text1"/>
                <w:sz w:val="24"/>
                <w:szCs w:val="24"/>
                <w:highlight w:val="none"/>
                <w14:textFill>
                  <w14:solidFill>
                    <w14:schemeClr w14:val="tx1"/>
                  </w14:solidFill>
                </w14:textFill>
              </w:rPr>
              <w:t>（不含固化过程）</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水帘柜</w:t>
            </w:r>
            <w:r>
              <w:rPr>
                <w:rFonts w:ascii="Times New Roman" w:hAnsi="Times New Roman" w:cs="Times New Roman"/>
                <w:color w:val="000000" w:themeColor="text1"/>
                <w:sz w:val="24"/>
                <w:szCs w:val="24"/>
                <w:highlight w:val="none"/>
                <w14:textFill>
                  <w14:solidFill>
                    <w14:schemeClr w14:val="tx1"/>
                  </w14:solidFill>
                </w14:textFill>
              </w:rPr>
              <w:t>循环用水量为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10</w:t>
            </w:r>
            <w:r>
              <w:rPr>
                <w:rFonts w:ascii="Times New Roman" w:hAnsi="Times New Roman" w:cs="Times New Roman"/>
                <w:color w:val="000000" w:themeColor="text1"/>
                <w:sz w:val="24"/>
                <w:szCs w:val="24"/>
                <w:highlight w:val="none"/>
                <w14:textFill>
                  <w14:solidFill>
                    <w14:schemeClr w14:val="tx1"/>
                  </w14:solidFill>
                </w14:textFill>
              </w:rPr>
              <w:t>m</w:t>
            </w:r>
            <w:r>
              <w:rPr>
                <w:rFonts w:ascii="Times New Roman" w:hAnsi="Times New Roman" w:cs="Times New Roman"/>
                <w:color w:val="000000" w:themeColor="text1"/>
                <w:sz w:val="24"/>
                <w:szCs w:val="24"/>
                <w:highlight w:val="none"/>
                <w:vertAlign w:val="superscript"/>
                <w14:textFill>
                  <w14:solidFill>
                    <w14:schemeClr w14:val="tx1"/>
                  </w14:solidFill>
                </w14:textFill>
              </w:rPr>
              <w:t>3</w:t>
            </w:r>
            <w:r>
              <w:rPr>
                <w:rFonts w:ascii="Times New Roman" w:hAnsi="Times New Roman" w:cs="Times New Roman"/>
                <w:color w:val="000000" w:themeColor="text1"/>
                <w:sz w:val="24"/>
                <w:szCs w:val="24"/>
                <w:highlight w:val="none"/>
                <w14:textFill>
                  <w14:solidFill>
                    <w14:schemeClr w14:val="tx1"/>
                  </w14:solidFill>
                </w14:textFill>
              </w:rPr>
              <w:t>/h，即</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24000</w:t>
            </w:r>
            <w:r>
              <w:rPr>
                <w:rFonts w:ascii="Times New Roman" w:hAnsi="Times New Roman" w:cs="Times New Roman"/>
                <w:color w:val="000000" w:themeColor="text1"/>
                <w:sz w:val="24"/>
                <w:szCs w:val="24"/>
                <w:highlight w:val="none"/>
                <w14:textFill>
                  <w14:solidFill>
                    <w14:schemeClr w14:val="tx1"/>
                  </w14:solidFill>
                </w14:textFill>
              </w:rPr>
              <w:t>m</w:t>
            </w:r>
            <w:r>
              <w:rPr>
                <w:rFonts w:ascii="Times New Roman" w:hAnsi="Times New Roman" w:cs="Times New Roman"/>
                <w:color w:val="000000" w:themeColor="text1"/>
                <w:sz w:val="24"/>
                <w:szCs w:val="24"/>
                <w:highlight w:val="none"/>
                <w:vertAlign w:val="superscript"/>
                <w14:textFill>
                  <w14:solidFill>
                    <w14:schemeClr w14:val="tx1"/>
                  </w14:solidFill>
                </w14:textFill>
              </w:rPr>
              <w:t>3</w:t>
            </w:r>
            <w:r>
              <w:rPr>
                <w:rFonts w:ascii="Times New Roman" w:hAnsi="Times New Roman" w:cs="Times New Roman"/>
                <w:color w:val="000000" w:themeColor="text1"/>
                <w:sz w:val="24"/>
                <w:szCs w:val="24"/>
                <w:highlight w:val="none"/>
                <w14:textFill>
                  <w14:solidFill>
                    <w14:schemeClr w14:val="tx1"/>
                  </w14:solidFill>
                </w14:textFill>
              </w:rPr>
              <w:t>/a。</w:t>
            </w:r>
          </w:p>
          <w:p w14:paraId="32B4AD05">
            <w:pPr>
              <w:pStyle w:val="27"/>
              <w:wordWrap w:val="0"/>
              <w:topLinePunct/>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hint="eastAsia" w:ascii="Times New Roman" w:hAnsi="Times New Roman" w:cs="Times New Roman"/>
                <w:color w:val="000000" w:themeColor="text1"/>
                <w:sz w:val="24"/>
                <w:highlight w:val="none"/>
                <w:lang w:eastAsia="zh-CN"/>
                <w14:textFill>
                  <w14:solidFill>
                    <w14:schemeClr w14:val="tx1"/>
                  </w14:solidFill>
                </w14:textFill>
              </w:rPr>
              <w:t>水帘柜</w:t>
            </w:r>
            <w:r>
              <w:rPr>
                <w:rFonts w:ascii="Times New Roman" w:hAnsi="Times New Roman" w:cs="Times New Roman"/>
                <w:color w:val="000000" w:themeColor="text1"/>
                <w:sz w:val="24"/>
                <w:highlight w:val="none"/>
                <w14:textFill>
                  <w14:solidFill>
                    <w14:schemeClr w14:val="tx1"/>
                  </w14:solidFill>
                </w14:textFill>
              </w:rPr>
              <w:t>喷淋损耗量根据《给水排水设计手册2-建筑集水排水》（第二版，中国建筑工业出版社）P559表7-32水量损失表，水膜、冰塔、孔流等风吹损失占循环流量的0.5~1.5%（本项目取1%），蒸发损失占循环流量的0.4~0.6%（本项目取0.</w:t>
            </w:r>
            <w:r>
              <w:rPr>
                <w:rFonts w:hint="eastAsia" w:ascii="Times New Roman" w:hAnsi="Times New Roman" w:cs="Times New Roman"/>
                <w:color w:val="000000" w:themeColor="text1"/>
                <w:sz w:val="24"/>
                <w:highlight w:val="none"/>
                <w14:textFill>
                  <w14:solidFill>
                    <w14:schemeClr w14:val="tx1"/>
                  </w14:solidFill>
                </w14:textFill>
              </w:rPr>
              <w:t>5</w:t>
            </w:r>
            <w:r>
              <w:rPr>
                <w:rFonts w:ascii="Times New Roman" w:hAnsi="Times New Roman" w:cs="Times New Roman"/>
                <w:color w:val="000000" w:themeColor="text1"/>
                <w:sz w:val="24"/>
                <w:highlight w:val="none"/>
                <w14:textFill>
                  <w14:solidFill>
                    <w14:schemeClr w14:val="tx1"/>
                  </w14:solidFill>
                </w14:textFill>
              </w:rPr>
              <w:t>%），即损耗量共占循环流量</w:t>
            </w:r>
            <w:r>
              <w:rPr>
                <w:rFonts w:hint="eastAsia" w:ascii="Times New Roman" w:hAnsi="Times New Roman" w:cs="Times New Roman"/>
                <w:color w:val="000000" w:themeColor="text1"/>
                <w:sz w:val="24"/>
                <w:highlight w:val="none"/>
                <w14:textFill>
                  <w14:solidFill>
                    <w14:schemeClr w14:val="tx1"/>
                  </w14:solidFill>
                </w14:textFill>
              </w:rPr>
              <w:t>1.5</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喷漆房</w:t>
            </w:r>
            <w:r>
              <w:rPr>
                <w:rFonts w:ascii="Times New Roman" w:hAnsi="Times New Roman" w:cs="Times New Roman"/>
                <w:color w:val="000000" w:themeColor="text1"/>
                <w:sz w:val="24"/>
                <w:highlight w:val="none"/>
                <w14:textFill>
                  <w14:solidFill>
                    <w14:schemeClr w14:val="tx1"/>
                  </w14:solidFill>
                </w14:textFill>
              </w:rPr>
              <w:t>的</w:t>
            </w:r>
            <w:r>
              <w:rPr>
                <w:rFonts w:hint="eastAsia" w:ascii="Times New Roman" w:hAnsi="Times New Roman" w:cs="Times New Roman"/>
                <w:color w:val="000000" w:themeColor="text1"/>
                <w:sz w:val="24"/>
                <w:highlight w:val="none"/>
                <w:lang w:eastAsia="zh-CN"/>
                <w14:textFill>
                  <w14:solidFill>
                    <w14:schemeClr w14:val="tx1"/>
                  </w14:solidFill>
                </w14:textFill>
              </w:rPr>
              <w:t>水帘柜</w:t>
            </w:r>
            <w:r>
              <w:rPr>
                <w:rFonts w:ascii="Times New Roman" w:hAnsi="Times New Roman" w:cs="Times New Roman"/>
                <w:color w:val="000000" w:themeColor="text1"/>
                <w:sz w:val="24"/>
                <w:highlight w:val="none"/>
                <w14:textFill>
                  <w14:solidFill>
                    <w14:schemeClr w14:val="tx1"/>
                  </w14:solidFill>
                </w14:textFill>
              </w:rPr>
              <w:t>循环损耗补充水量为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24000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14:textFill>
                  <w14:solidFill>
                    <w14:schemeClr w14:val="tx1"/>
                  </w14:solidFill>
                </w14:textFill>
              </w:rPr>
              <w:t>1.5</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360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p>
          <w:p w14:paraId="214171D3">
            <w:pPr>
              <w:pStyle w:val="27"/>
              <w:wordWrap w:val="0"/>
              <w:topLinePunct/>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喷漆房内设有水帘</w:t>
            </w:r>
            <w:r>
              <w:rPr>
                <w:rFonts w:hint="eastAsia" w:ascii="Times New Roman" w:hAnsi="Times New Roman" w:cs="Times New Roman"/>
                <w:color w:val="000000" w:themeColor="text1"/>
                <w:sz w:val="24"/>
                <w:highlight w:val="none"/>
                <w:lang w:val="en-US" w:eastAsia="zh-CN"/>
                <w14:textFill>
                  <w14:solidFill>
                    <w14:schemeClr w14:val="tx1"/>
                  </w14:solidFill>
                </w14:textFill>
              </w:rPr>
              <w:t>喷漆柜</w:t>
            </w:r>
            <w:r>
              <w:rPr>
                <w:rFonts w:ascii="Times New Roman" w:hAnsi="Times New Roman" w:cs="Times New Roman"/>
                <w:color w:val="000000" w:themeColor="text1"/>
                <w:sz w:val="24"/>
                <w:highlight w:val="none"/>
                <w14:textFill>
                  <w14:solidFill>
                    <w14:schemeClr w14:val="tx1"/>
                  </w14:solidFill>
                </w14:textFill>
              </w:rPr>
              <w:t>的循环水池，</w:t>
            </w:r>
            <w:r>
              <w:rPr>
                <w:rFonts w:hint="eastAsia" w:ascii="Times New Roman" w:hAnsi="Times New Roman" w:cs="Times New Roman"/>
                <w:color w:val="000000" w:themeColor="text1"/>
                <w:sz w:val="24"/>
                <w:highlight w:val="none"/>
                <w:lang w:eastAsia="zh-CN"/>
                <w14:textFill>
                  <w14:solidFill>
                    <w14:schemeClr w14:val="tx1"/>
                  </w14:solidFill>
                </w14:textFill>
              </w:rPr>
              <w:t>喷漆房</w:t>
            </w:r>
            <w:r>
              <w:rPr>
                <w:rFonts w:ascii="Times New Roman" w:hAnsi="Times New Roman" w:cs="Times New Roman"/>
                <w:color w:val="000000" w:themeColor="text1"/>
                <w:sz w:val="24"/>
                <w:highlight w:val="none"/>
                <w14:textFill>
                  <w14:solidFill>
                    <w14:schemeClr w14:val="tx1"/>
                  </w14:solidFill>
                </w14:textFill>
              </w:rPr>
              <w:t>循环水池总有效容积为</w:t>
            </w:r>
            <w:r>
              <w:rPr>
                <w:rFonts w:hint="eastAsia" w:ascii="Times New Roman" w:hAnsi="Times New Roman" w:cs="Times New Roman"/>
                <w:color w:val="000000" w:themeColor="text1"/>
                <w:sz w:val="24"/>
                <w:highlight w:val="none"/>
                <w:lang w:val="en-US" w:eastAsia="zh-CN"/>
                <w14:textFill>
                  <w14:solidFill>
                    <w14:schemeClr w14:val="tx1"/>
                  </w14:solidFill>
                </w14:textFill>
              </w:rPr>
              <w:t>5</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，每</w:t>
            </w:r>
            <w:r>
              <w:rPr>
                <w:rFonts w:hint="eastAsia" w:ascii="Times New Roman" w:hAnsi="Times New Roman" w:cs="Times New Roman"/>
                <w:color w:val="000000" w:themeColor="text1"/>
                <w:sz w:val="24"/>
                <w:highlight w:val="none"/>
                <w14:textFill>
                  <w14:solidFill>
                    <w14:schemeClr w14:val="tx1"/>
                  </w14:solidFill>
                </w14:textFill>
              </w:rPr>
              <w:t>月</w:t>
            </w:r>
            <w:r>
              <w:rPr>
                <w:rFonts w:ascii="Times New Roman" w:hAnsi="Times New Roman" w:cs="Times New Roman"/>
                <w:color w:val="000000" w:themeColor="text1"/>
                <w:sz w:val="24"/>
                <w:highlight w:val="none"/>
                <w14:textFill>
                  <w14:solidFill>
                    <w14:schemeClr w14:val="tx1"/>
                  </w14:solidFill>
                </w14:textFill>
              </w:rPr>
              <w:t>更换一次，对应更换补充用水量为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5</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14:textFill>
                  <w14:solidFill>
                    <w14:schemeClr w14:val="tx1"/>
                  </w14:solidFill>
                </w14:textFill>
              </w:rPr>
              <w:t>12</w:t>
            </w:r>
            <w:r>
              <w:rPr>
                <w:rFonts w:ascii="Times New Roman" w:hAnsi="Times New Roman" w:cs="Times New Roman"/>
                <w:color w:val="000000" w:themeColor="text1"/>
                <w:sz w:val="24"/>
                <w:highlight w:val="none"/>
                <w14:textFill>
                  <w14:solidFill>
                    <w14:schemeClr w14:val="tx1"/>
                  </w14:solidFill>
                </w14:textFill>
              </w:rPr>
              <w:t>次/年=</w:t>
            </w:r>
            <w:r>
              <w:rPr>
                <w:rFonts w:hint="eastAsia" w:ascii="Times New Roman" w:hAnsi="Times New Roman" w:cs="Times New Roman"/>
                <w:color w:val="000000" w:themeColor="text1"/>
                <w:sz w:val="24"/>
                <w:highlight w:val="none"/>
                <w:lang w:val="en-US" w:eastAsia="zh-CN"/>
                <w14:textFill>
                  <w14:solidFill>
                    <w14:schemeClr w14:val="tx1"/>
                  </w14:solidFill>
                </w14:textFill>
              </w:rPr>
              <w:t>60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lang w:val="en-US" w:eastAsia="zh-CN"/>
                <w14:textFill>
                  <w14:solidFill>
                    <w14:schemeClr w14:val="tx1"/>
                  </w14:solidFill>
                </w14:textFill>
              </w:rPr>
              <w:t>则更换废水量量为60m</w:t>
            </w:r>
            <w:r>
              <w:rPr>
                <w:rFonts w:hint="eastAsia" w:ascii="Times New Roman" w:hAnsi="Times New Roman" w:cs="Times New Roman"/>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4"/>
                <w:highlight w:val="none"/>
                <w:lang w:val="en-US" w:eastAsia="zh-CN"/>
                <w14:textFill>
                  <w14:solidFill>
                    <w14:schemeClr w14:val="tx1"/>
                  </w14:solidFill>
                </w14:textFill>
              </w:rPr>
              <w:t>/a，</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更换后的废水</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委托有危险废物处置资质单位处置</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w:t>
            </w:r>
            <w:r>
              <w:rPr>
                <w:rFonts w:ascii="Times New Roman" w:hAnsi="Times New Roman" w:cs="Times New Roman"/>
                <w:color w:val="000000" w:themeColor="text1"/>
                <w:sz w:val="24"/>
                <w:highlight w:val="none"/>
                <w14:textFill>
                  <w14:solidFill>
                    <w14:schemeClr w14:val="tx1"/>
                  </w14:solidFill>
                </w14:textFill>
              </w:rPr>
              <w:t>本项目水帘</w:t>
            </w:r>
            <w:r>
              <w:rPr>
                <w:rFonts w:hint="eastAsia" w:ascii="Times New Roman" w:hAnsi="Times New Roman" w:cs="Times New Roman"/>
                <w:color w:val="000000" w:themeColor="text1"/>
                <w:sz w:val="24"/>
                <w:highlight w:val="none"/>
                <w:lang w:val="en-US" w:eastAsia="zh-CN"/>
                <w14:textFill>
                  <w14:solidFill>
                    <w14:schemeClr w14:val="tx1"/>
                  </w14:solidFill>
                </w14:textFill>
              </w:rPr>
              <w:t>柜</w:t>
            </w:r>
            <w:r>
              <w:rPr>
                <w:rFonts w:ascii="Times New Roman" w:hAnsi="Times New Roman" w:cs="Times New Roman"/>
                <w:color w:val="000000" w:themeColor="text1"/>
                <w:sz w:val="24"/>
                <w:highlight w:val="none"/>
                <w14:textFill>
                  <w14:solidFill>
                    <w14:schemeClr w14:val="tx1"/>
                  </w14:solidFill>
                </w14:textFill>
              </w:rPr>
              <w:t>用水总量为：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360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lang w:val="en-US" w:eastAsia="zh-CN"/>
                <w14:textFill>
                  <w14:solidFill>
                    <w14:schemeClr w14:val="tx1"/>
                  </w14:solidFill>
                </w14:textFill>
              </w:rPr>
              <w:t>60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lang w:val="en-US" w:eastAsia="zh-CN"/>
                <w14:textFill>
                  <w14:solidFill>
                    <w14:schemeClr w14:val="tx1"/>
                  </w14:solidFill>
                </w14:textFill>
              </w:rPr>
              <w:t>420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p>
          <w:p w14:paraId="4E980462">
            <w:pPr>
              <w:pStyle w:val="63"/>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④喷淋塔用水</w:t>
            </w:r>
          </w:p>
          <w:p w14:paraId="77B2E2E4">
            <w:pPr>
              <w:pStyle w:val="27"/>
              <w:wordWrap w:val="0"/>
              <w:topLinePunct/>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与水帘柜用水计算过程相同，</w:t>
            </w:r>
            <w:r>
              <w:rPr>
                <w:rFonts w:hint="eastAsia" w:ascii="Times New Roman" w:hAnsi="Times New Roman" w:cs="Times New Roman"/>
                <w:color w:val="000000" w:themeColor="text1"/>
                <w:sz w:val="24"/>
                <w:highlight w:val="none"/>
                <w:lang w:val="en-US" w:eastAsia="zh-CN"/>
                <w14:textFill>
                  <w14:solidFill>
                    <w14:schemeClr w14:val="tx1"/>
                  </w14:solidFill>
                </w14:textFill>
              </w:rPr>
              <w:t>废气设施</w:t>
            </w:r>
            <w:r>
              <w:rPr>
                <w:rFonts w:hint="eastAsia" w:ascii="Times New Roman" w:hAnsi="Times New Roman" w:cs="Times New Roman"/>
                <w:color w:val="000000" w:themeColor="text1"/>
                <w:sz w:val="24"/>
                <w:highlight w:val="none"/>
                <w14:textFill>
                  <w14:solidFill>
                    <w14:schemeClr w14:val="tx1"/>
                  </w14:solidFill>
                </w14:textFill>
              </w:rPr>
              <w:t>总风量为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20</w:t>
            </w:r>
            <w:r>
              <w:rPr>
                <w:rFonts w:hint="eastAsia" w:ascii="Times New Roman" w:hAnsi="Times New Roman" w:cs="Times New Roman"/>
                <w:color w:val="000000" w:themeColor="text1"/>
                <w:sz w:val="24"/>
                <w:highlight w:val="none"/>
                <w14:textFill>
                  <w14:solidFill>
                    <w14:schemeClr w14:val="tx1"/>
                  </w14:solidFill>
                </w14:textFill>
              </w:rPr>
              <w:t>000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/h</w:t>
            </w:r>
            <w:r>
              <w:rPr>
                <w:rFonts w:hint="eastAsia" w:ascii="Times New Roman" w:hAnsi="Times New Roman" w:cs="Times New Roman"/>
                <w:color w:val="000000" w:themeColor="text1"/>
                <w:sz w:val="24"/>
                <w:highlight w:val="none"/>
                <w14:textFill>
                  <w14:solidFill>
                    <w14:schemeClr w14:val="tx1"/>
                  </w14:solidFill>
                </w14:textFill>
              </w:rPr>
              <w:t>，对应</w:t>
            </w:r>
            <w:r>
              <w:rPr>
                <w:rFonts w:ascii="Times New Roman" w:hAnsi="Times New Roman" w:cs="Times New Roman"/>
                <w:color w:val="000000" w:themeColor="text1"/>
                <w:sz w:val="24"/>
                <w:highlight w:val="none"/>
                <w14:textFill>
                  <w14:solidFill>
                    <w14:schemeClr w14:val="tx1"/>
                  </w14:solidFill>
                </w14:textFill>
              </w:rPr>
              <w:t>喷淋塔循环用水量为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20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/h，即</w:t>
            </w:r>
            <w:r>
              <w:rPr>
                <w:rFonts w:hint="eastAsia" w:ascii="Times New Roman" w:hAnsi="Times New Roman" w:cs="Times New Roman"/>
                <w:color w:val="000000" w:themeColor="text1"/>
                <w:sz w:val="24"/>
                <w:highlight w:val="none"/>
                <w:lang w:val="en-US" w:eastAsia="zh-CN"/>
                <w14:textFill>
                  <w14:solidFill>
                    <w14:schemeClr w14:val="tx1"/>
                  </w14:solidFill>
                </w14:textFill>
              </w:rPr>
              <w:t>48000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/a，循环损耗补充水量为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480</w:t>
            </w:r>
            <w:r>
              <w:rPr>
                <w:rFonts w:ascii="Times New Roman" w:hAnsi="Times New Roman" w:cs="Times New Roman"/>
                <w:color w:val="000000" w:themeColor="text1"/>
                <w:sz w:val="24"/>
                <w:highlight w:val="none"/>
                <w14:textFill>
                  <w14:solidFill>
                    <w14:schemeClr w14:val="tx1"/>
                  </w14:solidFill>
                </w14:textFill>
              </w:rPr>
              <w:t>00m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14:textFill>
                  <w14:solidFill>
                    <w14:schemeClr w14:val="tx1"/>
                  </w14:solidFill>
                </w14:textFill>
              </w:rPr>
              <w:t>1.5</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720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p>
          <w:p w14:paraId="7B9FB325">
            <w:pPr>
              <w:pStyle w:val="27"/>
              <w:wordWrap w:val="0"/>
              <w:topLinePunct/>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hint="eastAsia" w:ascii="Times New Roman" w:hAnsi="Times New Roman" w:cs="Times New Roman"/>
                <w:color w:val="000000" w:themeColor="text1"/>
                <w:sz w:val="24"/>
                <w:highlight w:val="none"/>
                <w14:textFill>
                  <w14:solidFill>
                    <w14:schemeClr w14:val="tx1"/>
                  </w14:solidFill>
                </w14:textFill>
              </w:rPr>
              <w:t>本项目废气治理设施设置有1台</w:t>
            </w:r>
            <w:r>
              <w:rPr>
                <w:rFonts w:ascii="Times New Roman" w:hAnsi="Times New Roman" w:cs="Times New Roman"/>
                <w:color w:val="000000" w:themeColor="text1"/>
                <w:sz w:val="24"/>
                <w:highlight w:val="none"/>
                <w14:textFill>
                  <w14:solidFill>
                    <w14:schemeClr w14:val="tx1"/>
                  </w14:solidFill>
                </w14:textFill>
              </w:rPr>
              <w:t>喷淋塔</w:t>
            </w:r>
            <w:r>
              <w:rPr>
                <w:rFonts w:hint="eastAsia" w:ascii="Times New Roman" w:hAnsi="Times New Roman" w:cs="Times New Roman"/>
                <w:color w:val="000000" w:themeColor="text1"/>
                <w:sz w:val="24"/>
                <w:highlight w:val="none"/>
                <w14:textFill>
                  <w14:solidFill>
                    <w14:schemeClr w14:val="tx1"/>
                  </w14:solidFill>
                </w14:textFill>
              </w:rPr>
              <w:t>，塔内</w:t>
            </w:r>
            <w:r>
              <w:rPr>
                <w:rFonts w:ascii="Times New Roman" w:hAnsi="Times New Roman" w:cs="Times New Roman"/>
                <w:color w:val="000000" w:themeColor="text1"/>
                <w:sz w:val="24"/>
                <w:highlight w:val="none"/>
                <w14:textFill>
                  <w14:solidFill>
                    <w14:schemeClr w14:val="tx1"/>
                  </w14:solidFill>
                </w14:textFill>
              </w:rPr>
              <w:t>循环水吸附漆雾后污染物浓度会增大，</w:t>
            </w:r>
            <w:r>
              <w:rPr>
                <w:rFonts w:hint="eastAsia" w:ascii="Times New Roman" w:hAnsi="Times New Roman" w:cs="Times New Roman"/>
                <w:color w:val="000000" w:themeColor="text1"/>
                <w:sz w:val="24"/>
                <w:highlight w:val="none"/>
                <w:lang w:val="en-US" w:eastAsia="zh-CN"/>
                <w14:textFill>
                  <w14:solidFill>
                    <w14:schemeClr w14:val="tx1"/>
                  </w14:solidFill>
                </w14:textFill>
              </w:rPr>
              <w:t>沉渣采用人工捞渣方式打捞，喷淋用水</w:t>
            </w:r>
            <w:r>
              <w:rPr>
                <w:rFonts w:ascii="Times New Roman" w:hAnsi="Times New Roman" w:cs="Times New Roman"/>
                <w:color w:val="000000" w:themeColor="text1"/>
                <w:sz w:val="24"/>
                <w:highlight w:val="none"/>
                <w14:textFill>
                  <w14:solidFill>
                    <w14:schemeClr w14:val="tx1"/>
                  </w14:solidFill>
                </w14:textFill>
              </w:rPr>
              <w:t>需定期更换，预计每</w:t>
            </w:r>
            <w:r>
              <w:rPr>
                <w:rFonts w:hint="eastAsia" w:ascii="Times New Roman" w:hAnsi="Times New Roman" w:cs="Times New Roman"/>
                <w:color w:val="000000" w:themeColor="text1"/>
                <w:sz w:val="24"/>
                <w:highlight w:val="none"/>
                <w:lang w:val="en-US" w:eastAsia="zh-CN"/>
                <w14:textFill>
                  <w14:solidFill>
                    <w14:schemeClr w14:val="tx1"/>
                  </w14:solidFill>
                </w14:textFill>
              </w:rPr>
              <w:t>月</w:t>
            </w:r>
            <w:r>
              <w:rPr>
                <w:rFonts w:ascii="Times New Roman" w:hAnsi="Times New Roman" w:cs="Times New Roman"/>
                <w:color w:val="000000" w:themeColor="text1"/>
                <w:sz w:val="24"/>
                <w:highlight w:val="none"/>
                <w14:textFill>
                  <w14:solidFill>
                    <w14:schemeClr w14:val="tx1"/>
                  </w14:solidFill>
                </w14:textFill>
              </w:rPr>
              <w:t>更换1次，</w:t>
            </w:r>
            <w:r>
              <w:rPr>
                <w:rFonts w:hint="eastAsia" w:ascii="Times New Roman" w:hAnsi="Times New Roman" w:cs="Times New Roman"/>
                <w:color w:val="000000" w:themeColor="text1"/>
                <w:sz w:val="24"/>
                <w:highlight w:val="none"/>
                <w:lang w:val="en-US" w:eastAsia="zh-CN"/>
                <w14:textFill>
                  <w14:solidFill>
                    <w14:schemeClr w14:val="tx1"/>
                  </w14:solidFill>
                </w14:textFill>
              </w:rPr>
              <w:t>全年按12个月计，</w:t>
            </w:r>
            <w:r>
              <w:rPr>
                <w:rFonts w:hint="eastAsia" w:ascii="Times New Roman" w:hAnsi="Times New Roman" w:cs="Times New Roman"/>
                <w:color w:val="000000" w:themeColor="text1"/>
                <w:sz w:val="24"/>
                <w:highlight w:val="none"/>
                <w14:textFill>
                  <w14:solidFill>
                    <w14:schemeClr w14:val="tx1"/>
                  </w14:solidFill>
                </w14:textFill>
              </w:rPr>
              <w:t>喷淋塔内</w:t>
            </w:r>
            <w:r>
              <w:rPr>
                <w:rFonts w:ascii="Times New Roman" w:hAnsi="Times New Roman" w:cs="Times New Roman"/>
                <w:color w:val="000000" w:themeColor="text1"/>
                <w:sz w:val="24"/>
                <w:highlight w:val="none"/>
                <w14:textFill>
                  <w14:solidFill>
                    <w14:schemeClr w14:val="tx1"/>
                  </w14:solidFill>
                </w14:textFill>
              </w:rPr>
              <w:t>循环水箱容积约0.</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ascii="Times New Roman" w:hAnsi="Times New Roman" w:cs="Times New Roman"/>
                <w:color w:val="000000" w:themeColor="text1"/>
                <w:sz w:val="24"/>
                <w:highlight w:val="none"/>
                <w14:textFill>
                  <w14:solidFill>
                    <w14:schemeClr w14:val="tx1"/>
                  </w14:solidFill>
                </w14:textFill>
              </w:rPr>
              <w:t>t，则喷淋塔循环水更换量为</w:t>
            </w:r>
            <w:r>
              <w:rPr>
                <w:rFonts w:hint="eastAsia" w:ascii="Times New Roman" w:hAnsi="Times New Roman" w:cs="Times New Roman"/>
                <w:color w:val="000000" w:themeColor="text1"/>
                <w:sz w:val="24"/>
                <w:highlight w:val="none"/>
                <w14:textFill>
                  <w14:solidFill>
                    <w14:schemeClr w14:val="tx1"/>
                  </w14:solidFill>
                </w14:textFill>
              </w:rPr>
              <w:t>1台×</w:t>
            </w:r>
            <w:r>
              <w:rPr>
                <w:rFonts w:ascii="Times New Roman" w:hAnsi="Times New Roman" w:cs="Times New Roman"/>
                <w:color w:val="000000" w:themeColor="text1"/>
                <w:sz w:val="24"/>
                <w:highlight w:val="none"/>
                <w14:textFill>
                  <w14:solidFill>
                    <w14:schemeClr w14:val="tx1"/>
                  </w14:solidFill>
                </w14:textFill>
              </w:rPr>
              <w:t>0.</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ascii="Times New Roman" w:hAnsi="Times New Roman" w:cs="Times New Roman"/>
                <w:color w:val="000000" w:themeColor="text1"/>
                <w:sz w:val="24"/>
                <w:highlight w:val="none"/>
                <w14:textFill>
                  <w14:solidFill>
                    <w14:schemeClr w14:val="tx1"/>
                  </w14:solidFill>
                </w14:textFill>
              </w:rPr>
              <w:t>t×</w:t>
            </w:r>
            <w:r>
              <w:rPr>
                <w:rFonts w:hint="eastAsia" w:ascii="Times New Roman" w:hAnsi="Times New Roman" w:cs="Times New Roman"/>
                <w:color w:val="000000" w:themeColor="text1"/>
                <w:sz w:val="24"/>
                <w:highlight w:val="none"/>
                <w:lang w:val="en-US" w:eastAsia="zh-CN"/>
                <w14:textFill>
                  <w14:solidFill>
                    <w14:schemeClr w14:val="tx1"/>
                  </w14:solidFill>
                </w14:textFill>
              </w:rPr>
              <w:t>12</w:t>
            </w:r>
            <w:r>
              <w:rPr>
                <w:rFonts w:hint="eastAsia" w:ascii="Times New Roman" w:hAnsi="Times New Roman" w:cs="Times New Roman"/>
                <w:color w:val="000000" w:themeColor="text1"/>
                <w:sz w:val="24"/>
                <w:highlight w:val="none"/>
                <w14:textFill>
                  <w14:solidFill>
                    <w14:schemeClr w14:val="tx1"/>
                  </w14:solidFill>
                </w14:textFill>
              </w:rPr>
              <w:t>次/年</w:t>
            </w:r>
            <w:r>
              <w:rPr>
                <w:rFonts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4.8</w:t>
            </w:r>
            <w:r>
              <w:rPr>
                <w:rFonts w:ascii="Times New Roman" w:hAnsi="Times New Roman" w:cs="Times New Roman"/>
                <w:color w:val="000000" w:themeColor="text1"/>
                <w:sz w:val="24"/>
                <w:highlight w:val="none"/>
                <w14:textFill>
                  <w14:solidFill>
                    <w14:schemeClr w14:val="tx1"/>
                  </w14:solidFill>
                </w14:textFill>
              </w:rPr>
              <w:t>t/a，</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更换后的废水</w:t>
            </w:r>
            <w:r>
              <w:rPr>
                <w:rFonts w:hint="eastAsia"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委托有危险废物处置资质单位处置</w:t>
            </w:r>
            <w:r>
              <w:rPr>
                <w:rFonts w:hint="eastAsia" w:ascii="Times New Roman" w:hAnsi="Times New Roman" w:cs="Times New Roman"/>
                <w:color w:val="000000" w:themeColor="text1"/>
                <w:sz w:val="24"/>
                <w:highlight w:val="none"/>
                <w:lang w:val="en-US" w:eastAsia="zh-CN"/>
                <w14:textFill>
                  <w14:solidFill>
                    <w14:schemeClr w14:val="tx1"/>
                  </w14:solidFill>
                </w14:textFill>
              </w:rPr>
              <w:t>。</w:t>
            </w:r>
            <w:r>
              <w:rPr>
                <w:rFonts w:ascii="Times New Roman" w:hAnsi="Times New Roman" w:cs="Times New Roman"/>
                <w:color w:val="000000" w:themeColor="text1"/>
                <w:sz w:val="24"/>
                <w:highlight w:val="none"/>
                <w14:textFill>
                  <w14:solidFill>
                    <w14:schemeClr w14:val="tx1"/>
                  </w14:solidFill>
                </w14:textFill>
              </w:rPr>
              <w:t>本项目喷淋塔用水总量为：</w:t>
            </w:r>
            <w:r>
              <w:rPr>
                <w:rFonts w:hint="eastAsia" w:ascii="Times New Roman" w:hAnsi="Times New Roman" w:cs="Times New Roman"/>
                <w:color w:val="000000" w:themeColor="text1"/>
                <w:sz w:val="24"/>
                <w:highlight w:val="none"/>
                <w:lang w:val="en-US" w:eastAsia="zh-CN"/>
                <w14:textFill>
                  <w14:solidFill>
                    <w14:schemeClr w14:val="tx1"/>
                  </w14:solidFill>
                </w14:textFill>
              </w:rPr>
              <w:t>720</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lang w:val="en-US" w:eastAsia="zh-CN"/>
                <w14:textFill>
                  <w14:solidFill>
                    <w14:schemeClr w14:val="tx1"/>
                  </w14:solidFill>
                </w14:textFill>
              </w:rPr>
              <w:t>4.8</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r>
              <w:rPr>
                <w:rFonts w:hint="eastAsia" w:ascii="Times New Roman" w:hAnsi="Times New Roman" w:cs="Times New Roman"/>
                <w:color w:val="000000" w:themeColor="text1"/>
                <w:sz w:val="24"/>
                <w:highlight w:val="none"/>
                <w:lang w:val="en-US" w:eastAsia="zh-CN"/>
                <w14:textFill>
                  <w14:solidFill>
                    <w14:schemeClr w14:val="tx1"/>
                  </w14:solidFill>
                </w14:textFill>
              </w:rPr>
              <w:t>724.8</w:t>
            </w:r>
            <w:r>
              <w:rPr>
                <w:rFonts w:ascii="Times New Roman" w:hAnsi="Times New Roman" w:cs="Times New Roman"/>
                <w:color w:val="000000" w:themeColor="text1"/>
                <w:sz w:val="24"/>
                <w:highlight w:val="none"/>
                <w14:textFill>
                  <w14:solidFill>
                    <w14:schemeClr w14:val="tx1"/>
                  </w14:solidFill>
                </w14:textFill>
              </w:rPr>
              <w:t>m</w:t>
            </w:r>
            <w:r>
              <w:rPr>
                <w:rFonts w:ascii="Times New Roman" w:hAnsi="Times New Roman" w:cs="Times New Roman"/>
                <w:color w:val="000000" w:themeColor="text1"/>
                <w:sz w:val="24"/>
                <w:highlight w:val="none"/>
                <w:vertAlign w:val="superscript"/>
                <w14:textFill>
                  <w14:solidFill>
                    <w14:schemeClr w14:val="tx1"/>
                  </w14:solidFill>
                </w14:textFill>
              </w:rPr>
              <w:t>3</w:t>
            </w:r>
            <w:r>
              <w:rPr>
                <w:rFonts w:ascii="Times New Roman" w:hAnsi="Times New Roman" w:cs="Times New Roman"/>
                <w:color w:val="000000" w:themeColor="text1"/>
                <w:sz w:val="24"/>
                <w:highlight w:val="none"/>
                <w14:textFill>
                  <w14:solidFill>
                    <w14:schemeClr w14:val="tx1"/>
                  </w14:solidFill>
                </w14:textFill>
              </w:rPr>
              <w:t>/a。</w:t>
            </w:r>
          </w:p>
          <w:p w14:paraId="7D39210E">
            <w:pPr>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（2）排水</w:t>
            </w:r>
          </w:p>
          <w:p w14:paraId="778D25ED">
            <w:pPr>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主要排水为办公生活污水和</w:t>
            </w:r>
            <w:r>
              <w:rPr>
                <w:rFonts w:ascii="Times New Roman" w:hAnsi="Times New Roman" w:eastAsia="宋体" w:cs="Times New Roman"/>
                <w:bCs/>
                <w:color w:val="000000" w:themeColor="text1"/>
                <w:sz w:val="24"/>
                <w14:textFill>
                  <w14:solidFill>
                    <w14:schemeClr w14:val="tx1"/>
                  </w14:solidFill>
                </w14:textFill>
              </w:rPr>
              <w:t>间接冷却更换水</w:t>
            </w:r>
            <w:r>
              <w:rPr>
                <w:rFonts w:hint="eastAsia" w:ascii="Times New Roman" w:hAnsi="Times New Roman" w:eastAsia="宋体" w:cs="Times New Roman"/>
                <w:bCs/>
                <w:color w:val="000000" w:themeColor="text1"/>
                <w:sz w:val="24"/>
                <w14:textFill>
                  <w14:solidFill>
                    <w14:schemeClr w14:val="tx1"/>
                  </w14:solidFill>
                </w14:textFill>
              </w:rPr>
              <w:t>，根据《排放源统计调查产排污核算方法和系数手册》附表生活源产排污核算系数手册中的生活污水产生量核算，人均日生活用水量≤150L/（人•d），则排污系数按0.8计，则本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员工生活污水产生量为1</w:t>
            </w:r>
            <w:r>
              <w:rPr>
                <w:rFonts w:ascii="Times New Roman" w:hAnsi="Times New Roman" w:eastAsia="宋体" w:cs="Times New Roman"/>
                <w:bCs/>
                <w:color w:val="000000" w:themeColor="text1"/>
                <w:sz w:val="24"/>
                <w14:textFill>
                  <w14:solidFill>
                    <w14:schemeClr w14:val="tx1"/>
                  </w14:solidFill>
                </w14:textFill>
              </w:rPr>
              <w:t>60</w:t>
            </w:r>
            <w:r>
              <w:rPr>
                <w:rFonts w:hint="eastAsia" w:ascii="Times New Roman" w:hAnsi="Times New Roman" w:eastAsia="宋体" w:cs="Times New Roman"/>
                <w:bCs/>
                <w:color w:val="000000" w:themeColor="text1"/>
                <w:sz w:val="24"/>
                <w14:textFill>
                  <w14:solidFill>
                    <w14:schemeClr w14:val="tx1"/>
                  </w14:solidFill>
                </w14:textFill>
              </w:rPr>
              <w:t>t/a（</w:t>
            </w:r>
            <w:r>
              <w:rPr>
                <w:rFonts w:ascii="Times New Roman" w:hAnsi="Times New Roman" w:eastAsia="宋体" w:cs="Times New Roman"/>
                <w:bCs/>
                <w:color w:val="000000" w:themeColor="text1"/>
                <w:sz w:val="24"/>
                <w14:textFill>
                  <w14:solidFill>
                    <w14:schemeClr w14:val="tx1"/>
                  </w14:solidFill>
                </w14:textFill>
              </w:rPr>
              <w:t>0.53</w:t>
            </w:r>
            <w:r>
              <w:rPr>
                <w:rFonts w:hint="eastAsia" w:ascii="Times New Roman" w:hAnsi="Times New Roman" w:eastAsia="宋体" w:cs="Times New Roman"/>
                <w:bCs/>
                <w:color w:val="000000" w:themeColor="text1"/>
                <w:sz w:val="24"/>
                <w14:textFill>
                  <w14:solidFill>
                    <w14:schemeClr w14:val="tx1"/>
                  </w14:solidFill>
                </w14:textFill>
              </w:rPr>
              <w:t>t/d）。本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间接</w:t>
            </w:r>
            <w:r>
              <w:rPr>
                <w:rFonts w:ascii="Times New Roman" w:hAnsi="Times New Roman" w:eastAsia="宋体" w:cs="Times New Roman"/>
                <w:bCs/>
                <w:color w:val="000000" w:themeColor="text1"/>
                <w:sz w:val="24"/>
                <w14:textFill>
                  <w14:solidFill>
                    <w14:schemeClr w14:val="tx1"/>
                  </w14:solidFill>
                </w14:textFill>
              </w:rPr>
              <w:t>冷却</w:t>
            </w:r>
            <w:r>
              <w:rPr>
                <w:rFonts w:hint="eastAsia" w:ascii="Times New Roman" w:hAnsi="Times New Roman" w:eastAsia="宋体" w:cs="Times New Roman"/>
                <w:bCs/>
                <w:color w:val="000000" w:themeColor="text1"/>
                <w:sz w:val="24"/>
                <w14:textFill>
                  <w14:solidFill>
                    <w14:schemeClr w14:val="tx1"/>
                  </w14:solidFill>
                </w14:textFill>
              </w:rPr>
              <w:t>更换水</w:t>
            </w:r>
            <w:r>
              <w:rPr>
                <w:rFonts w:ascii="Times New Roman" w:hAnsi="Times New Roman" w:eastAsia="宋体" w:cs="Times New Roman"/>
                <w:bCs/>
                <w:color w:val="000000" w:themeColor="text1"/>
                <w:sz w:val="24"/>
                <w14:textFill>
                  <w14:solidFill>
                    <w14:schemeClr w14:val="tx1"/>
                  </w14:solidFill>
                </w14:textFill>
              </w:rPr>
              <w:t>一年一排，</w:t>
            </w:r>
            <w:r>
              <w:rPr>
                <w:rFonts w:hint="eastAsia" w:ascii="Times New Roman" w:hAnsi="Times New Roman" w:eastAsia="宋体" w:cs="Times New Roman"/>
                <w:bCs/>
                <w:color w:val="000000" w:themeColor="text1"/>
                <w:sz w:val="24"/>
                <w14:textFill>
                  <w14:solidFill>
                    <w14:schemeClr w14:val="tx1"/>
                  </w14:solidFill>
                </w14:textFill>
              </w:rPr>
              <w:t>间接</w:t>
            </w:r>
            <w:r>
              <w:rPr>
                <w:rFonts w:ascii="Times New Roman" w:hAnsi="Times New Roman" w:eastAsia="宋体" w:cs="Times New Roman"/>
                <w:bCs/>
                <w:color w:val="000000" w:themeColor="text1"/>
                <w:sz w:val="24"/>
                <w14:textFill>
                  <w14:solidFill>
                    <w14:schemeClr w14:val="tx1"/>
                  </w14:solidFill>
                </w14:textFill>
              </w:rPr>
              <w:t>冷却</w:t>
            </w:r>
            <w:r>
              <w:rPr>
                <w:rFonts w:hint="eastAsia" w:ascii="Times New Roman" w:hAnsi="Times New Roman" w:eastAsia="宋体" w:cs="Times New Roman"/>
                <w:bCs/>
                <w:color w:val="000000" w:themeColor="text1"/>
                <w:sz w:val="24"/>
                <w14:textFill>
                  <w14:solidFill>
                    <w14:schemeClr w14:val="tx1"/>
                  </w14:solidFill>
                </w14:textFill>
              </w:rPr>
              <w:t>水</w:t>
            </w:r>
            <w:r>
              <w:rPr>
                <w:rFonts w:ascii="Times New Roman" w:hAnsi="Times New Roman" w:eastAsia="宋体" w:cs="Times New Roman"/>
                <w:bCs/>
                <w:color w:val="000000" w:themeColor="text1"/>
                <w:sz w:val="24"/>
                <w14:textFill>
                  <w14:solidFill>
                    <w14:schemeClr w14:val="tx1"/>
                  </w14:solidFill>
                </w14:textFill>
              </w:rPr>
              <w:t>更换量为</w:t>
            </w:r>
            <w:r>
              <w:rPr>
                <w:rFonts w:hint="eastAsia" w:ascii="Times New Roman" w:hAnsi="Times New Roman" w:eastAsia="宋体" w:cs="Times New Roman"/>
                <w:bCs/>
                <w:color w:val="000000" w:themeColor="text1"/>
                <w:sz w:val="24"/>
                <w14:textFill>
                  <w14:solidFill>
                    <w14:schemeClr w14:val="tx1"/>
                  </w14:solidFill>
                </w14:textFill>
              </w:rPr>
              <w:t>25</w:t>
            </w:r>
            <w:r>
              <w:rPr>
                <w:rFonts w:ascii="Times New Roman" w:hAnsi="Times New Roman" w:eastAsia="宋体" w:cs="Times New Roman"/>
                <w:bCs/>
                <w:color w:val="000000" w:themeColor="text1"/>
                <w:sz w:val="24"/>
                <w14:textFill>
                  <w14:solidFill>
                    <w14:schemeClr w14:val="tx1"/>
                  </w14:solidFill>
                </w14:textFill>
              </w:rPr>
              <w:t>t/a。</w:t>
            </w: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办公生活污水经三级化粪池处理后汇同间接冷却更换水经管网排入园区污水处理厂处理，最后排入武江（乐昌城-犁市）河段。</w:t>
            </w:r>
          </w:p>
          <w:p w14:paraId="61D187D3">
            <w:pPr>
              <w:spacing w:line="360" w:lineRule="auto"/>
              <w:rPr>
                <w:rFonts w:hint="eastAsia" w:eastAsiaTheme="minorEastAsia"/>
                <w:color w:val="000000" w:themeColor="text1"/>
                <w:lang w:eastAsia="zh-CN"/>
                <w14:textFill>
                  <w14:solidFill>
                    <w14:schemeClr w14:val="tx1"/>
                  </w14:solidFill>
                </w14:textFill>
              </w:rPr>
            </w:pPr>
            <w:r>
              <w:rPr>
                <w:rFonts w:hint="eastAsia" w:eastAsiaTheme="minorEastAsia"/>
                <w:color w:val="000000" w:themeColor="text1"/>
                <w:lang w:eastAsia="zh-CN"/>
                <w14:textFill>
                  <w14:solidFill>
                    <w14:schemeClr w14:val="tx1"/>
                  </w14:solidFill>
                </w14:textFill>
              </w:rPr>
              <w:drawing>
                <wp:inline distT="0" distB="0" distL="114300" distR="114300">
                  <wp:extent cx="4951095" cy="2792095"/>
                  <wp:effectExtent l="0" t="0" r="1905" b="8255"/>
                  <wp:docPr id="71" name="图片 71" descr="fac49e8c6b9e34350352e30d356f8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fac49e8c6b9e34350352e30d356f8090"/>
                          <pic:cNvPicPr>
                            <a:picLocks noChangeAspect="1"/>
                          </pic:cNvPicPr>
                        </pic:nvPicPr>
                        <pic:blipFill>
                          <a:blip r:embed="rId16"/>
                          <a:stretch>
                            <a:fillRect/>
                          </a:stretch>
                        </pic:blipFill>
                        <pic:spPr>
                          <a:xfrm>
                            <a:off x="0" y="0"/>
                            <a:ext cx="4951095" cy="2792095"/>
                          </a:xfrm>
                          <a:prstGeom prst="rect">
                            <a:avLst/>
                          </a:prstGeom>
                        </pic:spPr>
                      </pic:pic>
                    </a:graphicData>
                  </a:graphic>
                </wp:inline>
              </w:drawing>
            </w:r>
          </w:p>
          <w:p w14:paraId="1F7EA48C">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图2-3 本项目水平衡示意图（单位：t/a）</w:t>
            </w:r>
          </w:p>
          <w:p w14:paraId="45752578">
            <w:pPr>
              <w:spacing w:line="360" w:lineRule="auto"/>
              <w:ind w:firstLine="480" w:firstLineChars="200"/>
              <w:rPr>
                <w:rFonts w:ascii="Times New Roman" w:hAnsi="Times New Roman" w:eastAsia="宋体" w:cs="Times New Roman"/>
                <w:color w:val="000000" w:themeColor="text1"/>
                <w:sz w:val="24"/>
                <w:lang w:val="zh-CN"/>
                <w14:textFill>
                  <w14:solidFill>
                    <w14:schemeClr w14:val="tx1"/>
                  </w14:solidFill>
                </w14:textFill>
              </w:rPr>
            </w:pPr>
            <w:r>
              <w:rPr>
                <w:rFonts w:hint="eastAsia" w:ascii="Times New Roman" w:hAnsi="Times New Roman" w:eastAsia="宋体" w:cs="Times New Roman"/>
                <w:color w:val="000000" w:themeColor="text1"/>
                <w:sz w:val="24"/>
                <w:lang w:val="zh-CN"/>
                <w14:textFill>
                  <w14:solidFill>
                    <w14:schemeClr w14:val="tx1"/>
                  </w14:solidFill>
                </w14:textFill>
              </w:rPr>
              <w:t>7、能耗情况及计算过程</w:t>
            </w:r>
          </w:p>
          <w:p w14:paraId="538F9DF7">
            <w:pPr>
              <w:tabs>
                <w:tab w:val="left" w:pos="2173"/>
              </w:tabs>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用电由园区电网提供，能保证本项目正常供电，</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用电量约30万度/年。</w:t>
            </w:r>
          </w:p>
          <w:p w14:paraId="4497E12D">
            <w:pPr>
              <w:tabs>
                <w:tab w:val="left" w:pos="2173"/>
              </w:tabs>
              <w:spacing w:line="360" w:lineRule="auto"/>
              <w:ind w:firstLine="480" w:firstLineChars="200"/>
              <w:rPr>
                <w:rFonts w:ascii="Times New Roman" w:hAnsi="Times New Roman" w:eastAsia="宋体" w:cs="Times New Roman"/>
                <w:color w:val="000000" w:themeColor="text1"/>
                <w:sz w:val="24"/>
                <w:lang w:val="zh-CN"/>
                <w14:textFill>
                  <w14:solidFill>
                    <w14:schemeClr w14:val="tx1"/>
                  </w14:solidFill>
                </w14:textFill>
              </w:rPr>
            </w:pPr>
            <w:r>
              <w:rPr>
                <w:rFonts w:hint="eastAsia" w:ascii="Times New Roman" w:hAnsi="Times New Roman" w:eastAsia="宋体" w:cs="Times New Roman"/>
                <w:color w:val="000000" w:themeColor="text1"/>
                <w:sz w:val="24"/>
                <w:lang w:val="zh-CN"/>
                <w14:textFill>
                  <w14:solidFill>
                    <w14:schemeClr w14:val="tx1"/>
                  </w14:solidFill>
                </w14:textFill>
              </w:rPr>
              <w:t>8 、平面布局情况</w:t>
            </w:r>
          </w:p>
          <w:p w14:paraId="282EC242">
            <w:pPr>
              <w:tabs>
                <w:tab w:val="left" w:pos="2173"/>
              </w:tabs>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位于乐昌市乐昌产业转移工业园环园东路19号（厂房），占地面积为</w:t>
            </w:r>
            <w:r>
              <w:rPr>
                <w:rFonts w:ascii="Times New Roman" w:hAnsi="Times New Roman" w:eastAsia="宋体" w:cs="Times New Roman"/>
                <w:bCs/>
                <w:color w:val="000000" w:themeColor="text1"/>
                <w:sz w:val="24"/>
                <w14:textFill>
                  <w14:solidFill>
                    <w14:schemeClr w14:val="tx1"/>
                  </w14:solidFill>
                </w14:textFill>
              </w:rPr>
              <w:t>10679.3</w:t>
            </w:r>
            <w:r>
              <w:rPr>
                <w:rFonts w:hint="eastAsia" w:ascii="Times New Roman" w:hAnsi="Times New Roman" w:eastAsia="宋体" w:cs="Times New Roman"/>
                <w:bCs/>
                <w:color w:val="000000" w:themeColor="text1"/>
                <w:sz w:val="24"/>
                <w14:textFill>
                  <w14:solidFill>
                    <w14:schemeClr w14:val="tx1"/>
                  </w14:solidFill>
                </w14:textFill>
              </w:rPr>
              <w:t>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 xml:space="preserve"> ，建筑面积为</w:t>
            </w:r>
            <w:r>
              <w:rPr>
                <w:rFonts w:ascii="Times New Roman" w:hAnsi="Times New Roman" w:eastAsia="宋体" w:cs="Times New Roman"/>
                <w:bCs/>
                <w:color w:val="000000" w:themeColor="text1"/>
                <w:sz w:val="24"/>
                <w14:textFill>
                  <w14:solidFill>
                    <w14:schemeClr w14:val="tx1"/>
                  </w14:solidFill>
                </w14:textFill>
              </w:rPr>
              <w:t>6714.46</w:t>
            </w:r>
            <w:r>
              <w:rPr>
                <w:rFonts w:hint="eastAsia" w:ascii="Times New Roman" w:hAnsi="Times New Roman" w:eastAsia="宋体" w:cs="Times New Roman"/>
                <w:bCs/>
                <w:color w:val="000000" w:themeColor="text1"/>
                <w:sz w:val="24"/>
                <w14:textFill>
                  <w14:solidFill>
                    <w14:schemeClr w14:val="tx1"/>
                  </w14:solidFill>
                </w14:textFill>
              </w:rPr>
              <w:t>平方米，包含厂房、办公楼、仓库等相关配套设施。其中厂房5243.22平方米，办公楼</w:t>
            </w:r>
            <w:r>
              <w:rPr>
                <w:rFonts w:ascii="Times New Roman" w:hAnsi="Times New Roman" w:eastAsia="宋体" w:cs="Times New Roman"/>
                <w:bCs/>
                <w:color w:val="000000" w:themeColor="text1"/>
                <w:sz w:val="24"/>
                <w14:textFill>
                  <w14:solidFill>
                    <w14:schemeClr w14:val="tx1"/>
                  </w14:solidFill>
                </w14:textFill>
              </w:rPr>
              <w:t>1471.24</w:t>
            </w:r>
            <w:r>
              <w:rPr>
                <w:rFonts w:hint="eastAsia" w:ascii="Times New Roman" w:hAnsi="Times New Roman" w:eastAsia="宋体" w:cs="Times New Roman"/>
                <w:bCs/>
                <w:color w:val="000000" w:themeColor="text1"/>
                <w:sz w:val="24"/>
                <w14:textFill>
                  <w14:solidFill>
                    <w14:schemeClr w14:val="tx1"/>
                  </w14:solidFill>
                </w14:textFill>
              </w:rPr>
              <w:t>平方米。厂房内分为橡胶浇注区、喷漆区、机加工区、造型区、熔炼区、浇注区、砂处理区、落砂区、打磨区、抛丸区，项目平面布置图见附图</w:t>
            </w:r>
            <w:r>
              <w:rPr>
                <w:rFonts w:ascii="Times New Roman" w:hAnsi="Times New Roman" w:eastAsia="宋体" w:cs="Times New Roman"/>
                <w:bCs/>
                <w:color w:val="000000" w:themeColor="text1"/>
                <w:sz w:val="24"/>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w:t>
            </w:r>
          </w:p>
          <w:p w14:paraId="323659DF">
            <w:pPr>
              <w:tabs>
                <w:tab w:val="left" w:pos="2173"/>
              </w:tabs>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9、四至情况</w:t>
            </w:r>
          </w:p>
          <w:p w14:paraId="1172A12B">
            <w:pPr>
              <w:tabs>
                <w:tab w:val="left" w:pos="2173"/>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w:t>
            </w:r>
            <w:r>
              <w:rPr>
                <w:rFonts w:hint="eastAsia" w:ascii="Times New Roman" w:hAnsi="Times New Roman" w:cs="Times New Roman"/>
                <w:color w:val="000000" w:themeColor="text1"/>
                <w:sz w:val="24"/>
                <w:lang w:eastAsia="zh-CN"/>
                <w14:textFill>
                  <w14:solidFill>
                    <w14:schemeClr w14:val="tx1"/>
                  </w14:solidFill>
                </w14:textFill>
              </w:rPr>
              <w:t>项目</w:t>
            </w:r>
            <w:r>
              <w:rPr>
                <w:rFonts w:hint="eastAsia" w:ascii="Times New Roman" w:hAnsi="Times New Roman" w:cs="Times New Roman"/>
                <w:color w:val="000000" w:themeColor="text1"/>
                <w:sz w:val="24"/>
                <w14:textFill>
                  <w14:solidFill>
                    <w14:schemeClr w14:val="tx1"/>
                  </w14:solidFill>
                </w14:textFill>
              </w:rPr>
              <w:t>位于乐昌市乐昌产业转移工业园环园东路19号（厂房），</w:t>
            </w:r>
            <w:r>
              <w:rPr>
                <w:rFonts w:hint="eastAsia" w:ascii="Times New Roman" w:hAnsi="Times New Roman" w:cs="Times New Roman"/>
                <w:color w:val="000000" w:themeColor="text1"/>
                <w:sz w:val="24"/>
                <w:lang w:eastAsia="zh-CN"/>
                <w14:textFill>
                  <w14:solidFill>
                    <w14:schemeClr w14:val="tx1"/>
                  </w14:solidFill>
                </w14:textFill>
              </w:rPr>
              <w:t>项目</w:t>
            </w:r>
            <w:r>
              <w:rPr>
                <w:rFonts w:hint="eastAsia" w:ascii="Times New Roman" w:hAnsi="Times New Roman" w:cs="Times New Roman"/>
                <w:color w:val="000000" w:themeColor="text1"/>
                <w:sz w:val="24"/>
                <w14:textFill>
                  <w14:solidFill>
                    <w14:schemeClr w14:val="tx1"/>
                  </w14:solidFill>
                </w14:textFill>
              </w:rPr>
              <w:t>东面为道路及空地，南面广东精准人防备件有限公司，西面为韶关韶瑞铸钢有限公司，北面为韶关鑫瑞智能有限公司。</w:t>
            </w:r>
            <w:r>
              <w:rPr>
                <w:rFonts w:hint="eastAsia" w:ascii="Times New Roman" w:hAnsi="Times New Roman" w:cs="Times New Roman"/>
                <w:color w:val="000000" w:themeColor="text1"/>
                <w:sz w:val="24"/>
                <w:lang w:eastAsia="zh-CN"/>
                <w14:textFill>
                  <w14:solidFill>
                    <w14:schemeClr w14:val="tx1"/>
                  </w14:solidFill>
                </w14:textFill>
              </w:rPr>
              <w:t>项目</w:t>
            </w:r>
            <w:r>
              <w:rPr>
                <w:rFonts w:hint="eastAsia" w:ascii="Times New Roman" w:hAnsi="Times New Roman" w:cs="Times New Roman"/>
                <w:color w:val="000000" w:themeColor="text1"/>
                <w:sz w:val="24"/>
                <w14:textFill>
                  <w14:solidFill>
                    <w14:schemeClr w14:val="tx1"/>
                  </w14:solidFill>
                </w14:textFill>
              </w:rPr>
              <w:t>地理位置图见附图1，项目四至图见附图3。</w:t>
            </w:r>
          </w:p>
        </w:tc>
      </w:tr>
      <w:tr w14:paraId="1CF696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3" w:type="dxa"/>
            <w:tcBorders>
              <w:top w:val="single" w:color="auto" w:sz="8" w:space="0"/>
              <w:left w:val="single" w:color="auto" w:sz="8" w:space="0"/>
              <w:bottom w:val="single" w:color="auto" w:sz="8" w:space="0"/>
              <w:right w:val="single" w:color="auto" w:sz="4" w:space="0"/>
            </w:tcBorders>
            <w:vAlign w:val="center"/>
          </w:tcPr>
          <w:p w14:paraId="3B82E934">
            <w:pPr>
              <w:pStyle w:val="39"/>
              <w:adjustRightInd w:val="0"/>
              <w:snapToGrid w:val="0"/>
              <w:spacing w:beforeAutospacing="0" w:afterAutospacing="0"/>
              <w:jc w:val="center"/>
              <w:rPr>
                <w:rFonts w:hint="default" w:cs="宋体"/>
                <w:color w:val="000000" w:themeColor="text1"/>
                <w:sz w:val="21"/>
                <w:szCs w:val="21"/>
                <w14:textFill>
                  <w14:solidFill>
                    <w14:schemeClr w14:val="tx1"/>
                  </w14:solidFill>
                </w14:textFill>
              </w:rPr>
            </w:pPr>
            <w:r>
              <w:rPr>
                <w:rFonts w:cs="宋体"/>
                <w:color w:val="000000" w:themeColor="text1"/>
                <w:sz w:val="21"/>
                <w:szCs w:val="21"/>
                <w14:textFill>
                  <w14:solidFill>
                    <w14:schemeClr w14:val="tx1"/>
                  </w14:solidFill>
                </w14:textFill>
              </w:rPr>
              <w:t>工艺流程和产排污环节</w:t>
            </w:r>
          </w:p>
        </w:tc>
        <w:tc>
          <w:tcPr>
            <w:tcW w:w="8207" w:type="dxa"/>
            <w:tcBorders>
              <w:top w:val="single" w:color="auto" w:sz="8" w:space="0"/>
              <w:left w:val="single" w:color="auto" w:sz="4" w:space="0"/>
              <w:bottom w:val="single" w:color="auto" w:sz="8" w:space="0"/>
              <w:right w:val="single" w:color="auto" w:sz="8" w:space="0"/>
            </w:tcBorders>
          </w:tcPr>
          <w:p w14:paraId="28393E58">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w:t>
            </w:r>
            <w:r>
              <w:rPr>
                <w:rFonts w:hint="eastAsia"/>
                <w:color w:val="000000" w:themeColor="text1"/>
                <w:sz w:val="24"/>
                <w:lang w:eastAsia="zh-CN"/>
                <w14:textFill>
                  <w14:solidFill>
                    <w14:schemeClr w14:val="tx1"/>
                  </w14:solidFill>
                </w14:textFill>
              </w:rPr>
              <w:t>项目</w:t>
            </w:r>
            <w:r>
              <w:rPr>
                <w:rFonts w:hint="eastAsia"/>
                <w:color w:val="000000" w:themeColor="text1"/>
                <w:sz w:val="24"/>
                <w14:textFill>
                  <w14:solidFill>
                    <w14:schemeClr w14:val="tx1"/>
                  </w14:solidFill>
                </w14:textFill>
              </w:rPr>
              <w:t>生产工艺流程和产污节点如下所述：</w:t>
            </w:r>
          </w:p>
          <w:p w14:paraId="65F4A051">
            <w:pPr>
              <w:tabs>
                <w:tab w:val="center" w:pos="4236"/>
              </w:tabs>
              <w:adjustRightInd w:val="0"/>
              <w:snapToGrid w:val="0"/>
              <w:spacing w:line="360" w:lineRule="auto"/>
              <w:ind w:firstLine="720" w:firstLineChars="300"/>
              <w:rPr>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1、</w:t>
            </w:r>
            <w:r>
              <w:rPr>
                <w:rFonts w:hint="eastAsia"/>
                <w:b/>
                <w:bCs/>
                <w:color w:val="000000" w:themeColor="text1"/>
                <w:sz w:val="24"/>
                <w14:textFill>
                  <w14:solidFill>
                    <w14:schemeClr w14:val="tx1"/>
                  </w14:solidFill>
                </w14:textFill>
              </w:rPr>
              <w:t>生产工艺流程</w:t>
            </w:r>
            <w:r>
              <w:rPr>
                <w:rFonts w:ascii="Times New Roman" w:hAnsi="Times New Roman" w:eastAsia="宋体" w:cs="Times New Roman"/>
                <w:b/>
                <w:bCs/>
                <w:color w:val="000000" w:themeColor="text1"/>
                <w:sz w:val="24"/>
                <w14:textFill>
                  <w14:solidFill>
                    <w14:schemeClr w14:val="tx1"/>
                  </w14:solidFill>
                </w14:textFill>
              </w:rPr>
              <w:tab/>
            </w:r>
          </w:p>
          <w:p w14:paraId="74B7256E">
            <w:pPr>
              <w:adjustRightInd w:val="0"/>
              <w:snapToGri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工艺流程见图</w:t>
            </w:r>
            <w:r>
              <w:rPr>
                <w:rFonts w:ascii="Times New Roman" w:hAnsi="Times New Roman" w:eastAsia="宋体" w:cs="Times New Roman"/>
                <w:color w:val="000000" w:themeColor="text1"/>
                <w:sz w:val="24"/>
                <w14:textFill>
                  <w14:solidFill>
                    <w14:schemeClr w14:val="tx1"/>
                  </w14:solidFill>
                </w14:textFill>
              </w:rPr>
              <w:t>2-2</w:t>
            </w:r>
          </w:p>
          <w:p w14:paraId="0B3CAEF9">
            <w:pPr>
              <w:tabs>
                <w:tab w:val="left" w:pos="3278"/>
              </w:tabs>
              <w:adjustRightInd w:val="0"/>
              <w:snapToGrid w:val="0"/>
              <w:spacing w:line="360" w:lineRule="auto"/>
              <w:ind w:firstLine="420" w:firstLineChars="200"/>
              <w:jc w:val="center"/>
              <w:rPr>
                <w:color w:val="000000" w:themeColor="text1"/>
                <w14:textFill>
                  <w14:solidFill>
                    <w14:schemeClr w14:val="tx1"/>
                  </w14:solidFill>
                </w14:textFill>
              </w:rPr>
            </w:pPr>
            <w:r>
              <w:rPr>
                <w:color w:val="000000" w:themeColor="text1"/>
                <w:sz w:val="21"/>
                <w14:textFill>
                  <w14:solidFill>
                    <w14:schemeClr w14:val="tx1"/>
                  </w14:solidFill>
                </w14:textFill>
              </w:rPr>
              <mc:AlternateContent>
                <mc:Choice Requires="wps">
                  <w:drawing>
                    <wp:anchor distT="0" distB="0" distL="114300" distR="114300" simplePos="0" relativeHeight="251727872" behindDoc="0" locked="0" layoutInCell="1" allowOverlap="1">
                      <wp:simplePos x="0" y="0"/>
                      <wp:positionH relativeFrom="column">
                        <wp:posOffset>4089400</wp:posOffset>
                      </wp:positionH>
                      <wp:positionV relativeFrom="paragraph">
                        <wp:posOffset>1748155</wp:posOffset>
                      </wp:positionV>
                      <wp:extent cx="967105" cy="333375"/>
                      <wp:effectExtent l="0" t="0" r="0" b="0"/>
                      <wp:wrapNone/>
                      <wp:docPr id="72" name="文本框 72"/>
                      <wp:cNvGraphicFramePr/>
                      <a:graphic xmlns:a="http://schemas.openxmlformats.org/drawingml/2006/main">
                        <a:graphicData uri="http://schemas.microsoft.com/office/word/2010/wordprocessingShape">
                          <wps:wsp>
                            <wps:cNvSpPr txBox="1"/>
                            <wps:spPr>
                              <a:xfrm>
                                <a:off x="5955030" y="3060065"/>
                                <a:ext cx="967105" cy="3333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75CC5">
                                  <w:pPr>
                                    <w:rPr>
                                      <w:rFonts w:hint="default" w:eastAsiaTheme="minorEastAsia"/>
                                      <w:lang w:val="en-US" w:eastAsia="zh-CN"/>
                                    </w:rPr>
                                  </w:pPr>
                                  <w:r>
                                    <w:rPr>
                                      <w:rFonts w:hint="eastAsia"/>
                                      <w:lang w:val="en-US" w:eastAsia="zh-CN"/>
                                    </w:rPr>
                                    <w:t>、清洗废液</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pt;margin-top:137.65pt;height:26.25pt;width:76.15pt;z-index:251727872;mso-width-relative:page;mso-height-relative:page;" filled="f" stroked="f" coordsize="21600,21600" o:gfxdata="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qMDgXdAAAACwEAAA8AAAAA&#10;AAAAAQAgAAAAIgAAAGRycy9kb3ducmV2LnhtbFBLAQIUABQAAAAIAIdO4kB+aehtSAIAAHMEAAAO&#10;AAAAAAAAAAEAIAAAACwBAABkcnMvZTJvRG9jLnhtbFBLBQYAAAAABgAGAFkBAADmBQAAAAA=&#10;">
                      <v:fill on="f" focussize="0,0"/>
                      <v:stroke on="f" weight="0.5pt"/>
                      <v:imagedata o:title=""/>
                      <o:lock v:ext="edit" aspectratio="f"/>
                      <v:textbox>
                        <w:txbxContent>
                          <w:p w14:paraId="6E175CC5">
                            <w:pPr>
                              <w:rPr>
                                <w:rFonts w:hint="default" w:eastAsiaTheme="minorEastAsia"/>
                                <w:lang w:val="en-US" w:eastAsia="zh-CN"/>
                              </w:rPr>
                            </w:pPr>
                            <w:r>
                              <w:rPr>
                                <w:rFonts w:hint="eastAsia"/>
                                <w:lang w:val="en-US" w:eastAsia="zh-CN"/>
                              </w:rPr>
                              <w:t>、清洗废液</w:t>
                            </w:r>
                          </w:p>
                        </w:txbxContent>
                      </v:textbox>
                    </v:shape>
                  </w:pict>
                </mc:Fallback>
              </mc:AlternateContent>
            </w:r>
            <w:r>
              <w:rPr>
                <w:color w:val="000000" w:themeColor="text1"/>
                <w14:textFill>
                  <w14:solidFill>
                    <w14:schemeClr w14:val="tx1"/>
                  </w14:solidFill>
                </w14:textFill>
              </w:rPr>
              <w:object>
                <v:shape id="_x0000_i1025" o:spt="75" type="#_x0000_t75" style="height:378.25pt;width:358.15pt;" o:ole="t" filled="f" o:preferrelative="t" stroked="f" coordsize="21600,21600">
                  <v:path/>
                  <v:fill on="f" focussize="0,0"/>
                  <v:stroke on="f" joinstyle="miter"/>
                  <v:imagedata r:id="rId17" o:title=""/>
                  <o:lock v:ext="edit" aspectratio="t"/>
                  <w10:wrap type="none"/>
                  <w10:anchorlock/>
                </v:shape>
                <o:OLEObject Type="Embed" ProgID="Visio.Drawing.15" ShapeID="_x0000_i1025" DrawAspect="Content" ObjectID="_1468075725">
                  <o:LockedField>false</o:LockedField>
                </o:OLEObject>
              </w:object>
            </w:r>
          </w:p>
          <w:p w14:paraId="47ECD16C">
            <w:pPr>
              <w:tabs>
                <w:tab w:val="left" w:pos="3278"/>
              </w:tabs>
              <w:adjustRightInd w:val="0"/>
              <w:snapToGrid w:val="0"/>
              <w:spacing w:line="360" w:lineRule="auto"/>
              <w:ind w:firstLine="420" w:firstLineChars="200"/>
              <w:jc w:val="center"/>
              <w:rPr>
                <w:color w:val="000000" w:themeColor="text1"/>
                <w14:textFill>
                  <w14:solidFill>
                    <w14:schemeClr w14:val="tx1"/>
                  </w14:solidFill>
                </w14:textFill>
              </w:rPr>
            </w:pPr>
            <w:r>
              <w:rPr>
                <w:rFonts w:hint="eastAsia" w:asciiTheme="majorEastAsia" w:hAnsiTheme="majorEastAsia" w:eastAsiaTheme="majorEastAsia"/>
                <w:b/>
                <w:color w:val="000000" w:themeColor="text1"/>
                <w:szCs w:val="21"/>
                <w14:textFill>
                  <w14:solidFill>
                    <w14:schemeClr w14:val="tx1"/>
                  </w14:solidFill>
                </w14:textFill>
              </w:rPr>
              <w:t>图</w:t>
            </w:r>
            <w:r>
              <w:rPr>
                <w:rFonts w:ascii="Times New Roman" w:hAnsi="Times New Roman" w:cs="Times New Roman" w:eastAsiaTheme="majorEastAsia"/>
                <w:b/>
                <w:color w:val="000000" w:themeColor="text1"/>
                <w:szCs w:val="21"/>
                <w14:textFill>
                  <w14:solidFill>
                    <w14:schemeClr w14:val="tx1"/>
                  </w14:solidFill>
                </w14:textFill>
              </w:rPr>
              <w:t>2-2脚轮</w:t>
            </w:r>
            <w:r>
              <w:rPr>
                <w:rFonts w:asciiTheme="majorEastAsia" w:hAnsiTheme="majorEastAsia" w:eastAsiaTheme="majorEastAsia"/>
                <w:b/>
                <w:color w:val="000000" w:themeColor="text1"/>
                <w:szCs w:val="21"/>
                <w14:textFill>
                  <w14:solidFill>
                    <w14:schemeClr w14:val="tx1"/>
                  </w14:solidFill>
                </w14:textFill>
              </w:rPr>
              <w:t>生产工艺流程及产污节点图</w:t>
            </w:r>
          </w:p>
          <w:p w14:paraId="55761BA6">
            <w:pPr>
              <w:adjustRightInd w:val="0"/>
              <w:snapToGri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金属制孔：构件使用的高强度螺栓（大六角头螺栓）等孔用冲孔的制作方法，采用数控车床制孔。此工序会产生粉尘、噪声、固废、废切削液。</w:t>
            </w:r>
          </w:p>
          <w:p w14:paraId="5191200A">
            <w:pPr>
              <w:adjustRightInd w:val="0"/>
              <w:snapToGri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抛丸：采用抛丸机去除金属五金件表面氧化皮等杂质提高外观质量，提高工件表面的光洁度，也提高了工件后续喷漆的漆膜附着力。此工序会产生粉尘、噪声、废布袋。</w:t>
            </w:r>
          </w:p>
          <w:p w14:paraId="026EDDB8">
            <w:pPr>
              <w:adjustRightInd w:val="0"/>
              <w:snapToGri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刷胶：在刷胶前对金属五金件进行清洗，采用异丙醇清洗剂清洗，将异丙醇：水按7∶3调配得异丙醇清洗剂，将硅酮胶和异丙醇按照3:1的比例混合，涂刷在轮的金属表面，帮助和促进浇注型聚氨酯弹性体附着至金属表面。将白电油涂抹于模具金属表面，方便脱模。此工序会产生有机废气、清洗废液、废包装材料及设备运行噪声。</w:t>
            </w:r>
          </w:p>
          <w:p w14:paraId="563EEFF0">
            <w:pPr>
              <w:adjustRightInd w:val="0"/>
              <w:snapToGri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浇注：将聚氨酯预聚体A料、聚氨酯预聚体B料分别置于浇注机的A罐和B罐，按照一定的比例混合后进行浇注。此工序会产生有机废气、废包装材料。</w:t>
            </w:r>
            <w:r>
              <w:rPr>
                <w:rFonts w:hint="eastAsia" w:ascii="Times New Roman" w:hAnsi="Times New Roman" w:eastAsia="宋体" w:cs="Times New Roman"/>
                <w:bCs/>
                <w:color w:val="000000" w:themeColor="text1"/>
                <w:sz w:val="24"/>
                <w:lang w:val="en-US" w:eastAsia="zh-CN"/>
                <w14:textFill>
                  <w14:solidFill>
                    <w14:schemeClr w14:val="tx1"/>
                  </w14:solidFill>
                </w14:textFill>
              </w:rPr>
              <w:t>本项目浇注时将双组分物料通过浇注机混合腔内混合后再浇注到模具中，工作过程中会残留不断熟化的聚氨酯。它对设备内壁附着力很强，如果不及时清除，会影响浇注工作的正常进行。本项目清洗浇注机时采用白电油去延缓残留物的反应速度和附着力。然后，让强力的压缩空气迅速吹掉残留物。将白电油注入浇注机的密闭清洗罐中。清洗时将清洗通道与注口对位，白电油清洗液经压缩空气加压后，通过密闭清洗通道输送到注口流出。该过程会挥发少量非甲烷总烃，并产生清洗废液。</w:t>
            </w:r>
          </w:p>
          <w:p w14:paraId="23FFFBE2">
            <w:pPr>
              <w:adjustRightInd w:val="0"/>
              <w:snapToGri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烘干脱模：采用电能作为热源烘干，零件浇注烘干后脱模。此烘干脱模工序会产生有机废气。</w:t>
            </w:r>
          </w:p>
          <w:p w14:paraId="120DD737">
            <w:pPr>
              <w:adjustRightInd w:val="0"/>
              <w:snapToGri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修边去胶：脱模后的零件进行修边去胶，该工序会产生废树脂。</w:t>
            </w:r>
          </w:p>
          <w:p w14:paraId="6DACE5BE">
            <w:pPr>
              <w:adjustRightInd w:val="0"/>
              <w:snapToGri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喷漆：将面漆、面漆稀释剂按照</w:t>
            </w:r>
            <w:r>
              <w:rPr>
                <w:rFonts w:ascii="Times New Roman" w:hAnsi="Times New Roman" w:eastAsia="宋体" w:cs="Times New Roman"/>
                <w:color w:val="000000" w:themeColor="text1"/>
                <w:sz w:val="24"/>
                <w14:textFill>
                  <w14:solidFill>
                    <w14:schemeClr w14:val="tx1"/>
                  </w14:solidFill>
                </w14:textFill>
              </w:rPr>
              <w:t>12.1</w:t>
            </w:r>
            <w:r>
              <w:rPr>
                <w:rFonts w:ascii="宋体" w:hAnsi="宋体" w:eastAsia="宋体" w:cs="宋体"/>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1</w:t>
            </w:r>
            <w:r>
              <w:rPr>
                <w:rFonts w:hint="eastAsia" w:ascii="Times New Roman" w:hAnsi="Times New Roman" w:eastAsia="宋体" w:cs="Times New Roman"/>
                <w:color w:val="000000" w:themeColor="text1"/>
                <w:sz w:val="24"/>
                <w14:textFill>
                  <w14:solidFill>
                    <w14:schemeClr w14:val="tx1"/>
                  </w14:solidFill>
                </w14:textFill>
              </w:rPr>
              <w:t>的比例进行混合后，混合后的面漆与银粉按照</w:t>
            </w:r>
            <w:r>
              <w:rPr>
                <w:rFonts w:ascii="Times New Roman" w:hAnsi="Times New Roman" w:eastAsia="宋体" w:cs="Times New Roman"/>
                <w:color w:val="000000" w:themeColor="text1"/>
                <w:sz w:val="24"/>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1的比例混合后用于零件的喷涂。喷枪清洗在喷漆柜内操作，清洗频次为每天清洗一次，喷枪清洗采用异丙醇作为清洗剂，将清洗液通入喷枪中，摇晃漆枪，让清洗液充分与喷枪内部接触，后将清洗液倒出收集，清洗废液交由资质单位处理，上述工序会产生有机废气、噪声、废包装材料、废含漆抹布及手套和清洗废液。</w:t>
            </w:r>
          </w:p>
        </w:tc>
      </w:tr>
      <w:tr w14:paraId="1C2C52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3" w:type="dxa"/>
            <w:tcBorders>
              <w:top w:val="single" w:color="auto" w:sz="8" w:space="0"/>
              <w:left w:val="single" w:color="auto" w:sz="8" w:space="0"/>
              <w:bottom w:val="single" w:color="auto" w:sz="8" w:space="0"/>
              <w:right w:val="single" w:color="auto" w:sz="4" w:space="0"/>
            </w:tcBorders>
            <w:vAlign w:val="center"/>
          </w:tcPr>
          <w:p w14:paraId="3AEAE77A">
            <w:pPr>
              <w:pStyle w:val="39"/>
              <w:adjustRightInd w:val="0"/>
              <w:snapToGrid w:val="0"/>
              <w:spacing w:beforeAutospacing="0" w:afterAutospacing="0"/>
              <w:jc w:val="center"/>
              <w:rPr>
                <w:rFonts w:hint="default" w:cs="宋体"/>
                <w:color w:val="000000" w:themeColor="text1"/>
                <w:sz w:val="21"/>
                <w:szCs w:val="21"/>
                <w14:textFill>
                  <w14:solidFill>
                    <w14:schemeClr w14:val="tx1"/>
                  </w14:solidFill>
                </w14:textFill>
              </w:rPr>
            </w:pPr>
            <w:r>
              <w:rPr>
                <w:rFonts w:cs="宋体"/>
                <w:color w:val="000000" w:themeColor="text1"/>
                <w:sz w:val="21"/>
                <w:szCs w:val="21"/>
                <w14:textFill>
                  <w14:solidFill>
                    <w14:schemeClr w14:val="tx1"/>
                  </w14:solidFill>
                </w14:textFill>
              </w:rPr>
              <w:t>与项目有关的原有环境污染问题</w:t>
            </w:r>
          </w:p>
        </w:tc>
        <w:tc>
          <w:tcPr>
            <w:tcW w:w="8207" w:type="dxa"/>
            <w:tcBorders>
              <w:top w:val="single" w:color="auto" w:sz="8" w:space="0"/>
              <w:left w:val="single" w:color="auto" w:sz="4" w:space="0"/>
              <w:bottom w:val="single" w:color="auto" w:sz="8" w:space="0"/>
              <w:right w:val="single" w:color="auto" w:sz="8" w:space="0"/>
            </w:tcBorders>
            <w:vAlign w:val="center"/>
          </w:tcPr>
          <w:p w14:paraId="2C9558EC">
            <w:pPr>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color w:val="000000" w:themeColor="text1"/>
                <w:sz w:val="24"/>
                <w14:textFill>
                  <w14:solidFill>
                    <w14:schemeClr w14:val="tx1"/>
                  </w14:solidFill>
                </w14:textFill>
              </w:rPr>
              <w:t>广东启轮金属制品有限公司位于韶关市乐昌市乐昌产业转移工业园环园东路</w:t>
            </w:r>
            <w:r>
              <w:rPr>
                <w:rFonts w:ascii="Times New Roman" w:hAnsi="Times New Roman" w:cs="Times New Roman"/>
                <w:color w:val="000000" w:themeColor="text1"/>
                <w:sz w:val="24"/>
                <w14:textFill>
                  <w14:solidFill>
                    <w14:schemeClr w14:val="tx1"/>
                  </w14:solidFill>
                </w14:textFill>
              </w:rPr>
              <w:t>19</w:t>
            </w:r>
            <w:r>
              <w:rPr>
                <w:color w:val="000000" w:themeColor="text1"/>
                <w:sz w:val="24"/>
                <w14:textFill>
                  <w14:solidFill>
                    <w14:schemeClr w14:val="tx1"/>
                  </w14:solidFill>
                </w14:textFill>
              </w:rPr>
              <w:t>号，</w:t>
            </w:r>
            <w:r>
              <w:rPr>
                <w:rFonts w:ascii="Times New Roman" w:hAnsi="Times New Roman" w:eastAsia="宋体" w:cs="Times New Roman"/>
                <w:bCs/>
                <w:color w:val="000000" w:themeColor="text1"/>
                <w:sz w:val="24"/>
                <w14:textFill>
                  <w14:solidFill>
                    <w14:schemeClr w14:val="tx1"/>
                  </w14:solidFill>
                </w14:textFill>
              </w:rPr>
              <w:t>公司于</w:t>
            </w:r>
            <w:r>
              <w:rPr>
                <w:rFonts w:hint="eastAsia" w:ascii="Times New Roman" w:hAnsi="Times New Roman" w:eastAsia="宋体" w:cs="Times New Roman"/>
                <w:bCs/>
                <w:color w:val="000000" w:themeColor="text1"/>
                <w:sz w:val="24"/>
                <w14:textFill>
                  <w14:solidFill>
                    <w14:schemeClr w14:val="tx1"/>
                  </w14:solidFill>
                </w14:textFill>
              </w:rPr>
              <w:t>2</w:t>
            </w:r>
            <w:r>
              <w:rPr>
                <w:rFonts w:ascii="Times New Roman" w:hAnsi="Times New Roman" w:eastAsia="宋体" w:cs="Times New Roman"/>
                <w:bCs/>
                <w:color w:val="000000" w:themeColor="text1"/>
                <w:sz w:val="24"/>
                <w14:textFill>
                  <w14:solidFill>
                    <w14:schemeClr w14:val="tx1"/>
                  </w14:solidFill>
                </w14:textFill>
              </w:rPr>
              <w:t>025年</w:t>
            </w:r>
            <w:r>
              <w:rPr>
                <w:rFonts w:hint="eastAsia" w:ascii="Times New Roman" w:hAnsi="Times New Roman" w:eastAsia="宋体" w:cs="Times New Roman"/>
                <w:bCs/>
                <w:color w:val="000000" w:themeColor="text1"/>
                <w:sz w:val="24"/>
                <w14:textFill>
                  <w14:solidFill>
                    <w14:schemeClr w14:val="tx1"/>
                  </w14:solidFill>
                </w14:textFill>
              </w:rPr>
              <w:t>搬迁</w:t>
            </w:r>
            <w:r>
              <w:rPr>
                <w:rFonts w:ascii="Times New Roman" w:hAnsi="Times New Roman" w:eastAsia="宋体" w:cs="Times New Roman"/>
                <w:bCs/>
                <w:color w:val="000000" w:themeColor="text1"/>
                <w:sz w:val="24"/>
                <w14:textFill>
                  <w14:solidFill>
                    <w14:schemeClr w14:val="tx1"/>
                  </w14:solidFill>
                </w14:textFill>
              </w:rPr>
              <w:t>至</w:t>
            </w:r>
            <w:r>
              <w:rPr>
                <w:rFonts w:hint="eastAsia" w:ascii="Times New Roman" w:hAnsi="Times New Roman" w:eastAsia="宋体" w:cs="Times New Roman"/>
                <w:bCs/>
                <w:color w:val="000000" w:themeColor="text1"/>
                <w:sz w:val="24"/>
                <w14:textFill>
                  <w14:solidFill>
                    <w14:schemeClr w14:val="tx1"/>
                  </w14:solidFill>
                </w14:textFill>
              </w:rPr>
              <w:t>乐昌</w:t>
            </w:r>
            <w:r>
              <w:rPr>
                <w:rFonts w:ascii="Times New Roman" w:hAnsi="Times New Roman" w:eastAsia="宋体" w:cs="Times New Roman"/>
                <w:bCs/>
                <w:color w:val="000000" w:themeColor="text1"/>
                <w:sz w:val="24"/>
                <w14:textFill>
                  <w14:solidFill>
                    <w14:schemeClr w14:val="tx1"/>
                  </w14:solidFill>
                </w14:textFill>
              </w:rPr>
              <w:t>市乐昌产业转移工业园环园东路</w:t>
            </w:r>
            <w:r>
              <w:rPr>
                <w:rFonts w:hint="eastAsia" w:ascii="Times New Roman" w:hAnsi="Times New Roman" w:eastAsia="宋体" w:cs="Times New Roman"/>
                <w:bCs/>
                <w:color w:val="000000" w:themeColor="text1"/>
                <w:sz w:val="24"/>
                <w14:textFill>
                  <w14:solidFill>
                    <w14:schemeClr w14:val="tx1"/>
                  </w14:solidFill>
                </w14:textFill>
              </w:rPr>
              <w:t>19号</w:t>
            </w:r>
            <w:r>
              <w:rPr>
                <w:rFonts w:ascii="Times New Roman" w:hAnsi="Times New Roman" w:eastAsia="宋体" w:cs="Times New Roman"/>
                <w:bCs/>
                <w:color w:val="000000" w:themeColor="text1"/>
                <w:sz w:val="24"/>
                <w14:textFill>
                  <w14:solidFill>
                    <w14:schemeClr w14:val="tx1"/>
                  </w14:solidFill>
                </w14:textFill>
              </w:rPr>
              <w:t>新建《广东启轮金属制品有限公司年产</w:t>
            </w:r>
            <w:r>
              <w:rPr>
                <w:rFonts w:hint="eastAsia" w:ascii="Times New Roman" w:hAnsi="Times New Roman" w:eastAsia="宋体" w:cs="Times New Roman"/>
                <w:bCs/>
                <w:color w:val="000000" w:themeColor="text1"/>
                <w:sz w:val="24"/>
                <w14:textFill>
                  <w14:solidFill>
                    <w14:schemeClr w14:val="tx1"/>
                  </w14:solidFill>
                </w14:textFill>
              </w:rPr>
              <w:t>1</w:t>
            </w:r>
            <w:r>
              <w:rPr>
                <w:rFonts w:ascii="Times New Roman" w:hAnsi="Times New Roman" w:eastAsia="宋体" w:cs="Times New Roman"/>
                <w:bCs/>
                <w:color w:val="000000" w:themeColor="text1"/>
                <w:sz w:val="24"/>
                <w14:textFill>
                  <w14:solidFill>
                    <w14:schemeClr w14:val="tx1"/>
                  </w14:solidFill>
                </w14:textFill>
              </w:rPr>
              <w:t>00万个脚轮技术改造项目》</w:t>
            </w:r>
            <w:r>
              <w:rPr>
                <w:rFonts w:hint="eastAsia" w:ascii="Times New Roman" w:hAnsi="Times New Roman" w:eastAsia="宋体" w:cs="Times New Roman"/>
                <w:bCs/>
                <w:color w:val="000000" w:themeColor="text1"/>
                <w:sz w:val="24"/>
                <w14:textFill>
                  <w14:solidFill>
                    <w14:schemeClr w14:val="tx1"/>
                  </w14:solidFill>
                </w14:textFill>
              </w:rPr>
              <w:t>（韶环</w:t>
            </w:r>
            <w:r>
              <w:rPr>
                <w:rFonts w:ascii="Times New Roman" w:hAnsi="Times New Roman" w:eastAsia="宋体" w:cs="Times New Roman"/>
                <w:bCs/>
                <w:color w:val="000000" w:themeColor="text1"/>
                <w:sz w:val="24"/>
                <w14:textFill>
                  <w14:solidFill>
                    <w14:schemeClr w14:val="tx1"/>
                  </w14:solidFill>
                </w14:textFill>
              </w:rPr>
              <w:t>乐审</w:t>
            </w:r>
            <w:r>
              <w:rPr>
                <w:rFonts w:hint="default" w:ascii="Times New Roman" w:hAnsi="Times New Roman" w:cs="Times New Roman"/>
                <w:color w:val="auto"/>
                <w:sz w:val="24"/>
                <w:szCs w:val="22"/>
                <w:highlight w:val="none"/>
              </w:rPr>
              <w:t>〔202</w:t>
            </w:r>
            <w:r>
              <w:rPr>
                <w:rFonts w:hint="eastAsia" w:ascii="Times New Roman" w:hAnsi="Times New Roman" w:cs="Times New Roman"/>
                <w:color w:val="auto"/>
                <w:sz w:val="24"/>
                <w:szCs w:val="22"/>
                <w:highlight w:val="none"/>
                <w:lang w:val="en-US" w:eastAsia="zh-CN"/>
              </w:rPr>
              <w:t>5</w:t>
            </w:r>
            <w:r>
              <w:rPr>
                <w:rFonts w:hint="default" w:ascii="Times New Roman" w:hAnsi="Times New Roman" w:cs="Times New Roman"/>
                <w:color w:val="auto"/>
                <w:sz w:val="24"/>
                <w:szCs w:val="22"/>
                <w:highlight w:val="none"/>
              </w:rPr>
              <w:t>〕</w:t>
            </w:r>
            <w:r>
              <w:rPr>
                <w:rFonts w:hint="eastAsia" w:ascii="Times New Roman" w:hAnsi="Times New Roman" w:eastAsia="宋体" w:cs="Times New Roman"/>
                <w:bCs/>
                <w:color w:val="000000" w:themeColor="text1"/>
                <w:sz w:val="24"/>
                <w14:textFill>
                  <w14:solidFill>
                    <w14:schemeClr w14:val="tx1"/>
                  </w14:solidFill>
                </w14:textFill>
              </w:rPr>
              <w:t>09号），项目总投资1500万，其中环保投资30万，项目占地面积10679.3m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，建筑面积6714.46m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,其中厂房5243.22m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，办公楼1471.24m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，年生产</w:t>
            </w:r>
            <w:r>
              <w:rPr>
                <w:rFonts w:hint="eastAsia" w:ascii="Times New Roman" w:hAnsi="Times New Roman" w:eastAsia="宋体" w:cs="Times New Roman"/>
                <w:bCs/>
                <w:color w:val="000000" w:themeColor="text1"/>
                <w:sz w:val="24"/>
                <w:lang w:val="en-US" w:eastAsia="zh-CN"/>
                <w14:textFill>
                  <w14:solidFill>
                    <w14:schemeClr w14:val="tx1"/>
                  </w14:solidFill>
                </w14:textFill>
              </w:rPr>
              <w:t>金属</w:t>
            </w:r>
            <w:r>
              <w:rPr>
                <w:rFonts w:hint="eastAsia" w:ascii="Times New Roman" w:hAnsi="Times New Roman" w:eastAsia="宋体" w:cs="Times New Roman"/>
                <w:bCs/>
                <w:color w:val="000000" w:themeColor="text1"/>
                <w:sz w:val="24"/>
                <w14:textFill>
                  <w14:solidFill>
                    <w14:schemeClr w14:val="tx1"/>
                  </w14:solidFill>
                </w14:textFill>
              </w:rPr>
              <w:t>脚轮1</w:t>
            </w:r>
            <w:r>
              <w:rPr>
                <w:rFonts w:ascii="Times New Roman" w:hAnsi="Times New Roman" w:eastAsia="宋体" w:cs="Times New Roman"/>
                <w:bCs/>
                <w:color w:val="000000" w:themeColor="text1"/>
                <w:sz w:val="24"/>
                <w14:textFill>
                  <w14:solidFill>
                    <w14:schemeClr w14:val="tx1"/>
                  </w14:solidFill>
                </w14:textFill>
              </w:rPr>
              <w:t>00万个。</w:t>
            </w:r>
          </w:p>
          <w:p w14:paraId="39CAFB83">
            <w:pPr>
              <w:adjustRightInd w:val="0"/>
              <w:snapToGrid w:val="0"/>
              <w:spacing w:line="360" w:lineRule="auto"/>
              <w:ind w:firstLine="480" w:firstLineChars="200"/>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二、原项目工艺流程</w:t>
            </w:r>
          </w:p>
          <w:p w14:paraId="1A8FE183">
            <w:pPr>
              <w:adjustRightInd w:val="0"/>
              <w:snapToGrid w:val="0"/>
              <w:spacing w:line="360" w:lineRule="auto"/>
              <w:ind w:firstLine="420" w:firstLineChars="200"/>
              <w:jc w:val="left"/>
              <w:rPr>
                <w:color w:val="000000" w:themeColor="text1"/>
                <w:sz w:val="24"/>
                <w14:textFill>
                  <w14:solidFill>
                    <w14:schemeClr w14:val="tx1"/>
                  </w14:solidFill>
                </w14:textFill>
              </w:rPr>
            </w:pPr>
            <w:r>
              <w:rPr>
                <w:color w:val="000000" w:themeColor="text1"/>
                <w14:textFill>
                  <w14:solidFill>
                    <w14:schemeClr w14:val="tx1"/>
                  </w14:solidFill>
                </w14:textFill>
              </w:rPr>
              <w:object>
                <v:shape id="_x0000_i1026" o:spt="75" type="#_x0000_t75" style="height:270.7pt;width:346.9pt;" o:ole="t" filled="f" o:preferrelative="t" stroked="f" coordsize="21600,21600">
                  <v:path/>
                  <v:fill on="f" focussize="0,0"/>
                  <v:stroke on="f" joinstyle="miter"/>
                  <v:imagedata r:id="rId18" o:title=""/>
                  <o:lock v:ext="edit" aspectratio="t"/>
                  <w10:wrap type="none"/>
                  <w10:anchorlock/>
                </v:shape>
                <o:OLEObject Type="Embed" ProgID="Visio.Drawing.15" ShapeID="_x0000_i1026" DrawAspect="Content" ObjectID="_1468075726">
                  <o:LockedField>false</o:LockedField>
                </o:OLEObject>
              </w:object>
            </w:r>
          </w:p>
          <w:p w14:paraId="3B1FABB4">
            <w:pPr>
              <w:adjustRightInd w:val="0"/>
              <w:snapToGrid w:val="0"/>
              <w:spacing w:line="360" w:lineRule="auto"/>
              <w:ind w:firstLine="420" w:firstLineChars="200"/>
              <w:jc w:val="center"/>
              <w:rPr>
                <w:rFonts w:ascii="Times New Roman" w:hAnsi="Times New Roman" w:cs="Times New Roman"/>
                <w:b/>
                <w:color w:val="000000" w:themeColor="text1"/>
                <w:szCs w:val="21"/>
                <w14:textFill>
                  <w14:solidFill>
                    <w14:schemeClr w14:val="tx1"/>
                  </w14:solidFill>
                </w14:textFill>
              </w:rPr>
            </w:pPr>
            <w:r>
              <w:rPr>
                <w:rFonts w:ascii="Times New Roman" w:hAnsi="Times New Roman" w:cs="Times New Roman"/>
                <w:b/>
                <w:color w:val="000000" w:themeColor="text1"/>
                <w:szCs w:val="21"/>
                <w14:textFill>
                  <w14:solidFill>
                    <w14:schemeClr w14:val="tx1"/>
                  </w14:solidFill>
                </w14:textFill>
              </w:rPr>
              <w:t>图2-3 原项目脚轮生产流程及产污图</w:t>
            </w:r>
          </w:p>
          <w:p w14:paraId="4311F65F">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工艺流程说明：</w:t>
            </w:r>
          </w:p>
          <w:p w14:paraId="6698163F">
            <w:pPr>
              <w:autoSpaceDE w:val="0"/>
              <w:autoSpaceDN w:val="0"/>
              <w:adjustRightInd w:val="0"/>
              <w:spacing w:line="360" w:lineRule="auto"/>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原项目外购生铁，使用中频电炉进行熔铸生产成脚轮。</w:t>
            </w:r>
          </w:p>
          <w:p w14:paraId="739A556C">
            <w:pPr>
              <w:autoSpaceDE w:val="0"/>
              <w:autoSpaceDN w:val="0"/>
              <w:adjustRightIn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（1）造型</w:t>
            </w:r>
            <w:r>
              <w:rPr>
                <w:rFonts w:ascii="Times New Roman" w:hAnsi="Times New Roman" w:eastAsia="宋体" w:cs="Times New Roman"/>
                <w:color w:val="000000" w:themeColor="text1"/>
                <w:sz w:val="24"/>
                <w14:textFill>
                  <w14:solidFill>
                    <w14:schemeClr w14:val="tx1"/>
                  </w14:solidFill>
                </w14:textFill>
              </w:rPr>
              <w:t>：将石英砂、煤粉、</w:t>
            </w:r>
            <w:r>
              <w:rPr>
                <w:rFonts w:hint="eastAsia" w:ascii="Times New Roman" w:hAnsi="Times New Roman" w:eastAsia="宋体" w:cs="Times New Roman"/>
                <w:color w:val="000000" w:themeColor="text1"/>
                <w:sz w:val="24"/>
                <w14:textFill>
                  <w14:solidFill>
                    <w14:schemeClr w14:val="tx1"/>
                  </w14:solidFill>
                </w14:textFill>
              </w:rPr>
              <w:t>膨润土和水混合，通过水平造型机、垂直造型机制造成项目所需的型砂。该过程会产生造型废气、噪声。</w:t>
            </w:r>
          </w:p>
          <w:p w14:paraId="02CC135D">
            <w:pPr>
              <w:autoSpaceDE w:val="0"/>
              <w:autoSpaceDN w:val="0"/>
              <w:adjustRightIn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（2）熔炼：将生铁、铁粉、硅铁、增碳剂和孕育剂投入中频电炉中熔融，熔炼温度为1</w:t>
            </w:r>
            <w:r>
              <w:rPr>
                <w:rFonts w:ascii="Times New Roman" w:hAnsi="Times New Roman" w:eastAsia="宋体" w:cs="Times New Roman"/>
                <w:color w:val="000000" w:themeColor="text1"/>
                <w:sz w:val="24"/>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00℃，根据建设单位提供资料，本项目采用原料成分明确，生铁和铁粉经熔化得到铁水过程中不涉及化学反应，仅为物理变化过程</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熔炼</w:t>
            </w:r>
            <w:r>
              <w:rPr>
                <w:rFonts w:ascii="Times New Roman" w:hAnsi="Times New Roman" w:eastAsia="宋体" w:cs="Times New Roman"/>
                <w:color w:val="000000" w:themeColor="text1"/>
                <w:sz w:val="24"/>
                <w14:textFill>
                  <w14:solidFill>
                    <w14:schemeClr w14:val="tx1"/>
                  </w14:solidFill>
                </w14:textFill>
              </w:rPr>
              <w:t>过程产生</w:t>
            </w:r>
            <w:r>
              <w:rPr>
                <w:rFonts w:hint="eastAsia" w:ascii="Times New Roman" w:hAnsi="Times New Roman" w:eastAsia="宋体" w:cs="Times New Roman"/>
                <w:color w:val="000000" w:themeColor="text1"/>
                <w:sz w:val="24"/>
                <w14:textFill>
                  <w14:solidFill>
                    <w14:schemeClr w14:val="tx1"/>
                  </w14:solidFill>
                </w14:textFill>
              </w:rPr>
              <w:t>熔炼</w:t>
            </w:r>
            <w:r>
              <w:rPr>
                <w:rFonts w:ascii="Times New Roman" w:hAnsi="Times New Roman" w:eastAsia="宋体" w:cs="Times New Roman"/>
                <w:color w:val="000000" w:themeColor="text1"/>
                <w:sz w:val="24"/>
                <w14:textFill>
                  <w14:solidFill>
                    <w14:schemeClr w14:val="tx1"/>
                  </w14:solidFill>
                </w14:textFill>
              </w:rPr>
              <w:t>烟尘</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炉渣和噪声，熔炼烟尘的主要成分为金属氧化物和金属粉尘等</w:t>
            </w:r>
            <w:r>
              <w:rPr>
                <w:rFonts w:hint="eastAsia" w:ascii="Times New Roman" w:hAnsi="Times New Roman" w:eastAsia="宋体" w:cs="Times New Roman"/>
                <w:color w:val="000000" w:themeColor="text1"/>
                <w:sz w:val="24"/>
                <w14:textFill>
                  <w14:solidFill>
                    <w14:schemeClr w14:val="tx1"/>
                  </w14:solidFill>
                </w14:textFill>
              </w:rPr>
              <w:t>。</w:t>
            </w:r>
          </w:p>
          <w:p w14:paraId="6A0F8577">
            <w:pPr>
              <w:autoSpaceDE w:val="0"/>
              <w:autoSpaceDN w:val="0"/>
              <w:adjustRightIn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（3）浇注</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熔炼</w:t>
            </w:r>
            <w:r>
              <w:rPr>
                <w:rFonts w:ascii="Times New Roman" w:hAnsi="Times New Roman" w:eastAsia="宋体" w:cs="Times New Roman"/>
                <w:color w:val="000000" w:themeColor="text1"/>
                <w:sz w:val="24"/>
                <w14:textFill>
                  <w14:solidFill>
                    <w14:schemeClr w14:val="tx1"/>
                  </w14:solidFill>
                </w14:textFill>
              </w:rPr>
              <w:t>结束后，将金属液体</w:t>
            </w:r>
            <w:r>
              <w:rPr>
                <w:rFonts w:hint="eastAsia" w:ascii="Times New Roman" w:hAnsi="Times New Roman" w:eastAsia="宋体" w:cs="Times New Roman"/>
                <w:color w:val="000000" w:themeColor="text1"/>
                <w:sz w:val="24"/>
                <w14:textFill>
                  <w14:solidFill>
                    <w14:schemeClr w14:val="tx1"/>
                  </w14:solidFill>
                </w14:textFill>
              </w:rPr>
              <w:t>转运至</w:t>
            </w:r>
            <w:r>
              <w:rPr>
                <w:rFonts w:ascii="Times New Roman" w:hAnsi="Times New Roman" w:eastAsia="宋体" w:cs="Times New Roman"/>
                <w:color w:val="000000" w:themeColor="text1"/>
                <w:sz w:val="24"/>
                <w14:textFill>
                  <w14:solidFill>
                    <w14:schemeClr w14:val="tx1"/>
                  </w14:solidFill>
                </w14:textFill>
              </w:rPr>
              <w:t>浇注工位，通过浇注口灌注至</w:t>
            </w:r>
            <w:r>
              <w:rPr>
                <w:rFonts w:hint="eastAsia" w:ascii="Times New Roman" w:hAnsi="Times New Roman" w:eastAsia="宋体" w:cs="Times New Roman"/>
                <w:color w:val="000000" w:themeColor="text1"/>
                <w:sz w:val="24"/>
                <w14:textFill>
                  <w14:solidFill>
                    <w14:schemeClr w14:val="tx1"/>
                  </w14:solidFill>
                </w14:textFill>
              </w:rPr>
              <w:t>型</w:t>
            </w:r>
            <w:r>
              <w:rPr>
                <w:rFonts w:ascii="Times New Roman" w:hAnsi="Times New Roman" w:eastAsia="宋体" w:cs="Times New Roman"/>
                <w:color w:val="000000" w:themeColor="text1"/>
                <w:sz w:val="24"/>
                <w14:textFill>
                  <w14:solidFill>
                    <w14:schemeClr w14:val="tx1"/>
                  </w14:solidFill>
                </w14:textFill>
              </w:rPr>
              <w:t>砂内，浇</w:t>
            </w:r>
            <w:r>
              <w:rPr>
                <w:rFonts w:hint="eastAsia" w:ascii="Times New Roman" w:hAnsi="Times New Roman" w:eastAsia="宋体" w:cs="Times New Roman"/>
                <w:color w:val="000000" w:themeColor="text1"/>
                <w:sz w:val="24"/>
                <w14:textFill>
                  <w14:solidFill>
                    <w14:schemeClr w14:val="tx1"/>
                  </w14:solidFill>
                </w14:textFill>
              </w:rPr>
              <w:t>注</w:t>
            </w:r>
            <w:r>
              <w:rPr>
                <w:rFonts w:ascii="Times New Roman" w:hAnsi="Times New Roman" w:eastAsia="宋体" w:cs="Times New Roman"/>
                <w:color w:val="000000" w:themeColor="text1"/>
                <w:sz w:val="24"/>
                <w14:textFill>
                  <w14:solidFill>
                    <w14:schemeClr w14:val="tx1"/>
                  </w14:solidFill>
                </w14:textFill>
              </w:rPr>
              <w:t>后</w:t>
            </w:r>
            <w:r>
              <w:rPr>
                <w:rFonts w:hint="eastAsia" w:ascii="Times New Roman" w:hAnsi="Times New Roman" w:eastAsia="宋体" w:cs="Times New Roman"/>
                <w:color w:val="000000" w:themeColor="text1"/>
                <w:sz w:val="24"/>
                <w14:textFill>
                  <w14:solidFill>
                    <w14:schemeClr w14:val="tx1"/>
                  </w14:solidFill>
                </w14:textFill>
              </w:rPr>
              <w:t>等其</w:t>
            </w:r>
            <w:r>
              <w:rPr>
                <w:rFonts w:ascii="Times New Roman" w:hAnsi="Times New Roman" w:eastAsia="宋体" w:cs="Times New Roman"/>
                <w:color w:val="000000" w:themeColor="text1"/>
                <w:sz w:val="24"/>
                <w14:textFill>
                  <w14:solidFill>
                    <w14:schemeClr w14:val="tx1"/>
                  </w14:solidFill>
                </w14:textFill>
              </w:rPr>
              <w:t>静置成型后，</w:t>
            </w:r>
            <w:r>
              <w:rPr>
                <w:rFonts w:hint="eastAsia" w:ascii="Times New Roman" w:hAnsi="Times New Roman" w:eastAsia="宋体" w:cs="Times New Roman"/>
                <w:color w:val="000000" w:themeColor="text1"/>
                <w:sz w:val="24"/>
                <w14:textFill>
                  <w14:solidFill>
                    <w14:schemeClr w14:val="tx1"/>
                  </w14:solidFill>
                </w14:textFill>
              </w:rPr>
              <w:t>通过</w:t>
            </w:r>
            <w:r>
              <w:rPr>
                <w:rFonts w:ascii="Times New Roman" w:hAnsi="Times New Roman" w:eastAsia="宋体" w:cs="Times New Roman"/>
                <w:color w:val="000000" w:themeColor="text1"/>
                <w:sz w:val="24"/>
                <w14:textFill>
                  <w14:solidFill>
                    <w14:schemeClr w14:val="tx1"/>
                  </w14:solidFill>
                </w14:textFill>
              </w:rPr>
              <w:t>自然冷却对型砂进行冷却。</w:t>
            </w:r>
            <w:r>
              <w:rPr>
                <w:rFonts w:hint="eastAsia" w:ascii="Times New Roman" w:hAnsi="Times New Roman" w:eastAsia="宋体" w:cs="Times New Roman"/>
                <w:color w:val="000000" w:themeColor="text1"/>
                <w:sz w:val="24"/>
                <w14:textFill>
                  <w14:solidFill>
                    <w14:schemeClr w14:val="tx1"/>
                  </w14:solidFill>
                </w14:textFill>
              </w:rPr>
              <w:t>该工序</w:t>
            </w:r>
            <w:r>
              <w:rPr>
                <w:rFonts w:ascii="Times New Roman" w:hAnsi="Times New Roman" w:eastAsia="宋体" w:cs="Times New Roman"/>
                <w:color w:val="000000" w:themeColor="text1"/>
                <w:sz w:val="24"/>
                <w14:textFill>
                  <w14:solidFill>
                    <w14:schemeClr w14:val="tx1"/>
                  </w14:solidFill>
                </w14:textFill>
              </w:rPr>
              <w:t>产生浇</w:t>
            </w:r>
            <w:r>
              <w:rPr>
                <w:rFonts w:hint="eastAsia" w:ascii="Times New Roman" w:hAnsi="Times New Roman" w:eastAsia="宋体" w:cs="Times New Roman"/>
                <w:color w:val="000000" w:themeColor="text1"/>
                <w:sz w:val="24"/>
                <w14:textFill>
                  <w14:solidFill>
                    <w14:schemeClr w14:val="tx1"/>
                  </w14:solidFill>
                </w14:textFill>
              </w:rPr>
              <w:t>注</w:t>
            </w:r>
            <w:r>
              <w:rPr>
                <w:rFonts w:ascii="Times New Roman" w:hAnsi="Times New Roman" w:eastAsia="宋体" w:cs="Times New Roman"/>
                <w:color w:val="000000" w:themeColor="text1"/>
                <w:sz w:val="24"/>
                <w14:textFill>
                  <w14:solidFill>
                    <w14:schemeClr w14:val="tx1"/>
                  </w14:solidFill>
                </w14:textFill>
              </w:rPr>
              <w:t>烟尘</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噪声</w:t>
            </w:r>
            <w:r>
              <w:rPr>
                <w:rFonts w:hint="eastAsia" w:ascii="Times New Roman" w:hAnsi="Times New Roman" w:eastAsia="宋体" w:cs="Times New Roman"/>
                <w:color w:val="000000" w:themeColor="text1"/>
                <w:sz w:val="24"/>
                <w14:textFill>
                  <w14:solidFill>
                    <w14:schemeClr w14:val="tx1"/>
                  </w14:solidFill>
                </w14:textFill>
              </w:rPr>
              <w:t>。</w:t>
            </w:r>
          </w:p>
          <w:p w14:paraId="7080064A">
            <w:pPr>
              <w:autoSpaceDE w:val="0"/>
              <w:autoSpaceDN w:val="0"/>
              <w:adjustRightIn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（4）落砂：待型砂中的金属溶液冷却成型后，采用振动落砂机将型砂与铸件分离。落砂过程会伴随粉尘产生。</w:t>
            </w:r>
          </w:p>
          <w:p w14:paraId="7A7E307A">
            <w:pPr>
              <w:autoSpaceDE w:val="0"/>
              <w:autoSpaceDN w:val="0"/>
              <w:adjustRightIn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（5）砂处理：</w:t>
            </w:r>
            <w:r>
              <w:rPr>
                <w:rFonts w:hint="eastAsia" w:ascii="Times New Roman" w:hAnsi="Times New Roman" w:eastAsia="宋体" w:cs="Times New Roman"/>
                <w:color w:val="000000" w:themeColor="text1"/>
                <w:sz w:val="24"/>
                <w14:textFill>
                  <w14:solidFill>
                    <w14:schemeClr w14:val="tx1"/>
                  </w14:solidFill>
                </w14:textFill>
              </w:rPr>
              <w:t>型</w:t>
            </w:r>
            <w:r>
              <w:rPr>
                <w:rFonts w:ascii="Times New Roman" w:hAnsi="Times New Roman" w:eastAsia="宋体" w:cs="Times New Roman"/>
                <w:color w:val="000000" w:themeColor="text1"/>
                <w:sz w:val="24"/>
                <w14:textFill>
                  <w14:solidFill>
                    <w14:schemeClr w14:val="tx1"/>
                  </w14:solidFill>
                </w14:textFill>
              </w:rPr>
              <w:t>砂与铸件分离后，</w:t>
            </w:r>
            <w:r>
              <w:rPr>
                <w:rFonts w:hint="eastAsia" w:ascii="Times New Roman" w:hAnsi="Times New Roman" w:eastAsia="宋体" w:cs="Times New Roman"/>
                <w:color w:val="000000" w:themeColor="text1"/>
                <w:sz w:val="24"/>
                <w14:textFill>
                  <w14:solidFill>
                    <w14:schemeClr w14:val="tx1"/>
                  </w14:solidFill>
                </w14:textFill>
              </w:rPr>
              <w:t>干砂</w:t>
            </w:r>
            <w:r>
              <w:rPr>
                <w:rFonts w:ascii="Times New Roman" w:hAnsi="Times New Roman" w:eastAsia="宋体" w:cs="Times New Roman"/>
                <w:color w:val="000000" w:themeColor="text1"/>
                <w:sz w:val="24"/>
                <w14:textFill>
                  <w14:solidFill>
                    <w14:schemeClr w14:val="tx1"/>
                  </w14:solidFill>
                </w14:textFill>
              </w:rPr>
              <w:t>经过砂处理设备回收，</w:t>
            </w:r>
            <w:r>
              <w:rPr>
                <w:rFonts w:hint="eastAsia" w:ascii="Times New Roman" w:hAnsi="Times New Roman" w:eastAsia="宋体" w:cs="Times New Roman"/>
                <w:color w:val="000000" w:themeColor="text1"/>
                <w:sz w:val="24"/>
                <w14:textFill>
                  <w14:solidFill>
                    <w14:schemeClr w14:val="tx1"/>
                  </w14:solidFill>
                </w14:textFill>
              </w:rPr>
              <w:t>与</w:t>
            </w:r>
            <w:r>
              <w:rPr>
                <w:rFonts w:ascii="Times New Roman" w:hAnsi="Times New Roman" w:eastAsia="宋体" w:cs="Times New Roman"/>
                <w:color w:val="000000" w:themeColor="text1"/>
                <w:sz w:val="24"/>
                <w14:textFill>
                  <w14:solidFill>
                    <w14:schemeClr w14:val="tx1"/>
                  </w14:solidFill>
                </w14:textFill>
              </w:rPr>
              <w:t>补充的新</w:t>
            </w:r>
            <w:r>
              <w:rPr>
                <w:rFonts w:hint="eastAsia" w:ascii="Times New Roman" w:hAnsi="Times New Roman" w:eastAsia="宋体" w:cs="Times New Roman"/>
                <w:color w:val="000000" w:themeColor="text1"/>
                <w:sz w:val="24"/>
                <w14:textFill>
                  <w14:solidFill>
                    <w14:schemeClr w14:val="tx1"/>
                  </w14:solidFill>
                </w14:textFill>
              </w:rPr>
              <w:t>砂</w:t>
            </w:r>
            <w:r>
              <w:rPr>
                <w:rFonts w:ascii="Times New Roman" w:hAnsi="Times New Roman" w:eastAsia="宋体" w:cs="Times New Roman"/>
                <w:color w:val="000000" w:themeColor="text1"/>
                <w:sz w:val="24"/>
                <w14:textFill>
                  <w14:solidFill>
                    <w14:schemeClr w14:val="tx1"/>
                  </w14:solidFill>
                </w14:textFill>
              </w:rPr>
              <w:t>混合后，送入</w:t>
            </w:r>
            <w:r>
              <w:rPr>
                <w:rFonts w:hint="eastAsia" w:ascii="Times New Roman" w:hAnsi="Times New Roman" w:eastAsia="宋体" w:cs="Times New Roman"/>
                <w:color w:val="000000" w:themeColor="text1"/>
                <w:sz w:val="24"/>
                <w14:textFill>
                  <w14:solidFill>
                    <w14:schemeClr w14:val="tx1"/>
                  </w14:solidFill>
                </w14:textFill>
              </w:rPr>
              <w:t>造型</w:t>
            </w:r>
            <w:r>
              <w:rPr>
                <w:rFonts w:ascii="Times New Roman" w:hAnsi="Times New Roman" w:eastAsia="宋体" w:cs="Times New Roman"/>
                <w:color w:val="000000" w:themeColor="text1"/>
                <w:sz w:val="24"/>
                <w14:textFill>
                  <w14:solidFill>
                    <w14:schemeClr w14:val="tx1"/>
                  </w14:solidFill>
                </w14:textFill>
              </w:rPr>
              <w:t>工序循环</w:t>
            </w:r>
            <w:r>
              <w:rPr>
                <w:rFonts w:hint="eastAsia" w:ascii="Times New Roman" w:hAnsi="Times New Roman" w:eastAsia="宋体" w:cs="Times New Roman"/>
                <w:color w:val="000000" w:themeColor="text1"/>
                <w:sz w:val="24"/>
                <w14:textFill>
                  <w14:solidFill>
                    <w14:schemeClr w14:val="tx1"/>
                  </w14:solidFill>
                </w14:textFill>
              </w:rPr>
              <w:t>使用，未能收集回用的废砂作为一般固废处理，</w:t>
            </w:r>
            <w:r>
              <w:rPr>
                <w:rFonts w:ascii="Times New Roman" w:hAnsi="Times New Roman" w:eastAsia="宋体" w:cs="Times New Roman"/>
                <w:color w:val="000000" w:themeColor="text1"/>
                <w:sz w:val="24"/>
                <w14:textFill>
                  <w14:solidFill>
                    <w14:schemeClr w14:val="tx1"/>
                  </w14:solidFill>
                </w14:textFill>
              </w:rPr>
              <w:t>砂</w:t>
            </w:r>
            <w:r>
              <w:rPr>
                <w:rFonts w:hint="eastAsia" w:ascii="Times New Roman" w:hAnsi="Times New Roman" w:eastAsia="宋体" w:cs="Times New Roman"/>
                <w:color w:val="000000" w:themeColor="text1"/>
                <w:sz w:val="24"/>
                <w14:textFill>
                  <w14:solidFill>
                    <w14:schemeClr w14:val="tx1"/>
                  </w14:solidFill>
                </w14:textFill>
              </w:rPr>
              <w:t>处理</w:t>
            </w:r>
            <w:r>
              <w:rPr>
                <w:rFonts w:ascii="Times New Roman" w:hAnsi="Times New Roman" w:eastAsia="宋体" w:cs="Times New Roman"/>
                <w:color w:val="000000" w:themeColor="text1"/>
                <w:sz w:val="24"/>
                <w14:textFill>
                  <w14:solidFill>
                    <w14:schemeClr w14:val="tx1"/>
                  </w14:solidFill>
                </w14:textFill>
              </w:rPr>
              <w:t>系统主要</w:t>
            </w:r>
            <w:r>
              <w:rPr>
                <w:rFonts w:hint="eastAsia" w:ascii="Times New Roman" w:hAnsi="Times New Roman" w:eastAsia="宋体" w:cs="Times New Roman"/>
                <w:color w:val="000000" w:themeColor="text1"/>
                <w:sz w:val="24"/>
                <w14:textFill>
                  <w14:solidFill>
                    <w14:schemeClr w14:val="tx1"/>
                  </w14:solidFill>
                </w14:textFill>
              </w:rPr>
              <w:t>包括</w:t>
            </w:r>
            <w:r>
              <w:rPr>
                <w:rFonts w:ascii="Times New Roman" w:hAnsi="Times New Roman" w:eastAsia="宋体" w:cs="Times New Roman"/>
                <w:color w:val="000000" w:themeColor="text1"/>
                <w:sz w:val="24"/>
                <w14:textFill>
                  <w14:solidFill>
                    <w14:schemeClr w14:val="tx1"/>
                  </w14:solidFill>
                </w14:textFill>
              </w:rPr>
              <w:t>旧砂的筛分、</w:t>
            </w:r>
            <w:r>
              <w:rPr>
                <w:rFonts w:hint="eastAsia" w:ascii="Times New Roman" w:hAnsi="Times New Roman" w:eastAsia="宋体" w:cs="Times New Roman"/>
                <w:color w:val="000000" w:themeColor="text1"/>
                <w:sz w:val="24"/>
                <w14:textFill>
                  <w14:solidFill>
                    <w14:schemeClr w14:val="tx1"/>
                  </w14:solidFill>
                </w14:textFill>
              </w:rPr>
              <w:t>风</w:t>
            </w:r>
            <w:r>
              <w:rPr>
                <w:rFonts w:ascii="Times New Roman" w:hAnsi="Times New Roman" w:eastAsia="宋体" w:cs="Times New Roman"/>
                <w:color w:val="000000" w:themeColor="text1"/>
                <w:sz w:val="24"/>
                <w14:textFill>
                  <w14:solidFill>
                    <w14:schemeClr w14:val="tx1"/>
                  </w14:solidFill>
                </w14:textFill>
              </w:rPr>
              <w:t>选、磁选。</w:t>
            </w:r>
            <w:r>
              <w:rPr>
                <w:rFonts w:hint="eastAsia" w:ascii="Times New Roman" w:hAnsi="Times New Roman" w:eastAsia="宋体" w:cs="Times New Roman"/>
                <w:color w:val="000000" w:themeColor="text1"/>
                <w:sz w:val="24"/>
                <w14:textFill>
                  <w14:solidFill>
                    <w14:schemeClr w14:val="tx1"/>
                  </w14:solidFill>
                </w14:textFill>
              </w:rPr>
              <w:t>该过程</w:t>
            </w:r>
            <w:r>
              <w:rPr>
                <w:rFonts w:ascii="Times New Roman" w:hAnsi="Times New Roman" w:eastAsia="宋体" w:cs="Times New Roman"/>
                <w:color w:val="000000" w:themeColor="text1"/>
                <w:sz w:val="24"/>
                <w14:textFill>
                  <w14:solidFill>
                    <w14:schemeClr w14:val="tx1"/>
                  </w14:solidFill>
                </w14:textFill>
              </w:rPr>
              <w:t>产生砂处理</w:t>
            </w:r>
            <w:r>
              <w:rPr>
                <w:rFonts w:hint="eastAsia" w:ascii="Times New Roman" w:hAnsi="Times New Roman" w:eastAsia="宋体" w:cs="Times New Roman"/>
                <w:color w:val="000000" w:themeColor="text1"/>
                <w:sz w:val="24"/>
                <w14:textFill>
                  <w14:solidFill>
                    <w14:schemeClr w14:val="tx1"/>
                  </w14:solidFill>
                </w14:textFill>
              </w:rPr>
              <w:t>废气</w:t>
            </w:r>
            <w:r>
              <w:rPr>
                <w:rFonts w:ascii="Times New Roman" w:hAnsi="Times New Roman" w:eastAsia="宋体" w:cs="Times New Roman"/>
                <w:color w:val="000000" w:themeColor="text1"/>
                <w:sz w:val="24"/>
                <w14:textFill>
                  <w14:solidFill>
                    <w14:schemeClr w14:val="tx1"/>
                  </w14:solidFill>
                </w14:textFill>
              </w:rPr>
              <w:t>及设备运行</w:t>
            </w:r>
            <w:r>
              <w:rPr>
                <w:rFonts w:hint="eastAsia" w:ascii="Times New Roman" w:hAnsi="Times New Roman" w:eastAsia="宋体" w:cs="Times New Roman"/>
                <w:color w:val="000000" w:themeColor="text1"/>
                <w:sz w:val="24"/>
                <w14:textFill>
                  <w14:solidFill>
                    <w14:schemeClr w14:val="tx1"/>
                  </w14:solidFill>
                </w14:textFill>
              </w:rPr>
              <w:t>噪声</w:t>
            </w:r>
            <w:r>
              <w:rPr>
                <w:rFonts w:ascii="Times New Roman" w:hAnsi="Times New Roman" w:eastAsia="宋体" w:cs="Times New Roman"/>
                <w:color w:val="000000" w:themeColor="text1"/>
                <w:sz w:val="24"/>
                <w14:textFill>
                  <w14:solidFill>
                    <w14:schemeClr w14:val="tx1"/>
                  </w14:solidFill>
                </w14:textFill>
              </w:rPr>
              <w:t>。</w:t>
            </w:r>
          </w:p>
          <w:p w14:paraId="5616B23A">
            <w:pPr>
              <w:spacing w:line="360" w:lineRule="auto"/>
              <w:ind w:firstLine="480" w:firstLineChars="200"/>
              <w:contextualSpacing/>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6</w:t>
            </w:r>
            <w:r>
              <w:rPr>
                <w:rFonts w:hint="eastAsia" w:ascii="Times New Roman" w:hAnsi="Times New Roman" w:eastAsia="宋体" w:cs="Times New Roman"/>
                <w:color w:val="000000" w:themeColor="text1"/>
                <w:sz w:val="24"/>
                <w14:textFill>
                  <w14:solidFill>
                    <w14:schemeClr w14:val="tx1"/>
                  </w14:solidFill>
                </w14:textFill>
              </w:rPr>
              <w:t>）打磨</w:t>
            </w:r>
            <w:r>
              <w:rPr>
                <w:rFonts w:ascii="Times New Roman" w:hAnsi="Times New Roman" w:eastAsia="宋体" w:cs="Times New Roman"/>
                <w:color w:val="000000" w:themeColor="text1"/>
                <w:sz w:val="24"/>
                <w14:textFill>
                  <w14:solidFill>
                    <w14:schemeClr w14:val="tx1"/>
                  </w14:solidFill>
                </w14:textFill>
              </w:rPr>
              <w:t>：经</w:t>
            </w:r>
            <w:r>
              <w:rPr>
                <w:rFonts w:hint="eastAsia" w:ascii="Times New Roman" w:hAnsi="Times New Roman" w:eastAsia="宋体" w:cs="Times New Roman"/>
                <w:color w:val="000000" w:themeColor="text1"/>
                <w:sz w:val="24"/>
                <w14:textFill>
                  <w14:solidFill>
                    <w14:schemeClr w14:val="tx1"/>
                  </w14:solidFill>
                </w14:textFill>
              </w:rPr>
              <w:t>脱</w:t>
            </w:r>
            <w:r>
              <w:rPr>
                <w:rFonts w:ascii="Times New Roman" w:hAnsi="Times New Roman" w:eastAsia="宋体" w:cs="Times New Roman"/>
                <w:color w:val="000000" w:themeColor="text1"/>
                <w:sz w:val="24"/>
                <w14:textFill>
                  <w14:solidFill>
                    <w14:schemeClr w14:val="tx1"/>
                  </w14:solidFill>
                </w14:textFill>
              </w:rPr>
              <w:t>壳的铸件直接</w:t>
            </w:r>
            <w:r>
              <w:rPr>
                <w:rFonts w:hint="eastAsia" w:ascii="Times New Roman" w:hAnsi="Times New Roman" w:eastAsia="宋体" w:cs="Times New Roman"/>
                <w:color w:val="000000" w:themeColor="text1"/>
                <w:sz w:val="24"/>
                <w14:textFill>
                  <w14:solidFill>
                    <w14:schemeClr w14:val="tx1"/>
                  </w14:solidFill>
                </w14:textFill>
              </w:rPr>
              <w:t>送入打磨</w:t>
            </w:r>
            <w:r>
              <w:rPr>
                <w:rFonts w:ascii="Times New Roman" w:hAnsi="Times New Roman" w:eastAsia="宋体" w:cs="Times New Roman"/>
                <w:color w:val="000000" w:themeColor="text1"/>
                <w:sz w:val="24"/>
                <w14:textFill>
                  <w14:solidFill>
                    <w14:schemeClr w14:val="tx1"/>
                  </w14:solidFill>
                </w14:textFill>
              </w:rPr>
              <w:t>机中进行</w:t>
            </w:r>
            <w:r>
              <w:rPr>
                <w:rFonts w:hint="eastAsia" w:ascii="Times New Roman" w:hAnsi="Times New Roman" w:eastAsia="宋体" w:cs="Times New Roman"/>
                <w:color w:val="000000" w:themeColor="text1"/>
                <w:sz w:val="24"/>
                <w14:textFill>
                  <w14:solidFill>
                    <w14:schemeClr w14:val="tx1"/>
                  </w14:solidFill>
                </w14:textFill>
              </w:rPr>
              <w:t>打磨，该</w:t>
            </w:r>
            <w:r>
              <w:rPr>
                <w:rFonts w:ascii="Times New Roman" w:hAnsi="Times New Roman" w:eastAsia="宋体" w:cs="Times New Roman"/>
                <w:color w:val="000000" w:themeColor="text1"/>
                <w:sz w:val="24"/>
                <w14:textFill>
                  <w14:solidFill>
                    <w14:schemeClr w14:val="tx1"/>
                  </w14:solidFill>
                </w14:textFill>
              </w:rPr>
              <w:t>工序产生打磨</w:t>
            </w:r>
            <w:r>
              <w:rPr>
                <w:rFonts w:hint="eastAsia" w:ascii="Times New Roman" w:hAnsi="Times New Roman" w:eastAsia="宋体" w:cs="Times New Roman"/>
                <w:color w:val="000000" w:themeColor="text1"/>
                <w:sz w:val="24"/>
                <w14:textFill>
                  <w14:solidFill>
                    <w14:schemeClr w14:val="tx1"/>
                  </w14:solidFill>
                </w14:textFill>
              </w:rPr>
              <w:t>废气</w:t>
            </w:r>
            <w:r>
              <w:rPr>
                <w:rFonts w:ascii="Times New Roman" w:hAnsi="Times New Roman" w:eastAsia="宋体" w:cs="Times New Roman"/>
                <w:color w:val="000000" w:themeColor="text1"/>
                <w:sz w:val="24"/>
                <w14:textFill>
                  <w14:solidFill>
                    <w14:schemeClr w14:val="tx1"/>
                  </w14:solidFill>
                </w14:textFill>
              </w:rPr>
              <w:t>及机械噪</w:t>
            </w:r>
            <w:r>
              <w:rPr>
                <w:rFonts w:hint="eastAsia" w:ascii="Times New Roman" w:hAnsi="Times New Roman" w:eastAsia="宋体" w:cs="Times New Roman"/>
                <w:color w:val="000000" w:themeColor="text1"/>
                <w:sz w:val="24"/>
                <w14:textFill>
                  <w14:solidFill>
                    <w14:schemeClr w14:val="tx1"/>
                  </w14:solidFill>
                </w14:textFill>
              </w:rPr>
              <w:t>声</w:t>
            </w:r>
            <w:r>
              <w:rPr>
                <w:rFonts w:ascii="Times New Roman" w:hAnsi="Times New Roman" w:eastAsia="宋体" w:cs="Times New Roman"/>
                <w:color w:val="000000" w:themeColor="text1"/>
                <w:sz w:val="24"/>
                <w14:textFill>
                  <w14:solidFill>
                    <w14:schemeClr w14:val="tx1"/>
                  </w14:solidFill>
                </w14:textFill>
              </w:rPr>
              <w:t>。</w:t>
            </w:r>
          </w:p>
          <w:p w14:paraId="3FC0494A">
            <w:pPr>
              <w:spacing w:line="360" w:lineRule="auto"/>
              <w:ind w:firstLine="480" w:firstLineChars="200"/>
              <w:contextualSpacing/>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7</w:t>
            </w:r>
            <w:r>
              <w:rPr>
                <w:rFonts w:hint="eastAsia" w:ascii="Times New Roman" w:hAnsi="Times New Roman" w:eastAsia="宋体" w:cs="Times New Roman"/>
                <w:color w:val="000000" w:themeColor="text1"/>
                <w:sz w:val="24"/>
                <w14:textFill>
                  <w14:solidFill>
                    <w14:schemeClr w14:val="tx1"/>
                  </w14:solidFill>
                </w14:textFill>
              </w:rPr>
              <w:t>）抛丸：铸件经过打磨后送入抛丸机进行抛丸表面打磨去除进行平整，该过程产生抛丸粉尘及机械噪声。</w:t>
            </w:r>
          </w:p>
          <w:p w14:paraId="760E1449">
            <w:pPr>
              <w:adjustRightInd w:val="0"/>
              <w:snapToGri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8</w:t>
            </w:r>
            <w:r>
              <w:rPr>
                <w:rFonts w:hint="eastAsia" w:ascii="Times New Roman" w:hAnsi="Times New Roman" w:eastAsia="宋体" w:cs="Times New Roman"/>
                <w:color w:val="000000" w:themeColor="text1"/>
                <w:sz w:val="24"/>
                <w14:textFill>
                  <w14:solidFill>
                    <w14:schemeClr w14:val="tx1"/>
                  </w14:solidFill>
                </w14:textFill>
              </w:rPr>
              <w:t>）入库：将打磨</w:t>
            </w:r>
            <w:r>
              <w:rPr>
                <w:rFonts w:ascii="Times New Roman" w:hAnsi="Times New Roman" w:eastAsia="宋体" w:cs="Times New Roman"/>
                <w:color w:val="000000" w:themeColor="text1"/>
                <w:sz w:val="24"/>
                <w14:textFill>
                  <w14:solidFill>
                    <w14:schemeClr w14:val="tx1"/>
                  </w14:solidFill>
                </w14:textFill>
              </w:rPr>
              <w:t>好的</w:t>
            </w:r>
            <w:r>
              <w:rPr>
                <w:rFonts w:hint="eastAsia" w:ascii="Times New Roman" w:hAnsi="Times New Roman" w:eastAsia="宋体" w:cs="Times New Roman"/>
                <w:color w:val="000000" w:themeColor="text1"/>
                <w:sz w:val="24"/>
                <w14:textFill>
                  <w14:solidFill>
                    <w14:schemeClr w14:val="tx1"/>
                  </w14:solidFill>
                </w14:textFill>
              </w:rPr>
              <w:t>铸钢件</w:t>
            </w:r>
            <w:r>
              <w:rPr>
                <w:rFonts w:ascii="Times New Roman" w:hAnsi="Times New Roman" w:eastAsia="宋体" w:cs="Times New Roman"/>
                <w:color w:val="000000" w:themeColor="text1"/>
                <w:sz w:val="24"/>
                <w14:textFill>
                  <w14:solidFill>
                    <w14:schemeClr w14:val="tx1"/>
                  </w14:solidFill>
                </w14:textFill>
              </w:rPr>
              <w:t>打包入库备用。</w:t>
            </w:r>
          </w:p>
          <w:p w14:paraId="0DD29FE7">
            <w:pPr>
              <w:adjustRightInd w:val="0"/>
              <w:snapToGri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产污环节：</w:t>
            </w:r>
          </w:p>
          <w:p w14:paraId="329F2508">
            <w:pPr>
              <w:adjustRightInd w:val="0"/>
              <w:snapToGrid w:val="0"/>
              <w:spacing w:line="360" w:lineRule="auto"/>
              <w:ind w:firstLine="480" w:firstLineChars="200"/>
              <w:rPr>
                <w:rFonts w:ascii="Times New Roman" w:hAnsi="Times New Roman" w:eastAsia="宋体" w:cs="Times New Roman"/>
                <w:bCs/>
                <w:color w:val="000000" w:themeColor="text1"/>
                <w:sz w:val="24"/>
                <w:szCs w:val="21"/>
                <w14:textFill>
                  <w14:solidFill>
                    <w14:schemeClr w14:val="tx1"/>
                  </w14:solidFill>
                </w14:textFill>
              </w:rPr>
            </w:pPr>
            <w:r>
              <w:rPr>
                <w:rFonts w:hint="eastAsia" w:ascii="Times New Roman" w:hAnsi="Times New Roman" w:eastAsia="宋体" w:cs="Times New Roman"/>
                <w:bCs/>
                <w:color w:val="000000" w:themeColor="text1"/>
                <w:sz w:val="24"/>
                <w:szCs w:val="21"/>
                <w14:textFill>
                  <w14:solidFill>
                    <w14:schemeClr w14:val="tx1"/>
                  </w14:solidFill>
                </w14:textFill>
              </w:rPr>
              <w:t>①废水：员工生活污水；</w:t>
            </w:r>
          </w:p>
          <w:p w14:paraId="1E5C858A">
            <w:pPr>
              <w:adjustRightInd w:val="0"/>
              <w:snapToGrid w:val="0"/>
              <w:spacing w:line="360" w:lineRule="auto"/>
              <w:ind w:firstLine="480" w:firstLineChars="200"/>
              <w:rPr>
                <w:rFonts w:ascii="Times New Roman" w:hAnsi="Times New Roman" w:eastAsia="宋体" w:cs="Times New Roman"/>
                <w:bCs/>
                <w:color w:val="000000" w:themeColor="text1"/>
                <w:sz w:val="24"/>
                <w:szCs w:val="21"/>
                <w14:textFill>
                  <w14:solidFill>
                    <w14:schemeClr w14:val="tx1"/>
                  </w14:solidFill>
                </w14:textFill>
              </w:rPr>
            </w:pPr>
            <w:r>
              <w:rPr>
                <w:rFonts w:hint="eastAsia" w:ascii="Times New Roman" w:hAnsi="Times New Roman" w:eastAsia="宋体" w:cs="Times New Roman"/>
                <w:bCs/>
                <w:color w:val="000000" w:themeColor="text1"/>
                <w:sz w:val="24"/>
                <w:szCs w:val="21"/>
                <w14:textFill>
                  <w14:solidFill>
                    <w14:schemeClr w14:val="tx1"/>
                  </w14:solidFill>
                </w14:textFill>
              </w:rPr>
              <w:t>②废气：熔炼废气</w:t>
            </w:r>
            <w:r>
              <w:rPr>
                <w:rFonts w:ascii="Times New Roman" w:hAnsi="Times New Roman" w:eastAsia="宋体" w:cs="Times New Roman"/>
                <w:bCs/>
                <w:color w:val="000000" w:themeColor="text1"/>
                <w:sz w:val="24"/>
                <w:szCs w:val="21"/>
                <w14:textFill>
                  <w14:solidFill>
                    <w14:schemeClr w14:val="tx1"/>
                  </w14:solidFill>
                </w14:textFill>
              </w:rPr>
              <w:t>、</w:t>
            </w:r>
            <w:r>
              <w:rPr>
                <w:rFonts w:hint="eastAsia" w:ascii="Times New Roman" w:hAnsi="Times New Roman" w:eastAsia="宋体" w:cs="Times New Roman"/>
                <w:bCs/>
                <w:color w:val="000000" w:themeColor="text1"/>
                <w:sz w:val="24"/>
                <w:szCs w:val="21"/>
                <w14:textFill>
                  <w14:solidFill>
                    <w14:schemeClr w14:val="tx1"/>
                  </w14:solidFill>
                </w14:textFill>
              </w:rPr>
              <w:t>造型、浇注</w:t>
            </w:r>
            <w:r>
              <w:rPr>
                <w:rFonts w:ascii="Times New Roman" w:hAnsi="Times New Roman" w:eastAsia="宋体" w:cs="Times New Roman"/>
                <w:bCs/>
                <w:color w:val="000000" w:themeColor="text1"/>
                <w:sz w:val="24"/>
                <w:szCs w:val="21"/>
                <w14:textFill>
                  <w14:solidFill>
                    <w14:schemeClr w14:val="tx1"/>
                  </w14:solidFill>
                </w14:textFill>
              </w:rPr>
              <w:t>废气</w:t>
            </w:r>
            <w:r>
              <w:rPr>
                <w:rFonts w:hint="eastAsia" w:ascii="Times New Roman" w:hAnsi="Times New Roman" w:eastAsia="宋体" w:cs="Times New Roman"/>
                <w:bCs/>
                <w:color w:val="000000" w:themeColor="text1"/>
                <w:sz w:val="24"/>
                <w:szCs w:val="21"/>
                <w14:textFill>
                  <w14:solidFill>
                    <w14:schemeClr w14:val="tx1"/>
                  </w14:solidFill>
                </w14:textFill>
              </w:rPr>
              <w:t>、落砂</w:t>
            </w:r>
            <w:r>
              <w:rPr>
                <w:rFonts w:ascii="Times New Roman" w:hAnsi="Times New Roman" w:eastAsia="宋体" w:cs="Times New Roman"/>
                <w:bCs/>
                <w:color w:val="000000" w:themeColor="text1"/>
                <w:sz w:val="24"/>
                <w:szCs w:val="21"/>
                <w14:textFill>
                  <w14:solidFill>
                    <w14:schemeClr w14:val="tx1"/>
                  </w14:solidFill>
                </w14:textFill>
              </w:rPr>
              <w:t>废气、砂处理废气</w:t>
            </w:r>
            <w:r>
              <w:rPr>
                <w:rFonts w:hint="eastAsia" w:ascii="Times New Roman" w:hAnsi="Times New Roman" w:eastAsia="宋体" w:cs="Times New Roman"/>
                <w:bCs/>
                <w:color w:val="000000" w:themeColor="text1"/>
                <w:sz w:val="24"/>
                <w:szCs w:val="21"/>
                <w14:textFill>
                  <w14:solidFill>
                    <w14:schemeClr w14:val="tx1"/>
                  </w14:solidFill>
                </w14:textFill>
              </w:rPr>
              <w:t>、打磨</w:t>
            </w:r>
            <w:r>
              <w:rPr>
                <w:rFonts w:ascii="Times New Roman" w:hAnsi="Times New Roman" w:eastAsia="宋体" w:cs="Times New Roman"/>
                <w:bCs/>
                <w:color w:val="000000" w:themeColor="text1"/>
                <w:sz w:val="24"/>
                <w:szCs w:val="21"/>
                <w14:textFill>
                  <w14:solidFill>
                    <w14:schemeClr w14:val="tx1"/>
                  </w14:solidFill>
                </w14:textFill>
              </w:rPr>
              <w:t>粉尘、抛丸废气；</w:t>
            </w:r>
          </w:p>
          <w:p w14:paraId="5E7BCC9B">
            <w:pPr>
              <w:adjustRightInd w:val="0"/>
              <w:snapToGrid w:val="0"/>
              <w:spacing w:line="360" w:lineRule="auto"/>
              <w:ind w:firstLine="480" w:firstLineChars="200"/>
              <w:rPr>
                <w:rFonts w:ascii="Times New Roman" w:hAnsi="Times New Roman" w:eastAsia="宋体" w:cs="Times New Roman"/>
                <w:bCs/>
                <w:color w:val="000000" w:themeColor="text1"/>
                <w:sz w:val="24"/>
                <w:szCs w:val="21"/>
                <w14:textFill>
                  <w14:solidFill>
                    <w14:schemeClr w14:val="tx1"/>
                  </w14:solidFill>
                </w14:textFill>
              </w:rPr>
            </w:pPr>
            <w:r>
              <w:rPr>
                <w:rFonts w:hint="eastAsia" w:ascii="Times New Roman" w:hAnsi="Times New Roman" w:eastAsia="宋体" w:cs="Times New Roman"/>
                <w:bCs/>
                <w:color w:val="000000" w:themeColor="text1"/>
                <w:sz w:val="24"/>
                <w:szCs w:val="21"/>
                <w14:textFill>
                  <w14:solidFill>
                    <w14:schemeClr w14:val="tx1"/>
                  </w14:solidFill>
                </w14:textFill>
              </w:rPr>
              <w:t xml:space="preserve">③噪声：生产设备运行过程产生的噪声； </w:t>
            </w:r>
          </w:p>
          <w:p w14:paraId="51264F02">
            <w:pPr>
              <w:adjustRightInd w:val="0"/>
              <w:snapToGrid w:val="0"/>
              <w:spacing w:line="360" w:lineRule="auto"/>
              <w:ind w:firstLine="480" w:firstLineChars="200"/>
              <w:jc w:val="left"/>
              <w:rPr>
                <w:rFonts w:ascii="Times New Roman" w:hAnsi="Times New Roman" w:eastAsia="宋体" w:cs="Times New Roman"/>
                <w:bCs/>
                <w:color w:val="000000" w:themeColor="text1"/>
                <w:sz w:val="24"/>
                <w:szCs w:val="21"/>
                <w14:textFill>
                  <w14:solidFill>
                    <w14:schemeClr w14:val="tx1"/>
                  </w14:solidFill>
                </w14:textFill>
              </w:rPr>
            </w:pPr>
            <w:r>
              <w:rPr>
                <w:rFonts w:hint="eastAsia" w:ascii="Times New Roman" w:hAnsi="Times New Roman" w:eastAsia="宋体" w:cs="Times New Roman"/>
                <w:bCs/>
                <w:color w:val="000000" w:themeColor="text1"/>
                <w:sz w:val="24"/>
                <w:szCs w:val="21"/>
                <w14:textFill>
                  <w14:solidFill>
                    <w14:schemeClr w14:val="tx1"/>
                  </w14:solidFill>
                </w14:textFill>
              </w:rPr>
              <w:t>④固体废物：生活垃圾、熔炉渣、废布袋、废砂轮、废砂、废钢丸、废机油、含油抹布及手套、废机油桶。</w:t>
            </w:r>
          </w:p>
          <w:p w14:paraId="3AB13462">
            <w:pPr>
              <w:adjustRightInd w:val="0"/>
              <w:snapToGrid w:val="0"/>
              <w:spacing w:line="360" w:lineRule="auto"/>
              <w:ind w:firstLine="480" w:firstLineChars="200"/>
              <w:jc w:val="left"/>
              <w:rPr>
                <w:rFonts w:ascii="Times New Roman" w:hAnsi="Times New Roman" w:eastAsia="宋体" w:cs="Times New Roman"/>
                <w:b/>
                <w:bCs/>
                <w:color w:val="000000" w:themeColor="text1"/>
                <w:sz w:val="24"/>
                <w:szCs w:val="21"/>
                <w14:textFill>
                  <w14:solidFill>
                    <w14:schemeClr w14:val="tx1"/>
                  </w14:solidFill>
                </w14:textFill>
              </w:rPr>
            </w:pPr>
            <w:r>
              <w:rPr>
                <w:rFonts w:ascii="Times New Roman" w:hAnsi="Times New Roman" w:eastAsia="宋体" w:cs="Times New Roman"/>
                <w:b/>
                <w:bCs/>
                <w:color w:val="000000" w:themeColor="text1"/>
                <w:sz w:val="24"/>
                <w:szCs w:val="21"/>
                <w14:textFill>
                  <w14:solidFill>
                    <w14:schemeClr w14:val="tx1"/>
                  </w14:solidFill>
                </w14:textFill>
              </w:rPr>
              <w:t>三、原项目污染源</w:t>
            </w:r>
          </w:p>
          <w:p w14:paraId="1E7D02FA">
            <w:pPr>
              <w:adjustRightInd w:val="0"/>
              <w:snapToGrid w:val="0"/>
              <w:spacing w:line="360" w:lineRule="auto"/>
              <w:ind w:firstLine="480" w:firstLineChars="200"/>
              <w:jc w:val="left"/>
              <w:rPr>
                <w:rFonts w:ascii="Times New Roman" w:hAnsi="Times New Roman" w:eastAsia="宋体" w:cs="Times New Roman"/>
                <w:bCs/>
                <w:color w:val="000000" w:themeColor="text1"/>
                <w:sz w:val="24"/>
                <w:szCs w:val="21"/>
                <w14:textFill>
                  <w14:solidFill>
                    <w14:schemeClr w14:val="tx1"/>
                  </w14:solidFill>
                </w14:textFill>
              </w:rPr>
            </w:pPr>
            <w:r>
              <w:rPr>
                <w:rFonts w:ascii="Times New Roman" w:hAnsi="Times New Roman" w:eastAsia="宋体" w:cs="Times New Roman"/>
                <w:bCs/>
                <w:color w:val="000000" w:themeColor="text1"/>
                <w:sz w:val="24"/>
                <w:szCs w:val="21"/>
                <w14:textFill>
                  <w14:solidFill>
                    <w14:schemeClr w14:val="tx1"/>
                  </w14:solidFill>
                </w14:textFill>
              </w:rPr>
              <w:t>1、废气</w:t>
            </w:r>
          </w:p>
          <w:p w14:paraId="2B469CFB">
            <w:pPr>
              <w:adjustRightInd w:val="0"/>
              <w:snapToGrid w:val="0"/>
              <w:spacing w:line="360" w:lineRule="auto"/>
              <w:ind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原项目产生的废气为熔炼、造型、浇注、落砂、砂处理、打磨、抛丸工序产生的颗粒物。</w:t>
            </w:r>
          </w:p>
          <w:p w14:paraId="41B28746">
            <w:pPr>
              <w:adjustRightInd w:val="0"/>
              <w:snapToGrid w:val="0"/>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2、废水</w:t>
            </w:r>
          </w:p>
          <w:p w14:paraId="2C2441EB">
            <w:pPr>
              <w:adjustRightInd w:val="0"/>
              <w:snapToGrid w:val="0"/>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原项目的外排水为生活污水，生活污水经三级化粪池预处理后，经园区污水管网排入园区污水处理厂处理。原项目无生产废水产生。</w:t>
            </w:r>
          </w:p>
          <w:p w14:paraId="5D0CC0D1">
            <w:pPr>
              <w:adjustRightInd w:val="0"/>
              <w:snapToGrid w:val="0"/>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3、噪声</w:t>
            </w:r>
          </w:p>
          <w:p w14:paraId="1BEB1C87">
            <w:pPr>
              <w:adjustRightInd w:val="0"/>
              <w:snapToGrid w:val="0"/>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原项目噪声源主要为混砂机、水平造型机、垂直造型机、振动落砂机、打磨机等生产设备，源强为</w:t>
            </w:r>
            <w:r>
              <w:rPr>
                <w:rFonts w:hint="eastAsia" w:ascii="Times New Roman" w:hAnsi="Times New Roman" w:cs="Times New Roman"/>
                <w:color w:val="000000" w:themeColor="text1"/>
                <w:sz w:val="24"/>
                <w14:textFill>
                  <w14:solidFill>
                    <w14:schemeClr w14:val="tx1"/>
                  </w14:solidFill>
                </w14:textFill>
              </w:rPr>
              <w:t>6</w:t>
            </w:r>
            <w:r>
              <w:rPr>
                <w:rFonts w:ascii="Times New Roman" w:hAnsi="Times New Roman" w:cs="Times New Roman"/>
                <w:color w:val="000000" w:themeColor="text1"/>
                <w:sz w:val="24"/>
                <w14:textFill>
                  <w14:solidFill>
                    <w14:schemeClr w14:val="tx1"/>
                  </w14:solidFill>
                </w14:textFill>
              </w:rPr>
              <w:t>0~90dB（</w:t>
            </w:r>
            <w:r>
              <w:rPr>
                <w:rFonts w:hint="eastAsia" w:ascii="Times New Roman" w:hAnsi="Times New Roman" w:cs="Times New Roman"/>
                <w:color w:val="000000" w:themeColor="text1"/>
                <w:sz w:val="24"/>
                <w14:textFill>
                  <w14:solidFill>
                    <w14:schemeClr w14:val="tx1"/>
                  </w14:solidFill>
                </w14:textFill>
              </w:rPr>
              <w:t>A</w:t>
            </w:r>
            <w:r>
              <w:rPr>
                <w:rFonts w:ascii="Times New Roman" w:hAnsi="Times New Roman" w:cs="Times New Roman"/>
                <w:color w:val="000000" w:themeColor="text1"/>
                <w:sz w:val="24"/>
                <w14:textFill>
                  <w14:solidFill>
                    <w14:schemeClr w14:val="tx1"/>
                  </w14:solidFill>
                </w14:textFill>
              </w:rPr>
              <w:t>）。</w:t>
            </w:r>
          </w:p>
          <w:p w14:paraId="40C962C9">
            <w:pPr>
              <w:adjustRightInd w:val="0"/>
              <w:snapToGrid w:val="0"/>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4、固废</w:t>
            </w:r>
          </w:p>
          <w:p w14:paraId="13EB92FD">
            <w:pPr>
              <w:adjustRightInd w:val="0"/>
              <w:snapToGrid w:val="0"/>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原项目产生的固体废物包括生活垃圾、一般固废及危险废物。</w:t>
            </w:r>
          </w:p>
          <w:p w14:paraId="69FE468A">
            <w:pPr>
              <w:adjustRightInd w:val="0"/>
              <w:snapToGrid w:val="0"/>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（1）生活垃圾</w:t>
            </w:r>
          </w:p>
          <w:p w14:paraId="49163F82">
            <w:pPr>
              <w:adjustRightInd w:val="0"/>
              <w:snapToGri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本项目共有员工</w:t>
            </w:r>
            <w:r>
              <w:rPr>
                <w:rFonts w:ascii="Times New Roman" w:hAnsi="Times New Roman" w:eastAsia="宋体" w:cs="Times New Roman"/>
                <w:color w:val="000000" w:themeColor="text1"/>
                <w:sz w:val="24"/>
                <w14:textFill>
                  <w14:solidFill>
                    <w14:schemeClr w14:val="tx1"/>
                  </w14:solidFill>
                </w14:textFill>
              </w:rPr>
              <w:t>20</w:t>
            </w:r>
            <w:r>
              <w:rPr>
                <w:rFonts w:hint="eastAsia" w:ascii="Times New Roman" w:hAnsi="Times New Roman" w:eastAsia="宋体" w:cs="Times New Roman"/>
                <w:color w:val="000000" w:themeColor="text1"/>
                <w:sz w:val="24"/>
                <w14:textFill>
                  <w14:solidFill>
                    <w14:schemeClr w14:val="tx1"/>
                  </w14:solidFill>
                </w14:textFill>
              </w:rPr>
              <w:t>人，员工生活垃圾按每人每日产生量0.5kg计，生活垃圾的产生量</w:t>
            </w:r>
            <w:r>
              <w:rPr>
                <w:rFonts w:ascii="Times New Roman" w:hAnsi="Times New Roman" w:eastAsia="宋体" w:cs="Times New Roman"/>
                <w:color w:val="000000" w:themeColor="text1"/>
                <w:sz w:val="24"/>
                <w14:textFill>
                  <w14:solidFill>
                    <w14:schemeClr w14:val="tx1"/>
                  </w14:solidFill>
                </w14:textFill>
              </w:rPr>
              <w:t>10</w:t>
            </w:r>
            <w:r>
              <w:rPr>
                <w:rFonts w:hint="eastAsia" w:ascii="Times New Roman" w:hAnsi="Times New Roman" w:eastAsia="宋体" w:cs="Times New Roman"/>
                <w:color w:val="000000" w:themeColor="text1"/>
                <w:sz w:val="24"/>
                <w14:textFill>
                  <w14:solidFill>
                    <w14:schemeClr w14:val="tx1"/>
                  </w14:solidFill>
                </w14:textFill>
              </w:rPr>
              <w:t>t/a，生活垃圾收集后交由环卫部门清运。</w:t>
            </w:r>
          </w:p>
          <w:p w14:paraId="404A15C5">
            <w:pPr>
              <w:adjustRightInd w:val="0"/>
              <w:snapToGri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）一般固废</w:t>
            </w:r>
          </w:p>
          <w:p w14:paraId="66C8903E">
            <w:pPr>
              <w:adjustRightInd w:val="0"/>
              <w:snapToGrid w:val="0"/>
              <w:spacing w:line="360" w:lineRule="auto"/>
              <w:ind w:firstLine="480" w:firstLineChars="200"/>
              <w:jc w:val="left"/>
              <w:rPr>
                <w:rFonts w:ascii="Times New Roman" w:hAnsi="Times New Roman" w:eastAsia="宋体" w:cs="宋体"/>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①废布袋：</w:t>
            </w:r>
            <w:r>
              <w:rPr>
                <w:rFonts w:ascii="Times New Roman" w:hAnsi="Times New Roman" w:eastAsia="宋体" w:cs="宋体"/>
                <w:color w:val="000000" w:themeColor="text1"/>
                <w:sz w:val="24"/>
                <w14:textFill>
                  <w14:solidFill>
                    <w14:schemeClr w14:val="tx1"/>
                  </w14:solidFill>
                </w14:textFill>
              </w:rPr>
              <w:t>本项目造型、熔炼、浇注、打磨、抛丸、落砂过程中产生的废气采用布袋除尘器处理，废气处理过程中会产生少量的废布袋，</w:t>
            </w:r>
            <w:r>
              <w:rPr>
                <w:rFonts w:hint="eastAsia" w:ascii="Times New Roman" w:hAnsi="Times New Roman" w:eastAsia="宋体" w:cs="宋体"/>
                <w:color w:val="000000" w:themeColor="text1"/>
                <w:sz w:val="24"/>
                <w14:textFill>
                  <w14:solidFill>
                    <w14:schemeClr w14:val="tx1"/>
                  </w14:solidFill>
                </w14:textFill>
              </w:rPr>
              <w:t>废布袋年产量为1t/a。废布袋经统一收集后交由资源单位回收利用。</w:t>
            </w:r>
          </w:p>
          <w:p w14:paraId="49394690">
            <w:pPr>
              <w:adjustRightInd w:val="0"/>
              <w:snapToGrid w:val="0"/>
              <w:spacing w:line="360" w:lineRule="auto"/>
              <w:ind w:firstLine="480" w:firstLineChars="200"/>
              <w:jc w:val="left"/>
              <w:rPr>
                <w:rFonts w:ascii="Times New Roman" w:hAnsi="Times New Roman" w:eastAsia="宋体" w:cs="宋体"/>
                <w:color w:val="000000" w:themeColor="text1"/>
                <w:sz w:val="24"/>
                <w14:textFill>
                  <w14:solidFill>
                    <w14:schemeClr w14:val="tx1"/>
                  </w14:solidFill>
                </w14:textFill>
              </w:rPr>
            </w:pPr>
            <w:r>
              <w:rPr>
                <w:rFonts w:hint="eastAsia" w:ascii="Times New Roman" w:hAnsi="Times New Roman" w:eastAsia="宋体" w:cs="宋体"/>
                <w:color w:val="000000" w:themeColor="text1"/>
                <w:sz w:val="24"/>
                <w14:textFill>
                  <w14:solidFill>
                    <w14:schemeClr w14:val="tx1"/>
                  </w14:solidFill>
                </w14:textFill>
              </w:rPr>
              <w:t>②熔炉渣：项目中频炉熔炼过程会产生熔炉渣，本项目铸件产量为20000t/a，熔炉渣产生量为3000t/a，收集后交资源单位回收利用。</w:t>
            </w:r>
          </w:p>
          <w:p w14:paraId="57D3C781">
            <w:pPr>
              <w:adjustRightInd w:val="0"/>
              <w:snapToGrid w:val="0"/>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eastAsia="宋体" w:cs="宋体"/>
                <w:color w:val="000000" w:themeColor="text1"/>
                <w:sz w:val="24"/>
                <w14:textFill>
                  <w14:solidFill>
                    <w14:schemeClr w14:val="tx1"/>
                  </w14:solidFill>
                </w14:textFill>
              </w:rPr>
              <w:t>③废砂轮：</w:t>
            </w:r>
            <w:r>
              <w:rPr>
                <w:rFonts w:ascii="Times New Roman" w:hAnsi="Times New Roman" w:eastAsia="宋体" w:cs="Times New Roman"/>
                <w:color w:val="000000" w:themeColor="text1"/>
                <w:sz w:val="24"/>
                <w14:textFill>
                  <w14:solidFill>
                    <w14:schemeClr w14:val="tx1"/>
                  </w14:solidFill>
                </w14:textFill>
              </w:rPr>
              <w:t>项目使用打磨机打磨铸钢件会产生废砂轮，根据实际生产，废砂轮产生量约为1.5t/a，收集后</w:t>
            </w:r>
            <w:r>
              <w:rPr>
                <w:rFonts w:hint="eastAsia" w:ascii="Times New Roman" w:hAnsi="Times New Roman" w:eastAsia="宋体" w:cs="Times New Roman"/>
                <w:color w:val="000000" w:themeColor="text1"/>
                <w:sz w:val="24"/>
                <w14:textFill>
                  <w14:solidFill>
                    <w14:schemeClr w14:val="tx1"/>
                  </w14:solidFill>
                </w14:textFill>
              </w:rPr>
              <w:t>交资源</w:t>
            </w:r>
            <w:r>
              <w:rPr>
                <w:rFonts w:ascii="Times New Roman" w:hAnsi="Times New Roman" w:eastAsia="宋体" w:cs="Times New Roman"/>
                <w:color w:val="000000" w:themeColor="text1"/>
                <w:sz w:val="24"/>
                <w14:textFill>
                  <w14:solidFill>
                    <w14:schemeClr w14:val="tx1"/>
                  </w14:solidFill>
                </w14:textFill>
              </w:rPr>
              <w:t>单位回收利用。</w:t>
            </w:r>
          </w:p>
          <w:p w14:paraId="280C4B56">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④废钢丸：</w:t>
            </w:r>
            <w:r>
              <w:rPr>
                <w:rFonts w:hint="eastAsia" w:ascii="Times New Roman" w:hAnsi="Times New Roman" w:eastAsia="宋体" w:cs="Times New Roman"/>
                <w:color w:val="000000" w:themeColor="text1"/>
                <w:sz w:val="24"/>
                <w14:textFill>
                  <w14:solidFill>
                    <w14:schemeClr w14:val="tx1"/>
                  </w14:solidFill>
                </w14:textFill>
              </w:rPr>
              <w:t>本项目抛丸过程会使用到钢丸，钢丸使用一段时间后需进行更换，项目废钢丸产生量约为</w:t>
            </w:r>
            <w:r>
              <w:rPr>
                <w:rFonts w:ascii="Times New Roman" w:hAnsi="Times New Roman" w:eastAsia="宋体" w:cs="Times New Roman"/>
                <w:color w:val="000000" w:themeColor="text1"/>
                <w:sz w:val="24"/>
                <w14:textFill>
                  <w14:solidFill>
                    <w14:schemeClr w14:val="tx1"/>
                  </w14:solidFill>
                </w14:textFill>
              </w:rPr>
              <w:t>1</w:t>
            </w:r>
            <w:r>
              <w:rPr>
                <w:rFonts w:hint="eastAsia" w:ascii="Times New Roman" w:hAnsi="Times New Roman" w:eastAsia="宋体" w:cs="Times New Roman"/>
                <w:color w:val="000000" w:themeColor="text1"/>
                <w:sz w:val="24"/>
                <w14:textFill>
                  <w14:solidFill>
                    <w14:schemeClr w14:val="tx1"/>
                  </w14:solidFill>
                </w14:textFill>
              </w:rPr>
              <w:t>t/a，交由资源回收单位利用。</w:t>
            </w:r>
          </w:p>
          <w:p w14:paraId="35EE63CD">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⑤废砂：原</w:t>
            </w:r>
            <w:r>
              <w:rPr>
                <w:rFonts w:ascii="Times New Roman" w:hAnsi="Times New Roman" w:eastAsia="宋体" w:cs="Times New Roman"/>
                <w:color w:val="000000" w:themeColor="text1"/>
                <w:sz w:val="24"/>
                <w14:textFill>
                  <w14:solidFill>
                    <w14:schemeClr w14:val="tx1"/>
                  </w14:solidFill>
                </w14:textFill>
              </w:rPr>
              <w:t>项目浇铸落砂进行砂处理回收后，部分废砂未能回收利用的</w:t>
            </w:r>
            <w:r>
              <w:rPr>
                <w:rFonts w:hint="eastAsia" w:ascii="Times New Roman" w:hAnsi="Times New Roman" w:eastAsia="宋体" w:cs="Times New Roman"/>
                <w:color w:val="000000" w:themeColor="text1"/>
                <w:sz w:val="24"/>
                <w14:textFill>
                  <w14:solidFill>
                    <w14:schemeClr w14:val="tx1"/>
                  </w14:solidFill>
                </w14:textFill>
              </w:rPr>
              <w:t>作为废物处理</w:t>
            </w:r>
            <w:r>
              <w:rPr>
                <w:rFonts w:ascii="Times New Roman" w:hAnsi="Times New Roman" w:eastAsia="宋体" w:cs="Times New Roman"/>
                <w:color w:val="000000" w:themeColor="text1"/>
                <w:sz w:val="24"/>
                <w14:textFill>
                  <w14:solidFill>
                    <w14:schemeClr w14:val="tx1"/>
                  </w14:solidFill>
                </w14:textFill>
              </w:rPr>
              <w:t>，废砂的产生量为20t/a，收集后交资源单位回收利用。</w:t>
            </w:r>
          </w:p>
          <w:p w14:paraId="4922EEC1">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）危险废物</w:t>
            </w:r>
          </w:p>
          <w:p w14:paraId="1E73FE42">
            <w:pPr>
              <w:tabs>
                <w:tab w:val="left" w:pos="652"/>
              </w:tabs>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①废机油：</w:t>
            </w:r>
            <w:r>
              <w:rPr>
                <w:rFonts w:hint="eastAsia" w:ascii="Times New Roman" w:hAnsi="Times New Roman" w:cs="Times New Roman"/>
                <w:color w:val="000000" w:themeColor="text1"/>
                <w:sz w:val="24"/>
                <w14:textFill>
                  <w14:solidFill>
                    <w14:schemeClr w14:val="tx1"/>
                  </w14:solidFill>
                </w14:textFill>
              </w:rPr>
              <w:t>原项目生产设备维护保养过程中会产生少量废机油，废机油产生量0.02t/a。废机油经收集后交由具有危废处置资质的单位处置。</w:t>
            </w:r>
          </w:p>
          <w:p w14:paraId="5AA33724">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②废机油桶</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危险废包装材料）</w:t>
            </w:r>
            <w:r>
              <w:rPr>
                <w:rFonts w:hint="eastAsia" w:ascii="Times New Roman" w:hAnsi="Times New Roman"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原项目生产设备维修保养过程中会产生废机油桶，废机油桶产生量0</w:t>
            </w:r>
            <w:r>
              <w:rPr>
                <w:rFonts w:ascii="Times New Roman" w:hAnsi="Times New Roman" w:eastAsia="宋体" w:cs="Times New Roman"/>
                <w:color w:val="000000" w:themeColor="text1"/>
                <w:sz w:val="24"/>
                <w14:textFill>
                  <w14:solidFill>
                    <w14:schemeClr w14:val="tx1"/>
                  </w14:solidFill>
                </w14:textFill>
              </w:rPr>
              <w:t>.1t/a，</w:t>
            </w:r>
            <w:r>
              <w:rPr>
                <w:rFonts w:hint="eastAsia" w:ascii="Times New Roman" w:hAnsi="Times New Roman" w:eastAsia="宋体" w:cs="Times New Roman"/>
                <w:color w:val="000000" w:themeColor="text1"/>
                <w:sz w:val="24"/>
                <w14:textFill>
                  <w14:solidFill>
                    <w14:schemeClr w14:val="tx1"/>
                  </w14:solidFill>
                </w14:textFill>
              </w:rPr>
              <w:t>废机油桶经收集后交由具有危废处置资质的单位处置。</w:t>
            </w:r>
          </w:p>
          <w:p w14:paraId="204984D0">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③含油抹布及手套</w:t>
            </w:r>
            <w:r>
              <w:rPr>
                <w:rFonts w:ascii="Times New Roman" w:hAnsi="Times New Roman" w:eastAsia="宋体" w:cs="Times New Roman"/>
                <w:color w:val="000000" w:themeColor="text1"/>
                <w:sz w:val="24"/>
                <w14:textFill>
                  <w14:solidFill>
                    <w14:schemeClr w14:val="tx1"/>
                  </w14:solidFill>
                </w14:textFill>
              </w:rPr>
              <w:t>：原</w:t>
            </w:r>
            <w:r>
              <w:rPr>
                <w:rFonts w:hint="eastAsia" w:ascii="Times New Roman" w:hAnsi="Times New Roman" w:eastAsia="宋体" w:cs="Times New Roman"/>
                <w:color w:val="000000" w:themeColor="text1"/>
                <w:sz w:val="24"/>
                <w14:textFill>
                  <w14:solidFill>
                    <w14:schemeClr w14:val="tx1"/>
                  </w14:solidFill>
                </w14:textFill>
              </w:rPr>
              <w:t>项目生产设备维护保养过程中会产生含油抹布及手套，产生量0.02t/a，暂存于危废暂存间指定的区域内，定期委托有相应资质的单位处置。</w:t>
            </w:r>
          </w:p>
          <w:p w14:paraId="1E46E136">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四、原项目主要污染物产排情况及防治措施</w:t>
            </w:r>
          </w:p>
          <w:p w14:paraId="55049B67">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原项目情况结合原环评及项目实际建设情况进行论述，对原项目污染物排放达标情况进行分析，</w:t>
            </w:r>
            <w:r>
              <w:rPr>
                <w:rFonts w:hint="eastAsia" w:ascii="Times New Roman" w:hAnsi="Times New Roman" w:eastAsia="宋体" w:cs="Times New Roman"/>
                <w:color w:val="000000" w:themeColor="text1"/>
                <w:sz w:val="24"/>
                <w:lang w:val="en-US" w:eastAsia="zh-CN"/>
                <w14:textFill>
                  <w14:solidFill>
                    <w14:schemeClr w14:val="tx1"/>
                  </w14:solidFill>
                </w14:textFill>
              </w:rPr>
              <w:t>原项目</w:t>
            </w:r>
            <w:r>
              <w:rPr>
                <w:rFonts w:ascii="Times New Roman" w:hAnsi="Times New Roman" w:eastAsia="宋体" w:cs="Times New Roman"/>
                <w:color w:val="000000" w:themeColor="text1"/>
                <w:sz w:val="24"/>
                <w14:textFill>
                  <w14:solidFill>
                    <w14:schemeClr w14:val="tx1"/>
                  </w14:solidFill>
                </w14:textFill>
              </w:rPr>
              <w:t>各项环保设施及落实情况见下表：</w:t>
            </w:r>
          </w:p>
          <w:p w14:paraId="0BEC5E08">
            <w:pPr>
              <w:ind w:firstLine="420" w:firstLineChars="200"/>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表2-8 原项目水环境产排情况及防治措施一览表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843"/>
              <w:gridCol w:w="843"/>
              <w:gridCol w:w="843"/>
              <w:gridCol w:w="843"/>
              <w:gridCol w:w="843"/>
              <w:gridCol w:w="843"/>
              <w:gridCol w:w="843"/>
              <w:gridCol w:w="843"/>
            </w:tblGrid>
            <w:tr w14:paraId="13B6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843" w:type="dxa"/>
                  <w:vMerge w:val="restart"/>
                  <w:vAlign w:val="center"/>
                </w:tcPr>
                <w:p w14:paraId="5E8B29E1">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污染源</w:t>
                  </w:r>
                </w:p>
              </w:tc>
              <w:tc>
                <w:tcPr>
                  <w:tcW w:w="843" w:type="dxa"/>
                  <w:vMerge w:val="restart"/>
                  <w:vAlign w:val="center"/>
                </w:tcPr>
                <w:p w14:paraId="1BD2820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污染物名称</w:t>
                  </w:r>
                </w:p>
              </w:tc>
              <w:tc>
                <w:tcPr>
                  <w:tcW w:w="843" w:type="dxa"/>
                  <w:vMerge w:val="restart"/>
                  <w:vAlign w:val="center"/>
                </w:tcPr>
                <w:p w14:paraId="75D239AD">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收集方式</w:t>
                  </w:r>
                </w:p>
              </w:tc>
              <w:tc>
                <w:tcPr>
                  <w:tcW w:w="843" w:type="dxa"/>
                  <w:vMerge w:val="restart"/>
                  <w:vAlign w:val="center"/>
                </w:tcPr>
                <w:p w14:paraId="1CFB8F7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治理工艺</w:t>
                  </w:r>
                </w:p>
              </w:tc>
              <w:tc>
                <w:tcPr>
                  <w:tcW w:w="2529" w:type="dxa"/>
                  <w:gridSpan w:val="3"/>
                  <w:vAlign w:val="center"/>
                </w:tcPr>
                <w:p w14:paraId="66C1459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污染物变化情况</w:t>
                  </w:r>
                </w:p>
              </w:tc>
              <w:tc>
                <w:tcPr>
                  <w:tcW w:w="843" w:type="dxa"/>
                  <w:vMerge w:val="restart"/>
                  <w:vAlign w:val="center"/>
                </w:tcPr>
                <w:p w14:paraId="1F9842B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污染物排放浓度（mg/</w:t>
                  </w:r>
                  <w:r>
                    <w:rPr>
                      <w:rFonts w:ascii="Times New Roman" w:hAnsi="Times New Roman" w:eastAsia="宋体" w:cs="Times New Roman"/>
                      <w:color w:val="000000" w:themeColor="text1"/>
                      <w:szCs w:val="21"/>
                      <w14:textFill>
                        <w14:solidFill>
                          <w14:schemeClr w14:val="tx1"/>
                        </w14:solidFill>
                      </w14:textFill>
                    </w:rPr>
                    <w:t>L</w:t>
                  </w:r>
                  <w:r>
                    <w:rPr>
                      <w:rFonts w:hint="eastAsia" w:ascii="Times New Roman" w:hAnsi="Times New Roman" w:eastAsia="宋体" w:cs="Times New Roman"/>
                      <w:color w:val="000000" w:themeColor="text1"/>
                      <w:szCs w:val="21"/>
                      <w14:textFill>
                        <w14:solidFill>
                          <w14:schemeClr w14:val="tx1"/>
                        </w14:solidFill>
                      </w14:textFill>
                    </w:rPr>
                    <w:t>）</w:t>
                  </w:r>
                </w:p>
              </w:tc>
              <w:tc>
                <w:tcPr>
                  <w:tcW w:w="843" w:type="dxa"/>
                  <w:vMerge w:val="restart"/>
                  <w:vAlign w:val="center"/>
                </w:tcPr>
                <w:p w14:paraId="2F45616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排放标准（mg</w:t>
                  </w:r>
                  <w:r>
                    <w:rPr>
                      <w:rFonts w:ascii="Times New Roman" w:hAnsi="Times New Roman" w:eastAsia="宋体" w:cs="Times New Roman"/>
                      <w:color w:val="000000" w:themeColor="text1"/>
                      <w:szCs w:val="21"/>
                      <w14:textFill>
                        <w14:solidFill>
                          <w14:schemeClr w14:val="tx1"/>
                        </w14:solidFill>
                      </w14:textFill>
                    </w:rPr>
                    <w:t>/L</w:t>
                  </w:r>
                  <w:r>
                    <w:rPr>
                      <w:rFonts w:hint="eastAsia" w:ascii="Times New Roman" w:hAnsi="Times New Roman" w:eastAsia="宋体" w:cs="Times New Roman"/>
                      <w:color w:val="000000" w:themeColor="text1"/>
                      <w:szCs w:val="21"/>
                      <w14:textFill>
                        <w14:solidFill>
                          <w14:schemeClr w14:val="tx1"/>
                        </w14:solidFill>
                      </w14:textFill>
                    </w:rPr>
                    <w:t>）</w:t>
                  </w:r>
                </w:p>
              </w:tc>
            </w:tr>
            <w:tr w14:paraId="470A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843" w:type="dxa"/>
                  <w:vMerge w:val="continue"/>
                  <w:vAlign w:val="center"/>
                </w:tcPr>
                <w:p w14:paraId="138904DE">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Merge w:val="continue"/>
                  <w:vAlign w:val="center"/>
                </w:tcPr>
                <w:p w14:paraId="0A8C70C6">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Merge w:val="continue"/>
                  <w:vAlign w:val="center"/>
                </w:tcPr>
                <w:p w14:paraId="48CF1147">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Merge w:val="continue"/>
                  <w:vAlign w:val="center"/>
                </w:tcPr>
                <w:p w14:paraId="4AD6B738">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29B522C6">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产生量t/a</w:t>
                  </w:r>
                </w:p>
              </w:tc>
              <w:tc>
                <w:tcPr>
                  <w:tcW w:w="843" w:type="dxa"/>
                  <w:vAlign w:val="center"/>
                </w:tcPr>
                <w:p w14:paraId="2503E0B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削减量t/a</w:t>
                  </w:r>
                </w:p>
              </w:tc>
              <w:tc>
                <w:tcPr>
                  <w:tcW w:w="843" w:type="dxa"/>
                  <w:vAlign w:val="center"/>
                </w:tcPr>
                <w:p w14:paraId="2A3FC4C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排放量t/a</w:t>
                  </w:r>
                </w:p>
              </w:tc>
              <w:tc>
                <w:tcPr>
                  <w:tcW w:w="843" w:type="dxa"/>
                  <w:vMerge w:val="continue"/>
                  <w:vAlign w:val="center"/>
                </w:tcPr>
                <w:p w14:paraId="6B6D9DB3">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Merge w:val="continue"/>
                  <w:vAlign w:val="center"/>
                </w:tcPr>
                <w:p w14:paraId="6747C2D4">
                  <w:pPr>
                    <w:jc w:val="center"/>
                    <w:rPr>
                      <w:rFonts w:ascii="Times New Roman" w:hAnsi="Times New Roman" w:eastAsia="宋体" w:cs="Times New Roman"/>
                      <w:color w:val="000000" w:themeColor="text1"/>
                      <w:szCs w:val="21"/>
                      <w14:textFill>
                        <w14:solidFill>
                          <w14:schemeClr w14:val="tx1"/>
                        </w14:solidFill>
                      </w14:textFill>
                    </w:rPr>
                  </w:pPr>
                </w:p>
              </w:tc>
            </w:tr>
            <w:tr w14:paraId="0935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Merge w:val="restart"/>
                  <w:vAlign w:val="center"/>
                </w:tcPr>
                <w:p w14:paraId="4E3D656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生活污水</w:t>
                  </w:r>
                </w:p>
              </w:tc>
              <w:tc>
                <w:tcPr>
                  <w:tcW w:w="843" w:type="dxa"/>
                  <w:vAlign w:val="center"/>
                </w:tcPr>
                <w:p w14:paraId="24693B7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生活污水排放量</w:t>
                  </w:r>
                </w:p>
              </w:tc>
              <w:tc>
                <w:tcPr>
                  <w:tcW w:w="843" w:type="dxa"/>
                  <w:vMerge w:val="restart"/>
                  <w:vAlign w:val="center"/>
                </w:tcPr>
                <w:p w14:paraId="741B7D3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管道收集</w:t>
                  </w:r>
                </w:p>
              </w:tc>
              <w:tc>
                <w:tcPr>
                  <w:tcW w:w="843" w:type="dxa"/>
                  <w:vMerge w:val="restart"/>
                  <w:vAlign w:val="center"/>
                </w:tcPr>
                <w:p w14:paraId="5DA005F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三级化粪池</w:t>
                  </w:r>
                </w:p>
              </w:tc>
              <w:tc>
                <w:tcPr>
                  <w:tcW w:w="843" w:type="dxa"/>
                  <w:vAlign w:val="center"/>
                </w:tcPr>
                <w:p w14:paraId="5F11C426">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60</w:t>
                  </w:r>
                </w:p>
              </w:tc>
              <w:tc>
                <w:tcPr>
                  <w:tcW w:w="843" w:type="dxa"/>
                  <w:vAlign w:val="center"/>
                </w:tcPr>
                <w:p w14:paraId="479EC37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843" w:type="dxa"/>
                  <w:vAlign w:val="center"/>
                </w:tcPr>
                <w:p w14:paraId="30BD880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843" w:type="dxa"/>
                  <w:vAlign w:val="center"/>
                </w:tcPr>
                <w:p w14:paraId="7217EED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843" w:type="dxa"/>
                  <w:vAlign w:val="center"/>
                </w:tcPr>
                <w:p w14:paraId="1B32DC2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r>
            <w:tr w14:paraId="1259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Merge w:val="continue"/>
                  <w:vAlign w:val="center"/>
                </w:tcPr>
                <w:p w14:paraId="5398C0DB">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262B8121">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C</w:t>
                  </w:r>
                  <w:r>
                    <w:rPr>
                      <w:rFonts w:ascii="Times New Roman" w:hAnsi="Times New Roman" w:eastAsia="宋体" w:cs="Times New Roman"/>
                      <w:color w:val="000000" w:themeColor="text1"/>
                      <w:szCs w:val="21"/>
                      <w14:textFill>
                        <w14:solidFill>
                          <w14:schemeClr w14:val="tx1"/>
                        </w14:solidFill>
                      </w14:textFill>
                    </w:rPr>
                    <w:t>OD</w:t>
                  </w:r>
                  <w:r>
                    <w:rPr>
                      <w:rFonts w:ascii="Times New Roman" w:hAnsi="Times New Roman" w:eastAsia="宋体" w:cs="Times New Roman"/>
                      <w:color w:val="000000" w:themeColor="text1"/>
                      <w:szCs w:val="21"/>
                      <w:vertAlign w:val="subscript"/>
                      <w14:textFill>
                        <w14:solidFill>
                          <w14:schemeClr w14:val="tx1"/>
                        </w14:solidFill>
                      </w14:textFill>
                    </w:rPr>
                    <w:t>Cr</w:t>
                  </w:r>
                </w:p>
              </w:tc>
              <w:tc>
                <w:tcPr>
                  <w:tcW w:w="843" w:type="dxa"/>
                  <w:vMerge w:val="continue"/>
                  <w:vAlign w:val="center"/>
                </w:tcPr>
                <w:p w14:paraId="6E059438">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Merge w:val="continue"/>
                  <w:vAlign w:val="center"/>
                </w:tcPr>
                <w:p w14:paraId="67142240">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0A72DF7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064</w:t>
                  </w:r>
                </w:p>
              </w:tc>
              <w:tc>
                <w:tcPr>
                  <w:tcW w:w="843" w:type="dxa"/>
                  <w:vAlign w:val="center"/>
                </w:tcPr>
                <w:p w14:paraId="73F3DFD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.026</w:t>
                  </w:r>
                </w:p>
              </w:tc>
              <w:tc>
                <w:tcPr>
                  <w:tcW w:w="843" w:type="dxa"/>
                  <w:vAlign w:val="center"/>
                </w:tcPr>
                <w:p w14:paraId="6DDF7F31">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038</w:t>
                  </w:r>
                </w:p>
              </w:tc>
              <w:tc>
                <w:tcPr>
                  <w:tcW w:w="843" w:type="dxa"/>
                  <w:vAlign w:val="center"/>
                </w:tcPr>
                <w:p w14:paraId="321F624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40</w:t>
                  </w:r>
                </w:p>
              </w:tc>
              <w:tc>
                <w:tcPr>
                  <w:tcW w:w="843" w:type="dxa"/>
                  <w:vAlign w:val="center"/>
                </w:tcPr>
                <w:p w14:paraId="790A11C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00</w:t>
                  </w:r>
                </w:p>
              </w:tc>
            </w:tr>
            <w:tr w14:paraId="51FC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Merge w:val="continue"/>
                  <w:vAlign w:val="center"/>
                </w:tcPr>
                <w:p w14:paraId="049D719A">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271BD1F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B</w:t>
                  </w:r>
                  <w:r>
                    <w:rPr>
                      <w:rFonts w:ascii="Times New Roman" w:hAnsi="Times New Roman" w:eastAsia="宋体" w:cs="Times New Roman"/>
                      <w:color w:val="000000" w:themeColor="text1"/>
                      <w:szCs w:val="21"/>
                      <w14:textFill>
                        <w14:solidFill>
                          <w14:schemeClr w14:val="tx1"/>
                        </w14:solidFill>
                      </w14:textFill>
                    </w:rPr>
                    <w:t>OD</w:t>
                  </w:r>
                  <w:r>
                    <w:rPr>
                      <w:rFonts w:ascii="Times New Roman" w:hAnsi="Times New Roman" w:eastAsia="宋体" w:cs="Times New Roman"/>
                      <w:color w:val="000000" w:themeColor="text1"/>
                      <w:szCs w:val="21"/>
                      <w:vertAlign w:val="subscript"/>
                      <w14:textFill>
                        <w14:solidFill>
                          <w14:schemeClr w14:val="tx1"/>
                        </w14:solidFill>
                      </w14:textFill>
                    </w:rPr>
                    <w:t>5</w:t>
                  </w:r>
                </w:p>
              </w:tc>
              <w:tc>
                <w:tcPr>
                  <w:tcW w:w="843" w:type="dxa"/>
                  <w:vMerge w:val="continue"/>
                  <w:vAlign w:val="center"/>
                </w:tcPr>
                <w:p w14:paraId="7152292C">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Merge w:val="continue"/>
                  <w:vAlign w:val="center"/>
                </w:tcPr>
                <w:p w14:paraId="78026B47">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0FDA6B06">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035</w:t>
                  </w:r>
                </w:p>
              </w:tc>
              <w:tc>
                <w:tcPr>
                  <w:tcW w:w="843" w:type="dxa"/>
                  <w:vAlign w:val="center"/>
                </w:tcPr>
                <w:p w14:paraId="49486BC4">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.01</w:t>
                  </w:r>
                </w:p>
              </w:tc>
              <w:tc>
                <w:tcPr>
                  <w:tcW w:w="843" w:type="dxa"/>
                  <w:vAlign w:val="center"/>
                </w:tcPr>
                <w:p w14:paraId="7A5B2CF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.025</w:t>
                  </w:r>
                </w:p>
              </w:tc>
              <w:tc>
                <w:tcPr>
                  <w:tcW w:w="843" w:type="dxa"/>
                  <w:vAlign w:val="center"/>
                </w:tcPr>
                <w:p w14:paraId="16D82B9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54</w:t>
                  </w:r>
                </w:p>
              </w:tc>
              <w:tc>
                <w:tcPr>
                  <w:tcW w:w="843" w:type="dxa"/>
                  <w:vAlign w:val="center"/>
                </w:tcPr>
                <w:p w14:paraId="7E0CF414">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50</w:t>
                  </w:r>
                </w:p>
              </w:tc>
            </w:tr>
            <w:tr w14:paraId="44DB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Merge w:val="continue"/>
                  <w:vAlign w:val="center"/>
                </w:tcPr>
                <w:p w14:paraId="173BB503">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689BF354">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S</w:t>
                  </w:r>
                  <w:r>
                    <w:rPr>
                      <w:rFonts w:ascii="Times New Roman" w:hAnsi="Times New Roman" w:eastAsia="宋体" w:cs="Times New Roman"/>
                      <w:color w:val="000000" w:themeColor="text1"/>
                      <w:szCs w:val="21"/>
                      <w14:textFill>
                        <w14:solidFill>
                          <w14:schemeClr w14:val="tx1"/>
                        </w14:solidFill>
                      </w14:textFill>
                    </w:rPr>
                    <w:t>S</w:t>
                  </w:r>
                </w:p>
              </w:tc>
              <w:tc>
                <w:tcPr>
                  <w:tcW w:w="843" w:type="dxa"/>
                  <w:vMerge w:val="continue"/>
                  <w:vAlign w:val="center"/>
                </w:tcPr>
                <w:p w14:paraId="41D2C30B">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Merge w:val="continue"/>
                  <w:vAlign w:val="center"/>
                </w:tcPr>
                <w:p w14:paraId="4D915B8E">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5C723944">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032</w:t>
                  </w:r>
                </w:p>
              </w:tc>
              <w:tc>
                <w:tcPr>
                  <w:tcW w:w="843" w:type="dxa"/>
                  <w:vAlign w:val="center"/>
                </w:tcPr>
                <w:p w14:paraId="250BC80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.019</w:t>
                  </w:r>
                </w:p>
              </w:tc>
              <w:tc>
                <w:tcPr>
                  <w:tcW w:w="843" w:type="dxa"/>
                  <w:vAlign w:val="center"/>
                </w:tcPr>
                <w:p w14:paraId="5004DA8E">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0.0</w:t>
                  </w:r>
                  <w:r>
                    <w:rPr>
                      <w:rFonts w:ascii="Times New Roman" w:hAnsi="Times New Roman" w:eastAsia="宋体" w:cs="Times New Roman"/>
                      <w:color w:val="000000" w:themeColor="text1"/>
                      <w:szCs w:val="21"/>
                      <w14:textFill>
                        <w14:solidFill>
                          <w14:schemeClr w14:val="tx1"/>
                        </w14:solidFill>
                      </w14:textFill>
                    </w:rPr>
                    <w:t>13</w:t>
                  </w:r>
                </w:p>
              </w:tc>
              <w:tc>
                <w:tcPr>
                  <w:tcW w:w="843" w:type="dxa"/>
                  <w:vAlign w:val="center"/>
                </w:tcPr>
                <w:p w14:paraId="65414DA7">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80</w:t>
                  </w:r>
                </w:p>
              </w:tc>
              <w:tc>
                <w:tcPr>
                  <w:tcW w:w="843" w:type="dxa"/>
                  <w:vAlign w:val="center"/>
                </w:tcPr>
                <w:p w14:paraId="154CF83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50</w:t>
                  </w:r>
                </w:p>
              </w:tc>
            </w:tr>
            <w:tr w14:paraId="02A9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Merge w:val="continue"/>
                  <w:vAlign w:val="center"/>
                </w:tcPr>
                <w:p w14:paraId="7F5C2F3C">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0E8D1EF0">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N</w:t>
                  </w:r>
                  <w:r>
                    <w:rPr>
                      <w:rFonts w:ascii="Times New Roman" w:hAnsi="Times New Roman" w:eastAsia="宋体" w:cs="Times New Roman"/>
                      <w:color w:val="000000" w:themeColor="text1"/>
                      <w:szCs w:val="21"/>
                      <w14:textFill>
                        <w14:solidFill>
                          <w14:schemeClr w14:val="tx1"/>
                        </w14:solidFill>
                      </w14:textFill>
                    </w:rPr>
                    <w:t>H</w:t>
                  </w:r>
                  <w:r>
                    <w:rPr>
                      <w:rFonts w:ascii="Times New Roman" w:hAnsi="Times New Roman" w:eastAsia="宋体" w:cs="Times New Roman"/>
                      <w:color w:val="000000" w:themeColor="text1"/>
                      <w:szCs w:val="21"/>
                      <w:vertAlign w:val="subscript"/>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-N</w:t>
                  </w:r>
                </w:p>
              </w:tc>
              <w:tc>
                <w:tcPr>
                  <w:tcW w:w="843" w:type="dxa"/>
                  <w:vMerge w:val="continue"/>
                  <w:vAlign w:val="center"/>
                </w:tcPr>
                <w:p w14:paraId="56E8A6B1">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Merge w:val="continue"/>
                  <w:vAlign w:val="center"/>
                </w:tcPr>
                <w:p w14:paraId="364FB569">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2AEF403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004</w:t>
                  </w:r>
                </w:p>
              </w:tc>
              <w:tc>
                <w:tcPr>
                  <w:tcW w:w="843" w:type="dxa"/>
                  <w:vAlign w:val="center"/>
                </w:tcPr>
                <w:p w14:paraId="377EFA8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p>
              </w:tc>
              <w:tc>
                <w:tcPr>
                  <w:tcW w:w="843" w:type="dxa"/>
                  <w:vAlign w:val="center"/>
                </w:tcPr>
                <w:p w14:paraId="1D5E25F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.004</w:t>
                  </w:r>
                </w:p>
              </w:tc>
              <w:tc>
                <w:tcPr>
                  <w:tcW w:w="843" w:type="dxa"/>
                  <w:vAlign w:val="center"/>
                </w:tcPr>
                <w:p w14:paraId="3FE390E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2.5</w:t>
                  </w:r>
                </w:p>
              </w:tc>
              <w:tc>
                <w:tcPr>
                  <w:tcW w:w="843" w:type="dxa"/>
                  <w:vAlign w:val="center"/>
                </w:tcPr>
                <w:p w14:paraId="1839F64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40</w:t>
                  </w:r>
                </w:p>
              </w:tc>
            </w:tr>
            <w:tr w14:paraId="613B8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vMerge w:val="continue"/>
                  <w:vAlign w:val="center"/>
                </w:tcPr>
                <w:p w14:paraId="7EE5E244">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54263540">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T</w:t>
                  </w:r>
                  <w:r>
                    <w:rPr>
                      <w:rFonts w:ascii="Times New Roman" w:hAnsi="Times New Roman" w:eastAsia="宋体" w:cs="Times New Roman"/>
                      <w:color w:val="000000" w:themeColor="text1"/>
                      <w:szCs w:val="21"/>
                      <w14:textFill>
                        <w14:solidFill>
                          <w14:schemeClr w14:val="tx1"/>
                        </w14:solidFill>
                      </w14:textFill>
                    </w:rPr>
                    <w:t>P</w:t>
                  </w:r>
                </w:p>
              </w:tc>
              <w:tc>
                <w:tcPr>
                  <w:tcW w:w="843" w:type="dxa"/>
                  <w:vMerge w:val="continue"/>
                  <w:vAlign w:val="center"/>
                </w:tcPr>
                <w:p w14:paraId="58D5BD7A">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Merge w:val="continue"/>
                  <w:vAlign w:val="center"/>
                </w:tcPr>
                <w:p w14:paraId="1AD2DA5F">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26103B51">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001</w:t>
                  </w:r>
                </w:p>
              </w:tc>
              <w:tc>
                <w:tcPr>
                  <w:tcW w:w="843" w:type="dxa"/>
                  <w:vAlign w:val="center"/>
                </w:tcPr>
                <w:p w14:paraId="57C04CDE">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p>
              </w:tc>
              <w:tc>
                <w:tcPr>
                  <w:tcW w:w="843" w:type="dxa"/>
                  <w:vAlign w:val="center"/>
                </w:tcPr>
                <w:p w14:paraId="0751D491">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001</w:t>
                  </w:r>
                </w:p>
              </w:tc>
              <w:tc>
                <w:tcPr>
                  <w:tcW w:w="843" w:type="dxa"/>
                  <w:vAlign w:val="center"/>
                </w:tcPr>
                <w:p w14:paraId="6954721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7</w:t>
                  </w:r>
                  <w:r>
                    <w:rPr>
                      <w:rFonts w:ascii="Times New Roman" w:hAnsi="Times New Roman" w:eastAsia="宋体" w:cs="Times New Roman"/>
                      <w:color w:val="000000" w:themeColor="text1"/>
                      <w:szCs w:val="21"/>
                      <w14:textFill>
                        <w14:solidFill>
                          <w14:schemeClr w14:val="tx1"/>
                        </w14:solidFill>
                      </w14:textFill>
                    </w:rPr>
                    <w:t>.2</w:t>
                  </w:r>
                </w:p>
              </w:tc>
              <w:tc>
                <w:tcPr>
                  <w:tcW w:w="843" w:type="dxa"/>
                  <w:vAlign w:val="center"/>
                </w:tcPr>
                <w:p w14:paraId="67A933F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r>
          </w:tbl>
          <w:p w14:paraId="12497C88">
            <w:pPr>
              <w:ind w:firstLine="420" w:firstLineChars="200"/>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表2</w:t>
            </w:r>
            <w:r>
              <w:rPr>
                <w:rFonts w:ascii="Times New Roman" w:hAnsi="Times New Roman" w:eastAsia="宋体" w:cs="Times New Roman"/>
                <w:b/>
                <w:color w:val="000000" w:themeColor="text1"/>
                <w:szCs w:val="21"/>
                <w14:textFill>
                  <w14:solidFill>
                    <w14:schemeClr w14:val="tx1"/>
                  </w14:solidFill>
                </w14:textFill>
              </w:rPr>
              <w:t>-9</w:t>
            </w:r>
            <w:r>
              <w:rPr>
                <w:rFonts w:hint="eastAsia" w:ascii="Times New Roman" w:hAnsi="Times New Roman" w:eastAsia="宋体" w:cs="Times New Roman"/>
                <w:b/>
                <w:color w:val="000000" w:themeColor="text1"/>
                <w:szCs w:val="21"/>
                <w14:textFill>
                  <w14:solidFill>
                    <w14:schemeClr w14:val="tx1"/>
                  </w14:solidFill>
                </w14:textFill>
              </w:rPr>
              <w:t xml:space="preserve"> 原项目大气污染物产排情况及防治措施一览表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567"/>
              <w:gridCol w:w="851"/>
              <w:gridCol w:w="622"/>
              <w:gridCol w:w="843"/>
              <w:gridCol w:w="843"/>
              <w:gridCol w:w="843"/>
              <w:gridCol w:w="843"/>
              <w:gridCol w:w="843"/>
            </w:tblGrid>
            <w:tr w14:paraId="15D0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332" w:type="dxa"/>
                  <w:vMerge w:val="restart"/>
                  <w:vAlign w:val="center"/>
                </w:tcPr>
                <w:p w14:paraId="393CAD6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污染源</w:t>
                  </w:r>
                </w:p>
              </w:tc>
              <w:tc>
                <w:tcPr>
                  <w:tcW w:w="567" w:type="dxa"/>
                  <w:vMerge w:val="restart"/>
                  <w:vAlign w:val="center"/>
                </w:tcPr>
                <w:p w14:paraId="67D5D2D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污染物名称</w:t>
                  </w:r>
                </w:p>
              </w:tc>
              <w:tc>
                <w:tcPr>
                  <w:tcW w:w="851" w:type="dxa"/>
                  <w:vMerge w:val="restart"/>
                  <w:vAlign w:val="center"/>
                </w:tcPr>
                <w:p w14:paraId="11073ED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收集方式</w:t>
                  </w:r>
                </w:p>
              </w:tc>
              <w:tc>
                <w:tcPr>
                  <w:tcW w:w="622" w:type="dxa"/>
                  <w:vMerge w:val="restart"/>
                  <w:vAlign w:val="center"/>
                </w:tcPr>
                <w:p w14:paraId="5E021CF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治理工艺</w:t>
                  </w:r>
                </w:p>
              </w:tc>
              <w:tc>
                <w:tcPr>
                  <w:tcW w:w="2529" w:type="dxa"/>
                  <w:gridSpan w:val="3"/>
                  <w:vAlign w:val="center"/>
                </w:tcPr>
                <w:p w14:paraId="121EE4D0">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污染物变化情况</w:t>
                  </w:r>
                </w:p>
              </w:tc>
              <w:tc>
                <w:tcPr>
                  <w:tcW w:w="843" w:type="dxa"/>
                  <w:vMerge w:val="restart"/>
                  <w:vAlign w:val="center"/>
                </w:tcPr>
                <w:p w14:paraId="463CBD4E">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污染物排放浓度（mg/</w:t>
                  </w:r>
                  <w:r>
                    <w:rPr>
                      <w:rFonts w:ascii="Times New Roman" w:hAnsi="Times New Roman" w:eastAsia="宋体" w:cs="Times New Roman"/>
                      <w:color w:val="000000" w:themeColor="text1"/>
                      <w:szCs w:val="21"/>
                      <w14:textFill>
                        <w14:solidFill>
                          <w14:schemeClr w14:val="tx1"/>
                        </w14:solidFill>
                      </w14:textFill>
                    </w:rPr>
                    <w:t>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w:t>
                  </w:r>
                </w:p>
              </w:tc>
              <w:tc>
                <w:tcPr>
                  <w:tcW w:w="843" w:type="dxa"/>
                  <w:vMerge w:val="restart"/>
                  <w:vAlign w:val="center"/>
                </w:tcPr>
                <w:p w14:paraId="2337269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排放标准（mg</w:t>
                  </w:r>
                  <w:r>
                    <w:rPr>
                      <w:rFonts w:ascii="Times New Roman" w:hAnsi="Times New Roman" w:eastAsia="宋体" w:cs="Times New Roman"/>
                      <w:color w:val="000000" w:themeColor="text1"/>
                      <w:szCs w:val="21"/>
                      <w14:textFill>
                        <w14:solidFill>
                          <w14:schemeClr w14:val="tx1"/>
                        </w14:solidFill>
                      </w14:textFill>
                    </w:rPr>
                    <w:t>/L</w:t>
                  </w:r>
                  <w:r>
                    <w:rPr>
                      <w:rFonts w:hint="eastAsia" w:ascii="Times New Roman" w:hAnsi="Times New Roman" w:eastAsia="宋体" w:cs="Times New Roman"/>
                      <w:color w:val="000000" w:themeColor="text1"/>
                      <w:szCs w:val="21"/>
                      <w14:textFill>
                        <w14:solidFill>
                          <w14:schemeClr w14:val="tx1"/>
                        </w14:solidFill>
                      </w14:textFill>
                    </w:rPr>
                    <w:t>）</w:t>
                  </w:r>
                </w:p>
              </w:tc>
            </w:tr>
            <w:tr w14:paraId="5EBD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332" w:type="dxa"/>
                  <w:vMerge w:val="continue"/>
                  <w:vAlign w:val="center"/>
                </w:tcPr>
                <w:p w14:paraId="6E517692">
                  <w:pPr>
                    <w:jc w:val="center"/>
                    <w:rPr>
                      <w:rFonts w:ascii="Times New Roman" w:hAnsi="Times New Roman" w:eastAsia="宋体" w:cs="Times New Roman"/>
                      <w:color w:val="000000" w:themeColor="text1"/>
                      <w:szCs w:val="21"/>
                      <w14:textFill>
                        <w14:solidFill>
                          <w14:schemeClr w14:val="tx1"/>
                        </w14:solidFill>
                      </w14:textFill>
                    </w:rPr>
                  </w:pPr>
                </w:p>
              </w:tc>
              <w:tc>
                <w:tcPr>
                  <w:tcW w:w="567" w:type="dxa"/>
                  <w:vMerge w:val="continue"/>
                  <w:vAlign w:val="center"/>
                </w:tcPr>
                <w:p w14:paraId="463EC16A">
                  <w:pPr>
                    <w:jc w:val="center"/>
                    <w:rPr>
                      <w:rFonts w:ascii="Times New Roman" w:hAnsi="Times New Roman" w:eastAsia="宋体" w:cs="Times New Roman"/>
                      <w:color w:val="000000" w:themeColor="text1"/>
                      <w:szCs w:val="21"/>
                      <w14:textFill>
                        <w14:solidFill>
                          <w14:schemeClr w14:val="tx1"/>
                        </w14:solidFill>
                      </w14:textFill>
                    </w:rPr>
                  </w:pPr>
                </w:p>
              </w:tc>
              <w:tc>
                <w:tcPr>
                  <w:tcW w:w="851" w:type="dxa"/>
                  <w:vMerge w:val="continue"/>
                  <w:vAlign w:val="center"/>
                </w:tcPr>
                <w:p w14:paraId="708EDB71">
                  <w:pPr>
                    <w:jc w:val="center"/>
                    <w:rPr>
                      <w:rFonts w:ascii="Times New Roman" w:hAnsi="Times New Roman" w:eastAsia="宋体" w:cs="Times New Roman"/>
                      <w:color w:val="000000" w:themeColor="text1"/>
                      <w:szCs w:val="21"/>
                      <w14:textFill>
                        <w14:solidFill>
                          <w14:schemeClr w14:val="tx1"/>
                        </w14:solidFill>
                      </w14:textFill>
                    </w:rPr>
                  </w:pPr>
                </w:p>
              </w:tc>
              <w:tc>
                <w:tcPr>
                  <w:tcW w:w="622" w:type="dxa"/>
                  <w:vMerge w:val="continue"/>
                  <w:vAlign w:val="center"/>
                </w:tcPr>
                <w:p w14:paraId="33857962">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Align w:val="center"/>
                </w:tcPr>
                <w:p w14:paraId="228E7DD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产生量t/a</w:t>
                  </w:r>
                </w:p>
              </w:tc>
              <w:tc>
                <w:tcPr>
                  <w:tcW w:w="843" w:type="dxa"/>
                  <w:vAlign w:val="center"/>
                </w:tcPr>
                <w:p w14:paraId="4F7E87C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削减量t/a</w:t>
                  </w:r>
                </w:p>
              </w:tc>
              <w:tc>
                <w:tcPr>
                  <w:tcW w:w="843" w:type="dxa"/>
                  <w:vAlign w:val="center"/>
                </w:tcPr>
                <w:p w14:paraId="442AF17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排放量t/a</w:t>
                  </w:r>
                </w:p>
              </w:tc>
              <w:tc>
                <w:tcPr>
                  <w:tcW w:w="843" w:type="dxa"/>
                  <w:vMerge w:val="continue"/>
                  <w:vAlign w:val="center"/>
                </w:tcPr>
                <w:p w14:paraId="3E7E7A2F">
                  <w:pPr>
                    <w:jc w:val="center"/>
                    <w:rPr>
                      <w:rFonts w:ascii="Times New Roman" w:hAnsi="Times New Roman" w:eastAsia="宋体" w:cs="Times New Roman"/>
                      <w:color w:val="000000" w:themeColor="text1"/>
                      <w:szCs w:val="21"/>
                      <w14:textFill>
                        <w14:solidFill>
                          <w14:schemeClr w14:val="tx1"/>
                        </w14:solidFill>
                      </w14:textFill>
                    </w:rPr>
                  </w:pPr>
                </w:p>
              </w:tc>
              <w:tc>
                <w:tcPr>
                  <w:tcW w:w="843" w:type="dxa"/>
                  <w:vMerge w:val="continue"/>
                  <w:vAlign w:val="center"/>
                </w:tcPr>
                <w:p w14:paraId="15224501">
                  <w:pPr>
                    <w:jc w:val="center"/>
                    <w:rPr>
                      <w:rFonts w:ascii="Times New Roman" w:hAnsi="Times New Roman" w:eastAsia="宋体" w:cs="Times New Roman"/>
                      <w:color w:val="000000" w:themeColor="text1"/>
                      <w:szCs w:val="21"/>
                      <w14:textFill>
                        <w14:solidFill>
                          <w14:schemeClr w14:val="tx1"/>
                        </w14:solidFill>
                      </w14:textFill>
                    </w:rPr>
                  </w:pPr>
                </w:p>
              </w:tc>
            </w:tr>
            <w:tr w14:paraId="1B69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Align w:val="center"/>
                </w:tcPr>
                <w:p w14:paraId="3688300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有组织废气（熔炼、造型、浇注、砂处理废气）D</w:t>
                  </w:r>
                  <w:r>
                    <w:rPr>
                      <w:rFonts w:ascii="Times New Roman" w:hAnsi="Times New Roman" w:eastAsia="宋体" w:cs="Times New Roman"/>
                      <w:color w:val="000000" w:themeColor="text1"/>
                      <w:szCs w:val="21"/>
                      <w14:textFill>
                        <w14:solidFill>
                          <w14:schemeClr w14:val="tx1"/>
                        </w14:solidFill>
                      </w14:textFill>
                    </w:rPr>
                    <w:t>A001</w:t>
                  </w:r>
                </w:p>
              </w:tc>
              <w:tc>
                <w:tcPr>
                  <w:tcW w:w="567" w:type="dxa"/>
                  <w:vAlign w:val="center"/>
                </w:tcPr>
                <w:p w14:paraId="21A8044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851" w:type="dxa"/>
                  <w:vAlign w:val="center"/>
                </w:tcPr>
                <w:p w14:paraId="45B9731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包围型集气罩</w:t>
                  </w:r>
                </w:p>
              </w:tc>
              <w:tc>
                <w:tcPr>
                  <w:tcW w:w="622" w:type="dxa"/>
                  <w:vAlign w:val="center"/>
                </w:tcPr>
                <w:p w14:paraId="7681C60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布袋除尘</w:t>
                  </w:r>
                </w:p>
              </w:tc>
              <w:tc>
                <w:tcPr>
                  <w:tcW w:w="843" w:type="dxa"/>
                  <w:vAlign w:val="center"/>
                </w:tcPr>
                <w:p w14:paraId="6B97A22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73.331</w:t>
                  </w:r>
                </w:p>
              </w:tc>
              <w:tc>
                <w:tcPr>
                  <w:tcW w:w="843" w:type="dxa"/>
                  <w:vAlign w:val="center"/>
                </w:tcPr>
                <w:p w14:paraId="3333E23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67.736</w:t>
                  </w:r>
                </w:p>
              </w:tc>
              <w:tc>
                <w:tcPr>
                  <w:tcW w:w="843" w:type="dxa"/>
                  <w:vAlign w:val="center"/>
                </w:tcPr>
                <w:p w14:paraId="687A5F86">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5</w:t>
                  </w:r>
                  <w:r>
                    <w:rPr>
                      <w:rFonts w:ascii="Times New Roman" w:hAnsi="Times New Roman" w:eastAsia="宋体" w:cs="Times New Roman"/>
                      <w:color w:val="000000" w:themeColor="text1"/>
                      <w:szCs w:val="21"/>
                      <w14:textFill>
                        <w14:solidFill>
                          <w14:schemeClr w14:val="tx1"/>
                        </w14:solidFill>
                      </w14:textFill>
                    </w:rPr>
                    <w:t>.595</w:t>
                  </w:r>
                </w:p>
              </w:tc>
              <w:tc>
                <w:tcPr>
                  <w:tcW w:w="843" w:type="dxa"/>
                  <w:vAlign w:val="center"/>
                </w:tcPr>
                <w:p w14:paraId="39AF881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9.107</w:t>
                  </w:r>
                </w:p>
              </w:tc>
              <w:tc>
                <w:tcPr>
                  <w:tcW w:w="843" w:type="dxa"/>
                  <w:vAlign w:val="center"/>
                </w:tcPr>
                <w:p w14:paraId="1E040610">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0</w:t>
                  </w:r>
                </w:p>
              </w:tc>
            </w:tr>
            <w:tr w14:paraId="7DE4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Align w:val="center"/>
                </w:tcPr>
                <w:p w14:paraId="34A3A83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有组织废气（落砂、打磨废气）DA</w:t>
                  </w:r>
                  <w:r>
                    <w:rPr>
                      <w:rFonts w:ascii="Times New Roman" w:hAnsi="Times New Roman" w:eastAsia="宋体" w:cs="Times New Roman"/>
                      <w:color w:val="000000" w:themeColor="text1"/>
                      <w:szCs w:val="21"/>
                      <w14:textFill>
                        <w14:solidFill>
                          <w14:schemeClr w14:val="tx1"/>
                        </w14:solidFill>
                      </w14:textFill>
                    </w:rPr>
                    <w:t>002</w:t>
                  </w:r>
                </w:p>
              </w:tc>
              <w:tc>
                <w:tcPr>
                  <w:tcW w:w="567" w:type="dxa"/>
                  <w:vAlign w:val="center"/>
                </w:tcPr>
                <w:p w14:paraId="0579B95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851" w:type="dxa"/>
                  <w:vAlign w:val="center"/>
                </w:tcPr>
                <w:p w14:paraId="29C863F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包围型集气罩</w:t>
                  </w:r>
                </w:p>
              </w:tc>
              <w:tc>
                <w:tcPr>
                  <w:tcW w:w="622" w:type="dxa"/>
                  <w:vAlign w:val="center"/>
                </w:tcPr>
                <w:p w14:paraId="07B01CB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布袋除尘</w:t>
                  </w:r>
                </w:p>
              </w:tc>
              <w:tc>
                <w:tcPr>
                  <w:tcW w:w="843" w:type="dxa"/>
                  <w:vAlign w:val="center"/>
                </w:tcPr>
                <w:p w14:paraId="0A4ADA2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w:t>
                  </w:r>
                  <w:r>
                    <w:rPr>
                      <w:rFonts w:ascii="Times New Roman" w:hAnsi="Times New Roman" w:eastAsia="宋体" w:cs="Times New Roman"/>
                      <w:color w:val="000000" w:themeColor="text1"/>
                      <w:szCs w:val="21"/>
                      <w14:textFill>
                        <w14:solidFill>
                          <w14:schemeClr w14:val="tx1"/>
                        </w14:solidFill>
                      </w14:textFill>
                    </w:rPr>
                    <w:t>5.21</w:t>
                  </w:r>
                </w:p>
              </w:tc>
              <w:tc>
                <w:tcPr>
                  <w:tcW w:w="843" w:type="dxa"/>
                  <w:vAlign w:val="center"/>
                </w:tcPr>
                <w:p w14:paraId="74A09236">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w:t>
                  </w:r>
                  <w:r>
                    <w:rPr>
                      <w:rFonts w:ascii="Times New Roman" w:hAnsi="Times New Roman" w:eastAsia="宋体" w:cs="Times New Roman"/>
                      <w:color w:val="000000" w:themeColor="text1"/>
                      <w:szCs w:val="21"/>
                      <w14:textFill>
                        <w14:solidFill>
                          <w14:schemeClr w14:val="tx1"/>
                        </w14:solidFill>
                      </w14:textFill>
                    </w:rPr>
                    <w:t>4.224</w:t>
                  </w:r>
                </w:p>
              </w:tc>
              <w:tc>
                <w:tcPr>
                  <w:tcW w:w="843" w:type="dxa"/>
                  <w:vAlign w:val="center"/>
                </w:tcPr>
                <w:p w14:paraId="4F1625B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.986</w:t>
                  </w:r>
                </w:p>
              </w:tc>
              <w:tc>
                <w:tcPr>
                  <w:tcW w:w="843" w:type="dxa"/>
                  <w:vAlign w:val="center"/>
                </w:tcPr>
                <w:p w14:paraId="1FB1C050">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8</w:t>
                  </w:r>
                  <w:r>
                    <w:rPr>
                      <w:rFonts w:ascii="Times New Roman" w:hAnsi="Times New Roman" w:eastAsia="宋体" w:cs="Times New Roman"/>
                      <w:color w:val="000000" w:themeColor="text1"/>
                      <w:szCs w:val="21"/>
                      <w14:textFill>
                        <w14:solidFill>
                          <w14:schemeClr w14:val="tx1"/>
                        </w14:solidFill>
                      </w14:textFill>
                    </w:rPr>
                    <w:t>.932</w:t>
                  </w:r>
                </w:p>
              </w:tc>
              <w:tc>
                <w:tcPr>
                  <w:tcW w:w="843" w:type="dxa"/>
                  <w:vAlign w:val="center"/>
                </w:tcPr>
                <w:p w14:paraId="012B86F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0</w:t>
                  </w:r>
                </w:p>
              </w:tc>
            </w:tr>
            <w:tr w14:paraId="07B2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Align w:val="center"/>
                </w:tcPr>
                <w:p w14:paraId="4839788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有组织废气（抛丸废气）D</w:t>
                  </w:r>
                  <w:r>
                    <w:rPr>
                      <w:rFonts w:ascii="Times New Roman" w:hAnsi="Times New Roman" w:eastAsia="宋体" w:cs="Times New Roman"/>
                      <w:color w:val="000000" w:themeColor="text1"/>
                      <w:szCs w:val="21"/>
                      <w14:textFill>
                        <w14:solidFill>
                          <w14:schemeClr w14:val="tx1"/>
                        </w14:solidFill>
                      </w14:textFill>
                    </w:rPr>
                    <w:t>A003</w:t>
                  </w:r>
                </w:p>
              </w:tc>
              <w:tc>
                <w:tcPr>
                  <w:tcW w:w="567" w:type="dxa"/>
                  <w:vAlign w:val="center"/>
                </w:tcPr>
                <w:p w14:paraId="5FD1F676">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851" w:type="dxa"/>
                  <w:vAlign w:val="center"/>
                </w:tcPr>
                <w:p w14:paraId="14E8ECC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密闭罩收集</w:t>
                  </w:r>
                </w:p>
              </w:tc>
              <w:tc>
                <w:tcPr>
                  <w:tcW w:w="622" w:type="dxa"/>
                  <w:vAlign w:val="center"/>
                </w:tcPr>
                <w:p w14:paraId="46D054F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布袋除尘</w:t>
                  </w:r>
                </w:p>
              </w:tc>
              <w:tc>
                <w:tcPr>
                  <w:tcW w:w="843" w:type="dxa"/>
                  <w:vAlign w:val="center"/>
                </w:tcPr>
                <w:p w14:paraId="4157D322">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43.362</w:t>
                  </w:r>
                </w:p>
              </w:tc>
              <w:tc>
                <w:tcPr>
                  <w:tcW w:w="843" w:type="dxa"/>
                  <w:vAlign w:val="center"/>
                </w:tcPr>
                <w:p w14:paraId="614B858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w:t>
                  </w:r>
                  <w:r>
                    <w:rPr>
                      <w:rFonts w:ascii="Times New Roman" w:hAnsi="Times New Roman" w:eastAsia="宋体" w:cs="Times New Roman"/>
                      <w:color w:val="000000" w:themeColor="text1"/>
                      <w:szCs w:val="21"/>
                      <w14:textFill>
                        <w14:solidFill>
                          <w14:schemeClr w14:val="tx1"/>
                        </w14:solidFill>
                      </w14:textFill>
                    </w:rPr>
                    <w:t>1.194</w:t>
                  </w:r>
                </w:p>
              </w:tc>
              <w:tc>
                <w:tcPr>
                  <w:tcW w:w="843" w:type="dxa"/>
                  <w:vAlign w:val="center"/>
                </w:tcPr>
                <w:p w14:paraId="294FA05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.168</w:t>
                  </w:r>
                </w:p>
              </w:tc>
              <w:tc>
                <w:tcPr>
                  <w:tcW w:w="843" w:type="dxa"/>
                  <w:vAlign w:val="center"/>
                </w:tcPr>
                <w:p w14:paraId="6EC7A1FD">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5.094</w:t>
                  </w:r>
                </w:p>
              </w:tc>
              <w:tc>
                <w:tcPr>
                  <w:tcW w:w="843" w:type="dxa"/>
                  <w:vAlign w:val="center"/>
                </w:tcPr>
                <w:p w14:paraId="7B9E6C6E">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0</w:t>
                  </w:r>
                </w:p>
              </w:tc>
            </w:tr>
            <w:tr w14:paraId="4294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2" w:type="dxa"/>
                  <w:vAlign w:val="center"/>
                </w:tcPr>
                <w:p w14:paraId="6C8409B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无组织废气</w:t>
                  </w:r>
                </w:p>
              </w:tc>
              <w:tc>
                <w:tcPr>
                  <w:tcW w:w="567" w:type="dxa"/>
                  <w:vAlign w:val="center"/>
                </w:tcPr>
                <w:p w14:paraId="2074D93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851" w:type="dxa"/>
                  <w:vAlign w:val="center"/>
                </w:tcPr>
                <w:p w14:paraId="3DBDEE0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622" w:type="dxa"/>
                  <w:vAlign w:val="center"/>
                </w:tcPr>
                <w:p w14:paraId="3A6103E4">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加强收集</w:t>
                  </w:r>
                </w:p>
              </w:tc>
              <w:tc>
                <w:tcPr>
                  <w:tcW w:w="843" w:type="dxa"/>
                  <w:vAlign w:val="center"/>
                </w:tcPr>
                <w:p w14:paraId="36DF260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0.677</w:t>
                  </w:r>
                </w:p>
              </w:tc>
              <w:tc>
                <w:tcPr>
                  <w:tcW w:w="843" w:type="dxa"/>
                  <w:vAlign w:val="center"/>
                </w:tcPr>
                <w:p w14:paraId="29C1EEF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843" w:type="dxa"/>
                  <w:vAlign w:val="center"/>
                </w:tcPr>
                <w:p w14:paraId="0FF89A0D">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30</w:t>
                  </w:r>
                  <w:r>
                    <w:rPr>
                      <w:rFonts w:ascii="Times New Roman" w:hAnsi="Times New Roman" w:eastAsia="宋体" w:cs="Times New Roman"/>
                      <w:color w:val="000000" w:themeColor="text1"/>
                      <w:szCs w:val="21"/>
                      <w14:textFill>
                        <w14:solidFill>
                          <w14:schemeClr w14:val="tx1"/>
                        </w14:solidFill>
                      </w14:textFill>
                    </w:rPr>
                    <w:t>.677</w:t>
                  </w:r>
                </w:p>
              </w:tc>
              <w:tc>
                <w:tcPr>
                  <w:tcW w:w="843" w:type="dxa"/>
                  <w:vAlign w:val="center"/>
                </w:tcPr>
                <w:p w14:paraId="4F3A99E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843" w:type="dxa"/>
                  <w:vAlign w:val="center"/>
                </w:tcPr>
                <w:p w14:paraId="162FCB3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.0</w:t>
                  </w:r>
                </w:p>
              </w:tc>
            </w:tr>
          </w:tbl>
          <w:p w14:paraId="3D810E24">
            <w:pPr>
              <w:ind w:firstLine="420" w:firstLineChars="200"/>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表2-10 原项目噪声产生情况一览表</w:t>
            </w:r>
          </w:p>
          <w:tbl>
            <w:tblPr>
              <w:tblStyle w:val="3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8"/>
              <w:gridCol w:w="1020"/>
              <w:gridCol w:w="851"/>
              <w:gridCol w:w="1100"/>
              <w:gridCol w:w="1167"/>
              <w:gridCol w:w="758"/>
              <w:gridCol w:w="949"/>
              <w:gridCol w:w="1194"/>
            </w:tblGrid>
            <w:tr w14:paraId="25F9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9" w:hRule="atLeast"/>
                <w:jc w:val="center"/>
              </w:trPr>
              <w:tc>
                <w:tcPr>
                  <w:tcW w:w="575" w:type="dxa"/>
                  <w:vMerge w:val="restart"/>
                  <w:vAlign w:val="center"/>
                </w:tcPr>
                <w:p w14:paraId="2BA0ECA0">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车间</w:t>
                  </w:r>
                </w:p>
              </w:tc>
              <w:tc>
                <w:tcPr>
                  <w:tcW w:w="1072" w:type="dxa"/>
                  <w:vMerge w:val="restart"/>
                  <w:vAlign w:val="center"/>
                </w:tcPr>
                <w:p w14:paraId="57A2871F">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设备名称</w:t>
                  </w:r>
                </w:p>
              </w:tc>
              <w:tc>
                <w:tcPr>
                  <w:tcW w:w="894" w:type="dxa"/>
                  <w:vMerge w:val="restart"/>
                  <w:vAlign w:val="center"/>
                </w:tcPr>
                <w:p w14:paraId="112697AA">
                  <w:pPr>
                    <w:pStyle w:val="301"/>
                    <w:spacing w:line="240" w:lineRule="auto"/>
                    <w:ind w:firstLine="0" w:firstLineChars="0"/>
                    <w:jc w:val="center"/>
                    <w:rPr>
                      <w:rFonts w:hint="eastAsia" w:eastAsia="宋体"/>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 xml:space="preserve">数量 </w:t>
                  </w:r>
                  <w:r>
                    <w:rPr>
                      <w:rFonts w:hint="eastAsia"/>
                      <w:color w:val="000000" w:themeColor="text1"/>
                      <w:sz w:val="21"/>
                      <w:szCs w:val="21"/>
                      <w:lang w:eastAsia="zh-CN"/>
                      <w14:textFill>
                        <w14:solidFill>
                          <w14:schemeClr w14:val="tx1"/>
                        </w14:solidFill>
                      </w14:textFill>
                    </w:rPr>
                    <w:t>（</w:t>
                  </w:r>
                  <w:r>
                    <w:rPr>
                      <w:color w:val="000000" w:themeColor="text1"/>
                      <w:sz w:val="21"/>
                      <w:szCs w:val="21"/>
                      <w14:textFill>
                        <w14:solidFill>
                          <w14:schemeClr w14:val="tx1"/>
                        </w14:solidFill>
                      </w14:textFill>
                    </w:rPr>
                    <w:t>台</w:t>
                  </w:r>
                  <w:r>
                    <w:rPr>
                      <w:rFonts w:hint="eastAsia"/>
                      <w:color w:val="000000" w:themeColor="text1"/>
                      <w:sz w:val="21"/>
                      <w:szCs w:val="21"/>
                      <w:lang w:eastAsia="zh-CN"/>
                      <w14:textFill>
                        <w14:solidFill>
                          <w14:schemeClr w14:val="tx1"/>
                        </w14:solidFill>
                      </w14:textFill>
                    </w:rPr>
                    <w:t>）</w:t>
                  </w:r>
                </w:p>
              </w:tc>
              <w:tc>
                <w:tcPr>
                  <w:tcW w:w="1157" w:type="dxa"/>
                  <w:vMerge w:val="restart"/>
                  <w:vAlign w:val="center"/>
                </w:tcPr>
                <w:p w14:paraId="109521B6">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单台设备源强dB(A)</w:t>
                  </w:r>
                </w:p>
              </w:tc>
              <w:tc>
                <w:tcPr>
                  <w:tcW w:w="1227" w:type="dxa"/>
                  <w:vMerge w:val="restart"/>
                  <w:vAlign w:val="center"/>
                </w:tcPr>
                <w:p w14:paraId="443B0B7F">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叠加后源强dB(A)</w:t>
                  </w:r>
                </w:p>
              </w:tc>
              <w:tc>
                <w:tcPr>
                  <w:tcW w:w="797" w:type="dxa"/>
                  <w:vMerge w:val="restart"/>
                  <w:vAlign w:val="center"/>
                </w:tcPr>
                <w:p w14:paraId="2834F2CF">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持续时间</w:t>
                  </w:r>
                </w:p>
              </w:tc>
              <w:tc>
                <w:tcPr>
                  <w:tcW w:w="998" w:type="dxa"/>
                  <w:vMerge w:val="restart"/>
                  <w:vAlign w:val="center"/>
                </w:tcPr>
                <w:p w14:paraId="1253C9B7">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治理措施</w:t>
                  </w:r>
                </w:p>
              </w:tc>
              <w:tc>
                <w:tcPr>
                  <w:tcW w:w="1256" w:type="dxa"/>
                  <w:vMerge w:val="restart"/>
                  <w:vAlign w:val="center"/>
                </w:tcPr>
                <w:p w14:paraId="336E3524">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减震后的噪声源强dB(A)</w:t>
                  </w:r>
                </w:p>
              </w:tc>
            </w:tr>
            <w:tr w14:paraId="29B0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jc w:val="center"/>
              </w:trPr>
              <w:tc>
                <w:tcPr>
                  <w:tcW w:w="575" w:type="dxa"/>
                  <w:vMerge w:val="continue"/>
                  <w:textDirection w:val="tbRlV"/>
                  <w:vAlign w:val="center"/>
                </w:tcPr>
                <w:p w14:paraId="6FCCCA9E">
                  <w:pPr>
                    <w:pStyle w:val="301"/>
                    <w:spacing w:line="240" w:lineRule="auto"/>
                    <w:ind w:firstLine="0" w:firstLineChars="0"/>
                    <w:jc w:val="center"/>
                    <w:rPr>
                      <w:color w:val="000000" w:themeColor="text1"/>
                      <w:sz w:val="21"/>
                      <w:szCs w:val="21"/>
                      <w14:textFill>
                        <w14:solidFill>
                          <w14:schemeClr w14:val="tx1"/>
                        </w14:solidFill>
                      </w14:textFill>
                    </w:rPr>
                  </w:pPr>
                </w:p>
              </w:tc>
              <w:tc>
                <w:tcPr>
                  <w:tcW w:w="1072" w:type="dxa"/>
                  <w:vMerge w:val="continue"/>
                  <w:vAlign w:val="center"/>
                </w:tcPr>
                <w:p w14:paraId="1E86082F">
                  <w:pPr>
                    <w:pStyle w:val="301"/>
                    <w:spacing w:line="240" w:lineRule="auto"/>
                    <w:ind w:firstLine="0" w:firstLineChars="0"/>
                    <w:jc w:val="center"/>
                    <w:rPr>
                      <w:color w:val="000000" w:themeColor="text1"/>
                      <w:sz w:val="21"/>
                      <w:szCs w:val="21"/>
                      <w14:textFill>
                        <w14:solidFill>
                          <w14:schemeClr w14:val="tx1"/>
                        </w14:solidFill>
                      </w14:textFill>
                    </w:rPr>
                  </w:pPr>
                </w:p>
              </w:tc>
              <w:tc>
                <w:tcPr>
                  <w:tcW w:w="894" w:type="dxa"/>
                  <w:vMerge w:val="continue"/>
                  <w:vAlign w:val="center"/>
                </w:tcPr>
                <w:p w14:paraId="16F4C56C">
                  <w:pPr>
                    <w:pStyle w:val="301"/>
                    <w:spacing w:line="240" w:lineRule="auto"/>
                    <w:ind w:firstLine="0" w:firstLineChars="0"/>
                    <w:jc w:val="center"/>
                    <w:rPr>
                      <w:color w:val="000000" w:themeColor="text1"/>
                      <w:sz w:val="21"/>
                      <w:szCs w:val="21"/>
                      <w14:textFill>
                        <w14:solidFill>
                          <w14:schemeClr w14:val="tx1"/>
                        </w14:solidFill>
                      </w14:textFill>
                    </w:rPr>
                  </w:pPr>
                </w:p>
              </w:tc>
              <w:tc>
                <w:tcPr>
                  <w:tcW w:w="1157" w:type="dxa"/>
                  <w:vMerge w:val="continue"/>
                  <w:vAlign w:val="center"/>
                </w:tcPr>
                <w:p w14:paraId="47468B9D">
                  <w:pPr>
                    <w:pStyle w:val="301"/>
                    <w:spacing w:line="240" w:lineRule="auto"/>
                    <w:ind w:firstLine="0" w:firstLineChars="0"/>
                    <w:jc w:val="center"/>
                    <w:rPr>
                      <w:color w:val="000000" w:themeColor="text1"/>
                      <w:sz w:val="21"/>
                      <w:szCs w:val="21"/>
                      <w14:textFill>
                        <w14:solidFill>
                          <w14:schemeClr w14:val="tx1"/>
                        </w14:solidFill>
                      </w14:textFill>
                    </w:rPr>
                  </w:pPr>
                </w:p>
              </w:tc>
              <w:tc>
                <w:tcPr>
                  <w:tcW w:w="1227" w:type="dxa"/>
                  <w:vMerge w:val="continue"/>
                  <w:vAlign w:val="center"/>
                </w:tcPr>
                <w:p w14:paraId="7866D588">
                  <w:pPr>
                    <w:pStyle w:val="301"/>
                    <w:spacing w:line="240" w:lineRule="auto"/>
                    <w:ind w:firstLine="0" w:firstLineChars="0"/>
                    <w:jc w:val="center"/>
                    <w:rPr>
                      <w:color w:val="000000" w:themeColor="text1"/>
                      <w:sz w:val="21"/>
                      <w:szCs w:val="21"/>
                      <w14:textFill>
                        <w14:solidFill>
                          <w14:schemeClr w14:val="tx1"/>
                        </w14:solidFill>
                      </w14:textFill>
                    </w:rPr>
                  </w:pPr>
                </w:p>
              </w:tc>
              <w:tc>
                <w:tcPr>
                  <w:tcW w:w="797" w:type="dxa"/>
                  <w:vMerge w:val="continue"/>
                  <w:textDirection w:val="tbRlV"/>
                  <w:vAlign w:val="center"/>
                </w:tcPr>
                <w:p w14:paraId="1C1AB7E5">
                  <w:pPr>
                    <w:pStyle w:val="301"/>
                    <w:spacing w:line="240" w:lineRule="auto"/>
                    <w:ind w:firstLine="0" w:firstLineChars="0"/>
                    <w:jc w:val="center"/>
                    <w:rPr>
                      <w:color w:val="000000" w:themeColor="text1"/>
                      <w:sz w:val="21"/>
                      <w:szCs w:val="21"/>
                      <w14:textFill>
                        <w14:solidFill>
                          <w14:schemeClr w14:val="tx1"/>
                        </w14:solidFill>
                      </w14:textFill>
                    </w:rPr>
                  </w:pPr>
                </w:p>
              </w:tc>
              <w:tc>
                <w:tcPr>
                  <w:tcW w:w="998" w:type="dxa"/>
                  <w:vMerge w:val="continue"/>
                  <w:vAlign w:val="center"/>
                </w:tcPr>
                <w:p w14:paraId="480D9ED6">
                  <w:pPr>
                    <w:pStyle w:val="301"/>
                    <w:spacing w:line="240" w:lineRule="auto"/>
                    <w:ind w:firstLine="0" w:firstLineChars="0"/>
                    <w:jc w:val="center"/>
                    <w:rPr>
                      <w:color w:val="000000" w:themeColor="text1"/>
                      <w:sz w:val="21"/>
                      <w:szCs w:val="21"/>
                      <w14:textFill>
                        <w14:solidFill>
                          <w14:schemeClr w14:val="tx1"/>
                        </w14:solidFill>
                      </w14:textFill>
                    </w:rPr>
                  </w:pPr>
                </w:p>
              </w:tc>
              <w:tc>
                <w:tcPr>
                  <w:tcW w:w="1256" w:type="dxa"/>
                  <w:vMerge w:val="continue"/>
                  <w:vAlign w:val="center"/>
                </w:tcPr>
                <w:p w14:paraId="4D935EFE">
                  <w:pPr>
                    <w:pStyle w:val="301"/>
                    <w:spacing w:line="240" w:lineRule="auto"/>
                    <w:ind w:firstLine="0" w:firstLineChars="0"/>
                    <w:jc w:val="center"/>
                    <w:rPr>
                      <w:color w:val="000000" w:themeColor="text1"/>
                      <w:sz w:val="21"/>
                      <w:szCs w:val="21"/>
                      <w14:textFill>
                        <w14:solidFill>
                          <w14:schemeClr w14:val="tx1"/>
                        </w14:solidFill>
                      </w14:textFill>
                    </w:rPr>
                  </w:pPr>
                </w:p>
              </w:tc>
            </w:tr>
            <w:tr w14:paraId="71AB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3" w:hRule="atLeast"/>
                <w:jc w:val="center"/>
              </w:trPr>
              <w:tc>
                <w:tcPr>
                  <w:tcW w:w="575" w:type="dxa"/>
                  <w:vMerge w:val="restart"/>
                  <w:vAlign w:val="center"/>
                </w:tcPr>
                <w:p w14:paraId="6421A64A">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生产车间</w:t>
                  </w:r>
                </w:p>
              </w:tc>
              <w:tc>
                <w:tcPr>
                  <w:tcW w:w="1072" w:type="dxa"/>
                  <w:vAlign w:val="center"/>
                </w:tcPr>
                <w:p w14:paraId="79F54FCD">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混砂机</w:t>
                  </w:r>
                </w:p>
              </w:tc>
              <w:tc>
                <w:tcPr>
                  <w:tcW w:w="894" w:type="dxa"/>
                  <w:vAlign w:val="center"/>
                </w:tcPr>
                <w:p w14:paraId="53037364">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w:t>
                  </w:r>
                </w:p>
              </w:tc>
              <w:tc>
                <w:tcPr>
                  <w:tcW w:w="1157" w:type="dxa"/>
                  <w:vAlign w:val="center"/>
                </w:tcPr>
                <w:p w14:paraId="466EB059">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90</w:t>
                  </w:r>
                </w:p>
              </w:tc>
              <w:tc>
                <w:tcPr>
                  <w:tcW w:w="1227" w:type="dxa"/>
                  <w:vAlign w:val="center"/>
                </w:tcPr>
                <w:p w14:paraId="1F702B30">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96</w:t>
                  </w:r>
                </w:p>
              </w:tc>
              <w:tc>
                <w:tcPr>
                  <w:tcW w:w="797" w:type="dxa"/>
                  <w:vMerge w:val="restart"/>
                  <w:vAlign w:val="center"/>
                </w:tcPr>
                <w:p w14:paraId="2D3596A6">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持续</w:t>
                  </w:r>
                </w:p>
              </w:tc>
              <w:tc>
                <w:tcPr>
                  <w:tcW w:w="998" w:type="dxa"/>
                  <w:vMerge w:val="restart"/>
                  <w:vAlign w:val="center"/>
                </w:tcPr>
                <w:p w14:paraId="7BE11958">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减震消声设施、低噪设备、合理布置噪声源</w:t>
                  </w:r>
                </w:p>
              </w:tc>
              <w:tc>
                <w:tcPr>
                  <w:tcW w:w="1256" w:type="dxa"/>
                  <w:vAlign w:val="center"/>
                </w:tcPr>
                <w:p w14:paraId="05964A45">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73</w:t>
                  </w:r>
                </w:p>
              </w:tc>
            </w:tr>
            <w:tr w14:paraId="6FC1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1" w:hRule="atLeast"/>
                <w:jc w:val="center"/>
              </w:trPr>
              <w:tc>
                <w:tcPr>
                  <w:tcW w:w="575" w:type="dxa"/>
                  <w:vMerge w:val="continue"/>
                  <w:textDirection w:val="tbRlV"/>
                  <w:vAlign w:val="center"/>
                </w:tcPr>
                <w:p w14:paraId="6C6D58DB">
                  <w:pPr>
                    <w:pStyle w:val="301"/>
                    <w:spacing w:line="240" w:lineRule="auto"/>
                    <w:ind w:firstLine="0" w:firstLineChars="0"/>
                    <w:jc w:val="center"/>
                    <w:rPr>
                      <w:color w:val="000000" w:themeColor="text1"/>
                      <w:sz w:val="21"/>
                      <w:szCs w:val="21"/>
                      <w14:textFill>
                        <w14:solidFill>
                          <w14:schemeClr w14:val="tx1"/>
                        </w14:solidFill>
                      </w14:textFill>
                    </w:rPr>
                  </w:pPr>
                </w:p>
              </w:tc>
              <w:tc>
                <w:tcPr>
                  <w:tcW w:w="1072" w:type="dxa"/>
                  <w:vAlign w:val="center"/>
                </w:tcPr>
                <w:p w14:paraId="39F6AD4A">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水平造型机</w:t>
                  </w:r>
                </w:p>
              </w:tc>
              <w:tc>
                <w:tcPr>
                  <w:tcW w:w="894" w:type="dxa"/>
                  <w:vAlign w:val="center"/>
                </w:tcPr>
                <w:p w14:paraId="4762C0BB">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w:t>
                  </w:r>
                </w:p>
              </w:tc>
              <w:tc>
                <w:tcPr>
                  <w:tcW w:w="1157" w:type="dxa"/>
                  <w:vAlign w:val="center"/>
                </w:tcPr>
                <w:p w14:paraId="32889F66">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85</w:t>
                  </w:r>
                </w:p>
              </w:tc>
              <w:tc>
                <w:tcPr>
                  <w:tcW w:w="1227" w:type="dxa"/>
                  <w:vAlign w:val="center"/>
                </w:tcPr>
                <w:p w14:paraId="3E57E140">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91</w:t>
                  </w:r>
                </w:p>
              </w:tc>
              <w:tc>
                <w:tcPr>
                  <w:tcW w:w="797" w:type="dxa"/>
                  <w:vMerge w:val="continue"/>
                  <w:textDirection w:val="tbRlV"/>
                  <w:vAlign w:val="center"/>
                </w:tcPr>
                <w:p w14:paraId="4C691BE2">
                  <w:pPr>
                    <w:pStyle w:val="301"/>
                    <w:spacing w:line="240" w:lineRule="auto"/>
                    <w:ind w:firstLine="0" w:firstLineChars="0"/>
                    <w:jc w:val="center"/>
                    <w:rPr>
                      <w:color w:val="000000" w:themeColor="text1"/>
                      <w:sz w:val="21"/>
                      <w:szCs w:val="21"/>
                      <w14:textFill>
                        <w14:solidFill>
                          <w14:schemeClr w14:val="tx1"/>
                        </w14:solidFill>
                      </w14:textFill>
                    </w:rPr>
                  </w:pPr>
                </w:p>
              </w:tc>
              <w:tc>
                <w:tcPr>
                  <w:tcW w:w="998" w:type="dxa"/>
                  <w:vMerge w:val="continue"/>
                  <w:vAlign w:val="center"/>
                </w:tcPr>
                <w:p w14:paraId="775F7973">
                  <w:pPr>
                    <w:pStyle w:val="301"/>
                    <w:spacing w:line="240" w:lineRule="auto"/>
                    <w:ind w:firstLine="0" w:firstLineChars="0"/>
                    <w:jc w:val="center"/>
                    <w:rPr>
                      <w:color w:val="000000" w:themeColor="text1"/>
                      <w:sz w:val="21"/>
                      <w:szCs w:val="21"/>
                      <w14:textFill>
                        <w14:solidFill>
                          <w14:schemeClr w14:val="tx1"/>
                        </w14:solidFill>
                      </w14:textFill>
                    </w:rPr>
                  </w:pPr>
                </w:p>
              </w:tc>
              <w:tc>
                <w:tcPr>
                  <w:tcW w:w="1256" w:type="dxa"/>
                  <w:vAlign w:val="center"/>
                </w:tcPr>
                <w:p w14:paraId="24C33481">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71</w:t>
                  </w:r>
                </w:p>
              </w:tc>
            </w:tr>
            <w:tr w14:paraId="3724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575" w:type="dxa"/>
                  <w:vMerge w:val="continue"/>
                  <w:textDirection w:val="tbRlV"/>
                  <w:vAlign w:val="center"/>
                </w:tcPr>
                <w:p w14:paraId="7F77818C">
                  <w:pPr>
                    <w:pStyle w:val="301"/>
                    <w:spacing w:line="240" w:lineRule="auto"/>
                    <w:ind w:firstLine="0" w:firstLineChars="0"/>
                    <w:jc w:val="center"/>
                    <w:rPr>
                      <w:color w:val="000000" w:themeColor="text1"/>
                      <w:sz w:val="21"/>
                      <w:szCs w:val="21"/>
                      <w14:textFill>
                        <w14:solidFill>
                          <w14:schemeClr w14:val="tx1"/>
                        </w14:solidFill>
                      </w14:textFill>
                    </w:rPr>
                  </w:pPr>
                </w:p>
              </w:tc>
              <w:tc>
                <w:tcPr>
                  <w:tcW w:w="1072" w:type="dxa"/>
                  <w:vAlign w:val="center"/>
                </w:tcPr>
                <w:p w14:paraId="26B1D5F7">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垂直造型机</w:t>
                  </w:r>
                </w:p>
              </w:tc>
              <w:tc>
                <w:tcPr>
                  <w:tcW w:w="894" w:type="dxa"/>
                  <w:vAlign w:val="center"/>
                </w:tcPr>
                <w:p w14:paraId="0F6A332F">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c>
                <w:tcPr>
                  <w:tcW w:w="1157" w:type="dxa"/>
                  <w:vAlign w:val="center"/>
                </w:tcPr>
                <w:p w14:paraId="783A4C5E">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85</w:t>
                  </w:r>
                </w:p>
              </w:tc>
              <w:tc>
                <w:tcPr>
                  <w:tcW w:w="1227" w:type="dxa"/>
                  <w:vAlign w:val="center"/>
                </w:tcPr>
                <w:p w14:paraId="6F909820">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88</w:t>
                  </w:r>
                </w:p>
              </w:tc>
              <w:tc>
                <w:tcPr>
                  <w:tcW w:w="797" w:type="dxa"/>
                  <w:vMerge w:val="continue"/>
                  <w:textDirection w:val="tbRlV"/>
                  <w:vAlign w:val="center"/>
                </w:tcPr>
                <w:p w14:paraId="1928E5B5">
                  <w:pPr>
                    <w:pStyle w:val="301"/>
                    <w:spacing w:line="240" w:lineRule="auto"/>
                    <w:ind w:firstLine="0" w:firstLineChars="0"/>
                    <w:jc w:val="center"/>
                    <w:rPr>
                      <w:color w:val="000000" w:themeColor="text1"/>
                      <w:sz w:val="21"/>
                      <w:szCs w:val="21"/>
                      <w14:textFill>
                        <w14:solidFill>
                          <w14:schemeClr w14:val="tx1"/>
                        </w14:solidFill>
                      </w14:textFill>
                    </w:rPr>
                  </w:pPr>
                </w:p>
              </w:tc>
              <w:tc>
                <w:tcPr>
                  <w:tcW w:w="998" w:type="dxa"/>
                  <w:vMerge w:val="continue"/>
                  <w:vAlign w:val="center"/>
                </w:tcPr>
                <w:p w14:paraId="510121C0">
                  <w:pPr>
                    <w:pStyle w:val="301"/>
                    <w:spacing w:line="240" w:lineRule="auto"/>
                    <w:ind w:firstLine="0" w:firstLineChars="0"/>
                    <w:jc w:val="center"/>
                    <w:rPr>
                      <w:color w:val="000000" w:themeColor="text1"/>
                      <w:sz w:val="21"/>
                      <w:szCs w:val="21"/>
                      <w14:textFill>
                        <w14:solidFill>
                          <w14:schemeClr w14:val="tx1"/>
                        </w14:solidFill>
                      </w14:textFill>
                    </w:rPr>
                  </w:pPr>
                </w:p>
              </w:tc>
              <w:tc>
                <w:tcPr>
                  <w:tcW w:w="1256" w:type="dxa"/>
                  <w:vAlign w:val="center"/>
                </w:tcPr>
                <w:p w14:paraId="3378AA27">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68</w:t>
                  </w:r>
                </w:p>
              </w:tc>
            </w:tr>
            <w:tr w14:paraId="17B4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575" w:type="dxa"/>
                  <w:vMerge w:val="continue"/>
                  <w:textDirection w:val="tbRlV"/>
                  <w:vAlign w:val="center"/>
                </w:tcPr>
                <w:p w14:paraId="0A94D8A5">
                  <w:pPr>
                    <w:pStyle w:val="301"/>
                    <w:spacing w:line="240" w:lineRule="auto"/>
                    <w:ind w:firstLine="0" w:firstLineChars="0"/>
                    <w:jc w:val="center"/>
                    <w:rPr>
                      <w:color w:val="000000" w:themeColor="text1"/>
                      <w:sz w:val="21"/>
                      <w:szCs w:val="21"/>
                      <w14:textFill>
                        <w14:solidFill>
                          <w14:schemeClr w14:val="tx1"/>
                        </w14:solidFill>
                      </w14:textFill>
                    </w:rPr>
                  </w:pPr>
                </w:p>
              </w:tc>
              <w:tc>
                <w:tcPr>
                  <w:tcW w:w="1072" w:type="dxa"/>
                  <w:vAlign w:val="center"/>
                </w:tcPr>
                <w:p w14:paraId="0B47F741">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振动落砂机</w:t>
                  </w:r>
                </w:p>
              </w:tc>
              <w:tc>
                <w:tcPr>
                  <w:tcW w:w="894" w:type="dxa"/>
                  <w:vAlign w:val="center"/>
                </w:tcPr>
                <w:p w14:paraId="62E52CC3">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w:t>
                  </w:r>
                </w:p>
              </w:tc>
              <w:tc>
                <w:tcPr>
                  <w:tcW w:w="1157" w:type="dxa"/>
                  <w:vAlign w:val="center"/>
                </w:tcPr>
                <w:p w14:paraId="0CF31EDE">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w:t>
                  </w:r>
                  <w:r>
                    <w:rPr>
                      <w:color w:val="000000" w:themeColor="text1"/>
                      <w:sz w:val="21"/>
                      <w:szCs w:val="21"/>
                      <w14:textFill>
                        <w14:solidFill>
                          <w14:schemeClr w14:val="tx1"/>
                        </w14:solidFill>
                      </w14:textFill>
                    </w:rPr>
                    <w:t>5</w:t>
                  </w:r>
                </w:p>
              </w:tc>
              <w:tc>
                <w:tcPr>
                  <w:tcW w:w="1227" w:type="dxa"/>
                  <w:vAlign w:val="center"/>
                </w:tcPr>
                <w:p w14:paraId="65F3DEF2">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91</w:t>
                  </w:r>
                </w:p>
              </w:tc>
              <w:tc>
                <w:tcPr>
                  <w:tcW w:w="797" w:type="dxa"/>
                  <w:vMerge w:val="continue"/>
                  <w:textDirection w:val="tbRlV"/>
                  <w:vAlign w:val="center"/>
                </w:tcPr>
                <w:p w14:paraId="57BCE1E0">
                  <w:pPr>
                    <w:pStyle w:val="301"/>
                    <w:spacing w:line="240" w:lineRule="auto"/>
                    <w:ind w:firstLine="0" w:firstLineChars="0"/>
                    <w:jc w:val="center"/>
                    <w:rPr>
                      <w:color w:val="000000" w:themeColor="text1"/>
                      <w:sz w:val="21"/>
                      <w:szCs w:val="21"/>
                      <w14:textFill>
                        <w14:solidFill>
                          <w14:schemeClr w14:val="tx1"/>
                        </w14:solidFill>
                      </w14:textFill>
                    </w:rPr>
                  </w:pPr>
                </w:p>
              </w:tc>
              <w:tc>
                <w:tcPr>
                  <w:tcW w:w="998" w:type="dxa"/>
                  <w:vMerge w:val="continue"/>
                  <w:vAlign w:val="center"/>
                </w:tcPr>
                <w:p w14:paraId="043220CD">
                  <w:pPr>
                    <w:pStyle w:val="301"/>
                    <w:spacing w:line="240" w:lineRule="auto"/>
                    <w:ind w:firstLine="0" w:firstLineChars="0"/>
                    <w:jc w:val="center"/>
                    <w:rPr>
                      <w:color w:val="000000" w:themeColor="text1"/>
                      <w:sz w:val="21"/>
                      <w:szCs w:val="21"/>
                      <w14:textFill>
                        <w14:solidFill>
                          <w14:schemeClr w14:val="tx1"/>
                        </w14:solidFill>
                      </w14:textFill>
                    </w:rPr>
                  </w:pPr>
                </w:p>
              </w:tc>
              <w:tc>
                <w:tcPr>
                  <w:tcW w:w="1256" w:type="dxa"/>
                  <w:vAlign w:val="center"/>
                </w:tcPr>
                <w:p w14:paraId="12210475">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w:t>
                  </w:r>
                  <w:r>
                    <w:rPr>
                      <w:color w:val="000000" w:themeColor="text1"/>
                      <w:sz w:val="21"/>
                      <w:szCs w:val="21"/>
                      <w14:textFill>
                        <w14:solidFill>
                          <w14:schemeClr w14:val="tx1"/>
                        </w14:solidFill>
                      </w14:textFill>
                    </w:rPr>
                    <w:t>1</w:t>
                  </w:r>
                </w:p>
              </w:tc>
            </w:tr>
            <w:tr w14:paraId="76C0F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575" w:type="dxa"/>
                  <w:vMerge w:val="continue"/>
                  <w:textDirection w:val="tbRlV"/>
                  <w:vAlign w:val="center"/>
                </w:tcPr>
                <w:p w14:paraId="0D64F89B">
                  <w:pPr>
                    <w:pStyle w:val="301"/>
                    <w:spacing w:line="240" w:lineRule="auto"/>
                    <w:ind w:firstLine="0" w:firstLineChars="0"/>
                    <w:jc w:val="center"/>
                    <w:rPr>
                      <w:color w:val="000000" w:themeColor="text1"/>
                      <w:sz w:val="21"/>
                      <w:szCs w:val="21"/>
                      <w14:textFill>
                        <w14:solidFill>
                          <w14:schemeClr w14:val="tx1"/>
                        </w14:solidFill>
                      </w14:textFill>
                    </w:rPr>
                  </w:pPr>
                </w:p>
              </w:tc>
              <w:tc>
                <w:tcPr>
                  <w:tcW w:w="1072" w:type="dxa"/>
                  <w:vAlign w:val="center"/>
                </w:tcPr>
                <w:p w14:paraId="75A1FB11">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打磨机</w:t>
                  </w:r>
                </w:p>
              </w:tc>
              <w:tc>
                <w:tcPr>
                  <w:tcW w:w="894" w:type="dxa"/>
                  <w:vAlign w:val="center"/>
                </w:tcPr>
                <w:p w14:paraId="6229B42F">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w:t>
                  </w:r>
                </w:p>
              </w:tc>
              <w:tc>
                <w:tcPr>
                  <w:tcW w:w="1157" w:type="dxa"/>
                  <w:vAlign w:val="center"/>
                </w:tcPr>
                <w:p w14:paraId="74F25666">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w:t>
                  </w:r>
                  <w:r>
                    <w:rPr>
                      <w:color w:val="000000" w:themeColor="text1"/>
                      <w:sz w:val="21"/>
                      <w:szCs w:val="21"/>
                      <w14:textFill>
                        <w14:solidFill>
                          <w14:schemeClr w14:val="tx1"/>
                        </w14:solidFill>
                      </w14:textFill>
                    </w:rPr>
                    <w:t>5</w:t>
                  </w:r>
                </w:p>
              </w:tc>
              <w:tc>
                <w:tcPr>
                  <w:tcW w:w="1227" w:type="dxa"/>
                  <w:vAlign w:val="center"/>
                </w:tcPr>
                <w:p w14:paraId="0FE97367">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w:t>
                  </w:r>
                  <w:r>
                    <w:rPr>
                      <w:color w:val="000000" w:themeColor="text1"/>
                      <w:sz w:val="21"/>
                      <w:szCs w:val="21"/>
                      <w14:textFill>
                        <w14:solidFill>
                          <w14:schemeClr w14:val="tx1"/>
                        </w14:solidFill>
                      </w14:textFill>
                    </w:rPr>
                    <w:t>1</w:t>
                  </w:r>
                </w:p>
              </w:tc>
              <w:tc>
                <w:tcPr>
                  <w:tcW w:w="797" w:type="dxa"/>
                  <w:vMerge w:val="continue"/>
                  <w:textDirection w:val="tbRlV"/>
                  <w:vAlign w:val="center"/>
                </w:tcPr>
                <w:p w14:paraId="09FD0313">
                  <w:pPr>
                    <w:pStyle w:val="301"/>
                    <w:spacing w:line="240" w:lineRule="auto"/>
                    <w:ind w:firstLine="0" w:firstLineChars="0"/>
                    <w:jc w:val="center"/>
                    <w:rPr>
                      <w:color w:val="000000" w:themeColor="text1"/>
                      <w:sz w:val="21"/>
                      <w:szCs w:val="21"/>
                      <w14:textFill>
                        <w14:solidFill>
                          <w14:schemeClr w14:val="tx1"/>
                        </w14:solidFill>
                      </w14:textFill>
                    </w:rPr>
                  </w:pPr>
                </w:p>
              </w:tc>
              <w:tc>
                <w:tcPr>
                  <w:tcW w:w="998" w:type="dxa"/>
                  <w:vMerge w:val="continue"/>
                  <w:vAlign w:val="center"/>
                </w:tcPr>
                <w:p w14:paraId="4A6B9C69">
                  <w:pPr>
                    <w:pStyle w:val="301"/>
                    <w:spacing w:line="240" w:lineRule="auto"/>
                    <w:ind w:firstLine="0" w:firstLineChars="0"/>
                    <w:jc w:val="center"/>
                    <w:rPr>
                      <w:color w:val="000000" w:themeColor="text1"/>
                      <w:sz w:val="21"/>
                      <w:szCs w:val="21"/>
                      <w14:textFill>
                        <w14:solidFill>
                          <w14:schemeClr w14:val="tx1"/>
                        </w14:solidFill>
                      </w14:textFill>
                    </w:rPr>
                  </w:pPr>
                </w:p>
              </w:tc>
              <w:tc>
                <w:tcPr>
                  <w:tcW w:w="1256" w:type="dxa"/>
                  <w:vAlign w:val="center"/>
                </w:tcPr>
                <w:p w14:paraId="1D5C3DF1">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w:t>
                  </w:r>
                  <w:r>
                    <w:rPr>
                      <w:color w:val="000000" w:themeColor="text1"/>
                      <w:sz w:val="21"/>
                      <w:szCs w:val="21"/>
                      <w14:textFill>
                        <w14:solidFill>
                          <w14:schemeClr w14:val="tx1"/>
                        </w14:solidFill>
                      </w14:textFill>
                    </w:rPr>
                    <w:t>1</w:t>
                  </w:r>
                </w:p>
              </w:tc>
            </w:tr>
          </w:tbl>
          <w:p w14:paraId="59981F0F">
            <w:pPr>
              <w:ind w:firstLine="420" w:firstLineChars="200"/>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表2</w:t>
            </w:r>
            <w:r>
              <w:rPr>
                <w:rFonts w:ascii="Times New Roman" w:hAnsi="Times New Roman" w:eastAsia="宋体" w:cs="Times New Roman"/>
                <w:b/>
                <w:color w:val="000000" w:themeColor="text1"/>
                <w:szCs w:val="21"/>
                <w14:textFill>
                  <w14:solidFill>
                    <w14:schemeClr w14:val="tx1"/>
                  </w14:solidFill>
                </w14:textFill>
              </w:rPr>
              <w:t>-11 原项目固废产生情况一览表</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88"/>
              <w:gridCol w:w="644"/>
              <w:gridCol w:w="1214"/>
              <w:gridCol w:w="339"/>
              <w:gridCol w:w="633"/>
              <w:gridCol w:w="571"/>
              <w:gridCol w:w="470"/>
              <w:gridCol w:w="483"/>
              <w:gridCol w:w="618"/>
              <w:gridCol w:w="470"/>
              <w:gridCol w:w="744"/>
              <w:gridCol w:w="601"/>
              <w:gridCol w:w="512"/>
            </w:tblGrid>
            <w:tr w14:paraId="2407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0" w:type="dxa"/>
                  <w:vAlign w:val="center"/>
                </w:tcPr>
                <w:p w14:paraId="413B1E67">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序号</w:t>
                  </w:r>
                </w:p>
              </w:tc>
              <w:tc>
                <w:tcPr>
                  <w:tcW w:w="678" w:type="dxa"/>
                  <w:vAlign w:val="center"/>
                </w:tcPr>
                <w:p w14:paraId="140A3E2C">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产生环节</w:t>
                  </w:r>
                </w:p>
              </w:tc>
              <w:tc>
                <w:tcPr>
                  <w:tcW w:w="1281" w:type="dxa"/>
                  <w:vAlign w:val="center"/>
                </w:tcPr>
                <w:p w14:paraId="67FFCEE9">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名称</w:t>
                  </w:r>
                </w:p>
              </w:tc>
              <w:tc>
                <w:tcPr>
                  <w:tcW w:w="1021" w:type="dxa"/>
                  <w:gridSpan w:val="2"/>
                  <w:vAlign w:val="center"/>
                </w:tcPr>
                <w:p w14:paraId="5BB1B1EF">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属性</w:t>
                  </w:r>
                </w:p>
              </w:tc>
              <w:tc>
                <w:tcPr>
                  <w:tcW w:w="600" w:type="dxa"/>
                  <w:vAlign w:val="center"/>
                </w:tcPr>
                <w:p w14:paraId="4B04103D">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主要有毒有害物质名称</w:t>
                  </w:r>
                </w:p>
              </w:tc>
              <w:tc>
                <w:tcPr>
                  <w:tcW w:w="493" w:type="dxa"/>
                  <w:vAlign w:val="center"/>
                </w:tcPr>
                <w:p w14:paraId="75EFDC02">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物理性状</w:t>
                  </w:r>
                </w:p>
              </w:tc>
              <w:tc>
                <w:tcPr>
                  <w:tcW w:w="507" w:type="dxa"/>
                  <w:vAlign w:val="center"/>
                </w:tcPr>
                <w:p w14:paraId="0DD82F7E">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环境危险特性</w:t>
                  </w:r>
                </w:p>
              </w:tc>
              <w:tc>
                <w:tcPr>
                  <w:tcW w:w="650" w:type="dxa"/>
                  <w:vAlign w:val="center"/>
                </w:tcPr>
                <w:p w14:paraId="39A2A481">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产生量t/a</w:t>
                  </w:r>
                </w:p>
              </w:tc>
              <w:tc>
                <w:tcPr>
                  <w:tcW w:w="493" w:type="dxa"/>
                  <w:vAlign w:val="center"/>
                </w:tcPr>
                <w:p w14:paraId="2F8DB764">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贮存方式</w:t>
                  </w:r>
                </w:p>
              </w:tc>
              <w:tc>
                <w:tcPr>
                  <w:tcW w:w="783" w:type="dxa"/>
                  <w:vAlign w:val="center"/>
                </w:tcPr>
                <w:p w14:paraId="6AC13897">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利用处置方式和去向</w:t>
                  </w:r>
                </w:p>
              </w:tc>
              <w:tc>
                <w:tcPr>
                  <w:tcW w:w="632" w:type="dxa"/>
                  <w:vAlign w:val="center"/>
                </w:tcPr>
                <w:p w14:paraId="11A4DAB7">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利用或处置量t/a</w:t>
                  </w:r>
                </w:p>
              </w:tc>
              <w:tc>
                <w:tcPr>
                  <w:tcW w:w="538" w:type="dxa"/>
                  <w:vAlign w:val="center"/>
                </w:tcPr>
                <w:p w14:paraId="7C675A7F">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环境管理要求</w:t>
                  </w:r>
                </w:p>
              </w:tc>
            </w:tr>
            <w:tr w14:paraId="03E8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0" w:type="dxa"/>
                  <w:vAlign w:val="center"/>
                </w:tcPr>
                <w:p w14:paraId="549BEEC6">
                  <w:pPr>
                    <w:pStyle w:val="66"/>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1</w:t>
                  </w:r>
                </w:p>
              </w:tc>
              <w:tc>
                <w:tcPr>
                  <w:tcW w:w="678" w:type="dxa"/>
                  <w:vAlign w:val="center"/>
                </w:tcPr>
                <w:p w14:paraId="7D23F47F">
                  <w:pPr>
                    <w:pStyle w:val="66"/>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生活</w:t>
                  </w:r>
                </w:p>
              </w:tc>
              <w:tc>
                <w:tcPr>
                  <w:tcW w:w="1281" w:type="dxa"/>
                  <w:vAlign w:val="center"/>
                </w:tcPr>
                <w:p w14:paraId="6767B2C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生活垃圾</w:t>
                  </w:r>
                </w:p>
              </w:tc>
              <w:tc>
                <w:tcPr>
                  <w:tcW w:w="355" w:type="dxa"/>
                  <w:vAlign w:val="center"/>
                </w:tcPr>
                <w:p w14:paraId="10428C3C">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生活垃圾</w:t>
                  </w:r>
                </w:p>
              </w:tc>
              <w:tc>
                <w:tcPr>
                  <w:tcW w:w="666" w:type="dxa"/>
                  <w:vAlign w:val="center"/>
                </w:tcPr>
                <w:p w14:paraId="640A8AA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color w:val="000000" w:themeColor="text1"/>
                      <w14:textFill>
                        <w14:solidFill>
                          <w14:schemeClr w14:val="tx1"/>
                        </w14:solidFill>
                      </w14:textFill>
                    </w:rPr>
                    <w:t>00-099-S64</w:t>
                  </w:r>
                </w:p>
              </w:tc>
              <w:tc>
                <w:tcPr>
                  <w:tcW w:w="600" w:type="dxa"/>
                  <w:vAlign w:val="center"/>
                </w:tcPr>
                <w:p w14:paraId="0375ECA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93" w:type="dxa"/>
                  <w:vAlign w:val="center"/>
                </w:tcPr>
                <w:p w14:paraId="5E03ACA9">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固</w:t>
                  </w:r>
                </w:p>
              </w:tc>
              <w:tc>
                <w:tcPr>
                  <w:tcW w:w="507" w:type="dxa"/>
                  <w:vAlign w:val="center"/>
                </w:tcPr>
                <w:p w14:paraId="4E03B6D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50" w:type="dxa"/>
                  <w:vAlign w:val="center"/>
                </w:tcPr>
                <w:p w14:paraId="7F8B5CE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p>
              </w:tc>
              <w:tc>
                <w:tcPr>
                  <w:tcW w:w="493" w:type="dxa"/>
                  <w:vAlign w:val="center"/>
                </w:tcPr>
                <w:p w14:paraId="20790116">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袋装</w:t>
                  </w:r>
                </w:p>
              </w:tc>
              <w:tc>
                <w:tcPr>
                  <w:tcW w:w="783" w:type="dxa"/>
                  <w:vAlign w:val="center"/>
                </w:tcPr>
                <w:p w14:paraId="5D2B6EC0">
                  <w:pPr>
                    <w:pStyle w:val="66"/>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交由环卫部门清运</w:t>
                  </w:r>
                </w:p>
              </w:tc>
              <w:tc>
                <w:tcPr>
                  <w:tcW w:w="632" w:type="dxa"/>
                  <w:vAlign w:val="center"/>
                </w:tcPr>
                <w:p w14:paraId="664499B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p>
              </w:tc>
              <w:tc>
                <w:tcPr>
                  <w:tcW w:w="538" w:type="dxa"/>
                  <w:vAlign w:val="center"/>
                </w:tcPr>
                <w:p w14:paraId="70C9AC69">
                  <w:pPr>
                    <w:pStyle w:val="66"/>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生活垃圾</w:t>
                  </w:r>
                </w:p>
              </w:tc>
            </w:tr>
            <w:tr w14:paraId="641E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0" w:type="dxa"/>
                  <w:vAlign w:val="center"/>
                </w:tcPr>
                <w:p w14:paraId="7F3C5AB3">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2</w:t>
                  </w:r>
                </w:p>
              </w:tc>
              <w:tc>
                <w:tcPr>
                  <w:tcW w:w="678" w:type="dxa"/>
                  <w:vAlign w:val="center"/>
                </w:tcPr>
                <w:p w14:paraId="49707545">
                  <w:pPr>
                    <w:pStyle w:val="66"/>
                    <w:rPr>
                      <w:color w:val="000000" w:themeColor="text1"/>
                      <w:lang w:bidi="en-US"/>
                      <w14:textFill>
                        <w14:solidFill>
                          <w14:schemeClr w14:val="tx1"/>
                        </w14:solidFill>
                      </w14:textFill>
                    </w:rPr>
                  </w:pPr>
                  <w:r>
                    <w:rPr>
                      <w:color w:val="000000" w:themeColor="text1"/>
                      <w14:textFill>
                        <w14:solidFill>
                          <w14:schemeClr w14:val="tx1"/>
                        </w14:solidFill>
                      </w14:textFill>
                    </w:rPr>
                    <w:t>废气处理</w:t>
                  </w:r>
                </w:p>
              </w:tc>
              <w:tc>
                <w:tcPr>
                  <w:tcW w:w="1281" w:type="dxa"/>
                  <w:vAlign w:val="center"/>
                </w:tcPr>
                <w:p w14:paraId="7A4FB5C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废布袋</w:t>
                  </w:r>
                </w:p>
              </w:tc>
              <w:tc>
                <w:tcPr>
                  <w:tcW w:w="355" w:type="dxa"/>
                  <w:vMerge w:val="restart"/>
                  <w:vAlign w:val="center"/>
                </w:tcPr>
                <w:p w14:paraId="5EFE5C3A">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一般工业固废</w:t>
                  </w:r>
                </w:p>
              </w:tc>
              <w:tc>
                <w:tcPr>
                  <w:tcW w:w="666" w:type="dxa"/>
                  <w:vAlign w:val="center"/>
                </w:tcPr>
                <w:p w14:paraId="5F25067E">
                  <w:pPr>
                    <w:pStyle w:val="66"/>
                    <w:rPr>
                      <w:color w:val="000000" w:themeColor="text1"/>
                      <w14:textFill>
                        <w14:solidFill>
                          <w14:schemeClr w14:val="tx1"/>
                        </w14:solidFill>
                      </w14:textFill>
                    </w:rPr>
                  </w:pPr>
                  <w:r>
                    <w:rPr>
                      <w:color w:val="000000" w:themeColor="text1"/>
                      <w14:textFill>
                        <w14:solidFill>
                          <w14:schemeClr w14:val="tx1"/>
                        </w14:solidFill>
                      </w14:textFill>
                    </w:rPr>
                    <w:t>900-009-S59</w:t>
                  </w:r>
                </w:p>
              </w:tc>
              <w:tc>
                <w:tcPr>
                  <w:tcW w:w="600" w:type="dxa"/>
                  <w:vAlign w:val="center"/>
                </w:tcPr>
                <w:p w14:paraId="2A76FF6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93" w:type="dxa"/>
                  <w:vAlign w:val="center"/>
                </w:tcPr>
                <w:p w14:paraId="32317813">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固</w:t>
                  </w:r>
                </w:p>
              </w:tc>
              <w:tc>
                <w:tcPr>
                  <w:tcW w:w="507" w:type="dxa"/>
                  <w:vAlign w:val="center"/>
                </w:tcPr>
                <w:p w14:paraId="2ED8405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50" w:type="dxa"/>
                  <w:vAlign w:val="center"/>
                </w:tcPr>
                <w:p w14:paraId="39289EAC">
                  <w:pPr>
                    <w:pStyle w:val="66"/>
                    <w:rPr>
                      <w:color w:val="000000" w:themeColor="text1"/>
                      <w14:textFill>
                        <w14:solidFill>
                          <w14:schemeClr w14:val="tx1"/>
                        </w14:solidFill>
                      </w14:textFill>
                    </w:rPr>
                  </w:pPr>
                  <w:r>
                    <w:rPr>
                      <w:color w:val="000000" w:themeColor="text1"/>
                      <w14:textFill>
                        <w14:solidFill>
                          <w14:schemeClr w14:val="tx1"/>
                        </w14:solidFill>
                      </w14:textFill>
                    </w:rPr>
                    <w:t>1</w:t>
                  </w:r>
                </w:p>
              </w:tc>
              <w:tc>
                <w:tcPr>
                  <w:tcW w:w="493" w:type="dxa"/>
                  <w:vAlign w:val="center"/>
                </w:tcPr>
                <w:p w14:paraId="665C0340">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袋装</w:t>
                  </w:r>
                </w:p>
              </w:tc>
              <w:tc>
                <w:tcPr>
                  <w:tcW w:w="783" w:type="dxa"/>
                  <w:vMerge w:val="restart"/>
                  <w:vAlign w:val="center"/>
                </w:tcPr>
                <w:p w14:paraId="72F59520">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交资源单位回收利用</w:t>
                  </w:r>
                </w:p>
              </w:tc>
              <w:tc>
                <w:tcPr>
                  <w:tcW w:w="632" w:type="dxa"/>
                  <w:vAlign w:val="center"/>
                </w:tcPr>
                <w:p w14:paraId="5266D586">
                  <w:pPr>
                    <w:pStyle w:val="66"/>
                    <w:rPr>
                      <w:color w:val="000000" w:themeColor="text1"/>
                      <w14:textFill>
                        <w14:solidFill>
                          <w14:schemeClr w14:val="tx1"/>
                        </w14:solidFill>
                      </w14:textFill>
                    </w:rPr>
                  </w:pPr>
                  <w:r>
                    <w:rPr>
                      <w:color w:val="000000" w:themeColor="text1"/>
                      <w14:textFill>
                        <w14:solidFill>
                          <w14:schemeClr w14:val="tx1"/>
                        </w14:solidFill>
                      </w14:textFill>
                    </w:rPr>
                    <w:t>1</w:t>
                  </w:r>
                </w:p>
              </w:tc>
              <w:tc>
                <w:tcPr>
                  <w:tcW w:w="538" w:type="dxa"/>
                  <w:vMerge w:val="restart"/>
                  <w:vAlign w:val="center"/>
                </w:tcPr>
                <w:p w14:paraId="4E1A5AE8">
                  <w:pPr>
                    <w:pStyle w:val="66"/>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一般固体废物暂存间暂存</w:t>
                  </w:r>
                </w:p>
              </w:tc>
            </w:tr>
            <w:tr w14:paraId="394D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0" w:type="dxa"/>
                  <w:vAlign w:val="center"/>
                </w:tcPr>
                <w:p w14:paraId="7C3C0CAD">
                  <w:pPr>
                    <w:pStyle w:val="66"/>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3</w:t>
                  </w:r>
                </w:p>
              </w:tc>
              <w:tc>
                <w:tcPr>
                  <w:tcW w:w="678" w:type="dxa"/>
                  <w:vAlign w:val="center"/>
                </w:tcPr>
                <w:p w14:paraId="26BF5005">
                  <w:pPr>
                    <w:pStyle w:val="66"/>
                    <w:rPr>
                      <w:color w:val="000000" w:themeColor="text1"/>
                      <w14:textFill>
                        <w14:solidFill>
                          <w14:schemeClr w14:val="tx1"/>
                        </w14:solidFill>
                      </w14:textFill>
                    </w:rPr>
                  </w:pPr>
                  <w:r>
                    <w:rPr>
                      <w:color w:val="000000" w:themeColor="text1"/>
                      <w14:textFill>
                        <w14:solidFill>
                          <w14:schemeClr w14:val="tx1"/>
                        </w14:solidFill>
                      </w14:textFill>
                    </w:rPr>
                    <w:t>产品生产</w:t>
                  </w:r>
                </w:p>
              </w:tc>
              <w:tc>
                <w:tcPr>
                  <w:tcW w:w="1281" w:type="dxa"/>
                  <w:vAlign w:val="center"/>
                </w:tcPr>
                <w:p w14:paraId="146D9D5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熔炉渣</w:t>
                  </w:r>
                </w:p>
              </w:tc>
              <w:tc>
                <w:tcPr>
                  <w:tcW w:w="355" w:type="dxa"/>
                  <w:vMerge w:val="continue"/>
                  <w:vAlign w:val="center"/>
                </w:tcPr>
                <w:p w14:paraId="4C3AF8EA">
                  <w:pPr>
                    <w:pStyle w:val="66"/>
                    <w:rPr>
                      <w:color w:val="000000" w:themeColor="text1"/>
                      <w:lang w:bidi="en-US"/>
                      <w14:textFill>
                        <w14:solidFill>
                          <w14:schemeClr w14:val="tx1"/>
                        </w14:solidFill>
                      </w14:textFill>
                    </w:rPr>
                  </w:pPr>
                </w:p>
              </w:tc>
              <w:tc>
                <w:tcPr>
                  <w:tcW w:w="666" w:type="dxa"/>
                  <w:vAlign w:val="center"/>
                </w:tcPr>
                <w:p w14:paraId="0D6BF3B7">
                  <w:pPr>
                    <w:pStyle w:val="66"/>
                    <w:rPr>
                      <w:color w:val="000000" w:themeColor="text1"/>
                      <w14:textFill>
                        <w14:solidFill>
                          <w14:schemeClr w14:val="tx1"/>
                        </w14:solidFill>
                      </w14:textFill>
                    </w:rPr>
                  </w:pPr>
                  <w:r>
                    <w:rPr>
                      <w:color w:val="000000" w:themeColor="text1"/>
                      <w14:textFill>
                        <w14:solidFill>
                          <w14:schemeClr w14:val="tx1"/>
                        </w14:solidFill>
                      </w14:textFill>
                    </w:rPr>
                    <w:t>900-099-S59</w:t>
                  </w:r>
                </w:p>
              </w:tc>
              <w:tc>
                <w:tcPr>
                  <w:tcW w:w="600" w:type="dxa"/>
                  <w:vAlign w:val="center"/>
                </w:tcPr>
                <w:p w14:paraId="01716AA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93" w:type="dxa"/>
                  <w:vAlign w:val="center"/>
                </w:tcPr>
                <w:p w14:paraId="77147056">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固</w:t>
                  </w:r>
                </w:p>
              </w:tc>
              <w:tc>
                <w:tcPr>
                  <w:tcW w:w="507" w:type="dxa"/>
                  <w:vAlign w:val="center"/>
                </w:tcPr>
                <w:p w14:paraId="662688E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50" w:type="dxa"/>
                  <w:vAlign w:val="center"/>
                </w:tcPr>
                <w:p w14:paraId="6F5E0BDB">
                  <w:pPr>
                    <w:pStyle w:val="66"/>
                    <w:rPr>
                      <w:color w:val="000000" w:themeColor="text1"/>
                      <w14:textFill>
                        <w14:solidFill>
                          <w14:schemeClr w14:val="tx1"/>
                        </w14:solidFill>
                      </w14:textFill>
                    </w:rPr>
                  </w:pPr>
                  <w:r>
                    <w:rPr>
                      <w:color w:val="000000" w:themeColor="text1"/>
                      <w14:textFill>
                        <w14:solidFill>
                          <w14:schemeClr w14:val="tx1"/>
                        </w14:solidFill>
                      </w14:textFill>
                    </w:rPr>
                    <w:t>3000</w:t>
                  </w:r>
                </w:p>
              </w:tc>
              <w:tc>
                <w:tcPr>
                  <w:tcW w:w="493" w:type="dxa"/>
                  <w:vAlign w:val="center"/>
                </w:tcPr>
                <w:p w14:paraId="05F9D4E3">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袋装</w:t>
                  </w:r>
                </w:p>
              </w:tc>
              <w:tc>
                <w:tcPr>
                  <w:tcW w:w="783" w:type="dxa"/>
                  <w:vMerge w:val="continue"/>
                  <w:vAlign w:val="center"/>
                </w:tcPr>
                <w:p w14:paraId="5C68B38C">
                  <w:pPr>
                    <w:pStyle w:val="66"/>
                    <w:rPr>
                      <w:color w:val="000000" w:themeColor="text1"/>
                      <w:lang w:bidi="en-US"/>
                      <w14:textFill>
                        <w14:solidFill>
                          <w14:schemeClr w14:val="tx1"/>
                        </w14:solidFill>
                      </w14:textFill>
                    </w:rPr>
                  </w:pPr>
                </w:p>
              </w:tc>
              <w:tc>
                <w:tcPr>
                  <w:tcW w:w="632" w:type="dxa"/>
                  <w:vAlign w:val="center"/>
                </w:tcPr>
                <w:p w14:paraId="37BCECB5">
                  <w:pPr>
                    <w:pStyle w:val="66"/>
                    <w:rPr>
                      <w:color w:val="000000" w:themeColor="text1"/>
                      <w14:textFill>
                        <w14:solidFill>
                          <w14:schemeClr w14:val="tx1"/>
                        </w14:solidFill>
                      </w14:textFill>
                    </w:rPr>
                  </w:pPr>
                  <w:r>
                    <w:rPr>
                      <w:color w:val="000000" w:themeColor="text1"/>
                      <w14:textFill>
                        <w14:solidFill>
                          <w14:schemeClr w14:val="tx1"/>
                        </w14:solidFill>
                      </w14:textFill>
                    </w:rPr>
                    <w:t>3000</w:t>
                  </w:r>
                </w:p>
              </w:tc>
              <w:tc>
                <w:tcPr>
                  <w:tcW w:w="538" w:type="dxa"/>
                  <w:vMerge w:val="continue"/>
                  <w:vAlign w:val="center"/>
                </w:tcPr>
                <w:p w14:paraId="65D1B657">
                  <w:pPr>
                    <w:pStyle w:val="66"/>
                    <w:rPr>
                      <w:color w:val="000000" w:themeColor="text1"/>
                      <w:lang w:bidi="en-US"/>
                      <w14:textFill>
                        <w14:solidFill>
                          <w14:schemeClr w14:val="tx1"/>
                        </w14:solidFill>
                      </w14:textFill>
                    </w:rPr>
                  </w:pPr>
                </w:p>
              </w:tc>
            </w:tr>
            <w:tr w14:paraId="0EF2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0" w:type="dxa"/>
                  <w:vAlign w:val="center"/>
                </w:tcPr>
                <w:p w14:paraId="5DB57C1F">
                  <w:pPr>
                    <w:pStyle w:val="66"/>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4</w:t>
                  </w:r>
                </w:p>
              </w:tc>
              <w:tc>
                <w:tcPr>
                  <w:tcW w:w="678" w:type="dxa"/>
                  <w:vAlign w:val="center"/>
                </w:tcPr>
                <w:p w14:paraId="1667A999">
                  <w:pPr>
                    <w:pStyle w:val="66"/>
                    <w:rPr>
                      <w:color w:val="000000" w:themeColor="text1"/>
                      <w14:textFill>
                        <w14:solidFill>
                          <w14:schemeClr w14:val="tx1"/>
                        </w14:solidFill>
                      </w14:textFill>
                    </w:rPr>
                  </w:pPr>
                  <w:r>
                    <w:rPr>
                      <w:color w:val="000000" w:themeColor="text1"/>
                      <w14:textFill>
                        <w14:solidFill>
                          <w14:schemeClr w14:val="tx1"/>
                        </w14:solidFill>
                      </w14:textFill>
                    </w:rPr>
                    <w:t>产品生产</w:t>
                  </w:r>
                </w:p>
              </w:tc>
              <w:tc>
                <w:tcPr>
                  <w:tcW w:w="1281" w:type="dxa"/>
                  <w:vAlign w:val="center"/>
                </w:tcPr>
                <w:p w14:paraId="21E2217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废砂轮</w:t>
                  </w:r>
                </w:p>
              </w:tc>
              <w:tc>
                <w:tcPr>
                  <w:tcW w:w="355" w:type="dxa"/>
                  <w:vMerge w:val="continue"/>
                  <w:vAlign w:val="center"/>
                </w:tcPr>
                <w:p w14:paraId="7B2B4FC9">
                  <w:pPr>
                    <w:pStyle w:val="66"/>
                    <w:rPr>
                      <w:color w:val="000000" w:themeColor="text1"/>
                      <w:lang w:bidi="en-US"/>
                      <w14:textFill>
                        <w14:solidFill>
                          <w14:schemeClr w14:val="tx1"/>
                        </w14:solidFill>
                      </w14:textFill>
                    </w:rPr>
                  </w:pPr>
                </w:p>
              </w:tc>
              <w:tc>
                <w:tcPr>
                  <w:tcW w:w="666" w:type="dxa"/>
                  <w:vAlign w:val="center"/>
                </w:tcPr>
                <w:p w14:paraId="47A0C5A2">
                  <w:pPr>
                    <w:pStyle w:val="66"/>
                    <w:rPr>
                      <w:color w:val="000000" w:themeColor="text1"/>
                      <w14:textFill>
                        <w14:solidFill>
                          <w14:schemeClr w14:val="tx1"/>
                        </w14:solidFill>
                      </w14:textFill>
                    </w:rPr>
                  </w:pPr>
                  <w:r>
                    <w:rPr>
                      <w:color w:val="000000" w:themeColor="text1"/>
                      <w14:textFill>
                        <w14:solidFill>
                          <w14:schemeClr w14:val="tx1"/>
                        </w14:solidFill>
                      </w14:textFill>
                    </w:rPr>
                    <w:t>900-099-S59</w:t>
                  </w:r>
                </w:p>
              </w:tc>
              <w:tc>
                <w:tcPr>
                  <w:tcW w:w="600" w:type="dxa"/>
                  <w:vAlign w:val="center"/>
                </w:tcPr>
                <w:p w14:paraId="7DCABC2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93" w:type="dxa"/>
                  <w:vAlign w:val="center"/>
                </w:tcPr>
                <w:p w14:paraId="65A212DD">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固</w:t>
                  </w:r>
                </w:p>
              </w:tc>
              <w:tc>
                <w:tcPr>
                  <w:tcW w:w="507" w:type="dxa"/>
                  <w:vAlign w:val="center"/>
                </w:tcPr>
                <w:p w14:paraId="15BAA6B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50" w:type="dxa"/>
                  <w:vAlign w:val="center"/>
                </w:tcPr>
                <w:p w14:paraId="34999830">
                  <w:pPr>
                    <w:pStyle w:val="66"/>
                    <w:rPr>
                      <w:color w:val="000000" w:themeColor="text1"/>
                      <w14:textFill>
                        <w14:solidFill>
                          <w14:schemeClr w14:val="tx1"/>
                        </w14:solidFill>
                      </w14:textFill>
                    </w:rPr>
                  </w:pPr>
                  <w:r>
                    <w:rPr>
                      <w:color w:val="000000" w:themeColor="text1"/>
                      <w14:textFill>
                        <w14:solidFill>
                          <w14:schemeClr w14:val="tx1"/>
                        </w14:solidFill>
                      </w14:textFill>
                    </w:rPr>
                    <w:t>1.5</w:t>
                  </w:r>
                </w:p>
              </w:tc>
              <w:tc>
                <w:tcPr>
                  <w:tcW w:w="493" w:type="dxa"/>
                  <w:vAlign w:val="center"/>
                </w:tcPr>
                <w:p w14:paraId="037032A5">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袋装</w:t>
                  </w:r>
                </w:p>
              </w:tc>
              <w:tc>
                <w:tcPr>
                  <w:tcW w:w="783" w:type="dxa"/>
                  <w:vMerge w:val="continue"/>
                  <w:vAlign w:val="center"/>
                </w:tcPr>
                <w:p w14:paraId="0253A92E">
                  <w:pPr>
                    <w:pStyle w:val="66"/>
                    <w:rPr>
                      <w:color w:val="000000" w:themeColor="text1"/>
                      <w:lang w:bidi="en-US"/>
                      <w14:textFill>
                        <w14:solidFill>
                          <w14:schemeClr w14:val="tx1"/>
                        </w14:solidFill>
                      </w14:textFill>
                    </w:rPr>
                  </w:pPr>
                </w:p>
              </w:tc>
              <w:tc>
                <w:tcPr>
                  <w:tcW w:w="632" w:type="dxa"/>
                  <w:vAlign w:val="center"/>
                </w:tcPr>
                <w:p w14:paraId="5E8DF6E4">
                  <w:pPr>
                    <w:pStyle w:val="66"/>
                    <w:rPr>
                      <w:color w:val="000000" w:themeColor="text1"/>
                      <w14:textFill>
                        <w14:solidFill>
                          <w14:schemeClr w14:val="tx1"/>
                        </w14:solidFill>
                      </w14:textFill>
                    </w:rPr>
                  </w:pPr>
                  <w:r>
                    <w:rPr>
                      <w:color w:val="000000" w:themeColor="text1"/>
                      <w14:textFill>
                        <w14:solidFill>
                          <w14:schemeClr w14:val="tx1"/>
                        </w14:solidFill>
                      </w14:textFill>
                    </w:rPr>
                    <w:t>1.5</w:t>
                  </w:r>
                </w:p>
              </w:tc>
              <w:tc>
                <w:tcPr>
                  <w:tcW w:w="538" w:type="dxa"/>
                  <w:vMerge w:val="continue"/>
                  <w:vAlign w:val="center"/>
                </w:tcPr>
                <w:p w14:paraId="074576FB">
                  <w:pPr>
                    <w:pStyle w:val="66"/>
                    <w:rPr>
                      <w:color w:val="000000" w:themeColor="text1"/>
                      <w:lang w:bidi="en-US"/>
                      <w14:textFill>
                        <w14:solidFill>
                          <w14:schemeClr w14:val="tx1"/>
                        </w14:solidFill>
                      </w14:textFill>
                    </w:rPr>
                  </w:pPr>
                </w:p>
              </w:tc>
            </w:tr>
            <w:tr w14:paraId="2747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0" w:type="dxa"/>
                  <w:vAlign w:val="center"/>
                </w:tcPr>
                <w:p w14:paraId="79B8D4CD">
                  <w:pPr>
                    <w:pStyle w:val="66"/>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5</w:t>
                  </w:r>
                </w:p>
              </w:tc>
              <w:tc>
                <w:tcPr>
                  <w:tcW w:w="678" w:type="dxa"/>
                  <w:vAlign w:val="center"/>
                </w:tcPr>
                <w:p w14:paraId="42C8A453">
                  <w:pPr>
                    <w:pStyle w:val="66"/>
                    <w:rPr>
                      <w:color w:val="000000" w:themeColor="text1"/>
                      <w14:textFill>
                        <w14:solidFill>
                          <w14:schemeClr w14:val="tx1"/>
                        </w14:solidFill>
                      </w14:textFill>
                    </w:rPr>
                  </w:pPr>
                  <w:r>
                    <w:rPr>
                      <w:color w:val="000000" w:themeColor="text1"/>
                      <w14:textFill>
                        <w14:solidFill>
                          <w14:schemeClr w14:val="tx1"/>
                        </w14:solidFill>
                      </w14:textFill>
                    </w:rPr>
                    <w:t>产品生产</w:t>
                  </w:r>
                </w:p>
              </w:tc>
              <w:tc>
                <w:tcPr>
                  <w:tcW w:w="1281" w:type="dxa"/>
                  <w:vAlign w:val="center"/>
                </w:tcPr>
                <w:p w14:paraId="2654D4B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废钢丸</w:t>
                  </w:r>
                </w:p>
              </w:tc>
              <w:tc>
                <w:tcPr>
                  <w:tcW w:w="355" w:type="dxa"/>
                  <w:vMerge w:val="continue"/>
                  <w:vAlign w:val="center"/>
                </w:tcPr>
                <w:p w14:paraId="1F70BAFC">
                  <w:pPr>
                    <w:pStyle w:val="66"/>
                    <w:rPr>
                      <w:color w:val="000000" w:themeColor="text1"/>
                      <w:lang w:bidi="en-US"/>
                      <w14:textFill>
                        <w14:solidFill>
                          <w14:schemeClr w14:val="tx1"/>
                        </w14:solidFill>
                      </w14:textFill>
                    </w:rPr>
                  </w:pPr>
                </w:p>
              </w:tc>
              <w:tc>
                <w:tcPr>
                  <w:tcW w:w="666" w:type="dxa"/>
                  <w:vAlign w:val="center"/>
                </w:tcPr>
                <w:p w14:paraId="42C214DD">
                  <w:pPr>
                    <w:pStyle w:val="66"/>
                    <w:rPr>
                      <w:color w:val="000000" w:themeColor="text1"/>
                      <w14:textFill>
                        <w14:solidFill>
                          <w14:schemeClr w14:val="tx1"/>
                        </w14:solidFill>
                      </w14:textFill>
                    </w:rPr>
                  </w:pPr>
                  <w:r>
                    <w:rPr>
                      <w:color w:val="000000" w:themeColor="text1"/>
                      <w14:textFill>
                        <w14:solidFill>
                          <w14:schemeClr w14:val="tx1"/>
                        </w14:solidFill>
                      </w14:textFill>
                    </w:rPr>
                    <w:t>900-099-S17</w:t>
                  </w:r>
                </w:p>
              </w:tc>
              <w:tc>
                <w:tcPr>
                  <w:tcW w:w="600" w:type="dxa"/>
                  <w:vAlign w:val="center"/>
                </w:tcPr>
                <w:p w14:paraId="2AA7286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93" w:type="dxa"/>
                  <w:vAlign w:val="center"/>
                </w:tcPr>
                <w:p w14:paraId="69C66B4F">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固</w:t>
                  </w:r>
                </w:p>
              </w:tc>
              <w:tc>
                <w:tcPr>
                  <w:tcW w:w="507" w:type="dxa"/>
                  <w:vAlign w:val="center"/>
                </w:tcPr>
                <w:p w14:paraId="7C0F98C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50" w:type="dxa"/>
                  <w:vAlign w:val="center"/>
                </w:tcPr>
                <w:p w14:paraId="7D6402E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493" w:type="dxa"/>
                  <w:vAlign w:val="center"/>
                </w:tcPr>
                <w:p w14:paraId="00D002DB">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袋装</w:t>
                  </w:r>
                </w:p>
              </w:tc>
              <w:tc>
                <w:tcPr>
                  <w:tcW w:w="783" w:type="dxa"/>
                  <w:vMerge w:val="continue"/>
                  <w:vAlign w:val="center"/>
                </w:tcPr>
                <w:p w14:paraId="470A422E">
                  <w:pPr>
                    <w:pStyle w:val="66"/>
                    <w:rPr>
                      <w:color w:val="000000" w:themeColor="text1"/>
                      <w:lang w:bidi="en-US"/>
                      <w14:textFill>
                        <w14:solidFill>
                          <w14:schemeClr w14:val="tx1"/>
                        </w14:solidFill>
                      </w14:textFill>
                    </w:rPr>
                  </w:pPr>
                </w:p>
              </w:tc>
              <w:tc>
                <w:tcPr>
                  <w:tcW w:w="632" w:type="dxa"/>
                  <w:vAlign w:val="center"/>
                </w:tcPr>
                <w:p w14:paraId="6F99C88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538" w:type="dxa"/>
                  <w:vMerge w:val="continue"/>
                  <w:vAlign w:val="center"/>
                </w:tcPr>
                <w:p w14:paraId="79AE1ACF">
                  <w:pPr>
                    <w:pStyle w:val="66"/>
                    <w:rPr>
                      <w:color w:val="000000" w:themeColor="text1"/>
                      <w:lang w:bidi="en-US"/>
                      <w14:textFill>
                        <w14:solidFill>
                          <w14:schemeClr w14:val="tx1"/>
                        </w14:solidFill>
                      </w14:textFill>
                    </w:rPr>
                  </w:pPr>
                </w:p>
              </w:tc>
            </w:tr>
            <w:tr w14:paraId="4F39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0" w:type="dxa"/>
                  <w:vAlign w:val="center"/>
                </w:tcPr>
                <w:p w14:paraId="7B2702E3">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6</w:t>
                  </w:r>
                </w:p>
              </w:tc>
              <w:tc>
                <w:tcPr>
                  <w:tcW w:w="678" w:type="dxa"/>
                  <w:vAlign w:val="center"/>
                </w:tcPr>
                <w:p w14:paraId="22A6B54E">
                  <w:pPr>
                    <w:pStyle w:val="66"/>
                    <w:rPr>
                      <w:color w:val="000000" w:themeColor="text1"/>
                      <w14:textFill>
                        <w14:solidFill>
                          <w14:schemeClr w14:val="tx1"/>
                        </w14:solidFill>
                      </w14:textFill>
                    </w:rPr>
                  </w:pPr>
                  <w:r>
                    <w:rPr>
                      <w:color w:val="000000" w:themeColor="text1"/>
                      <w14:textFill>
                        <w14:solidFill>
                          <w14:schemeClr w14:val="tx1"/>
                        </w14:solidFill>
                      </w14:textFill>
                    </w:rPr>
                    <w:t>产品生产</w:t>
                  </w:r>
                </w:p>
              </w:tc>
              <w:tc>
                <w:tcPr>
                  <w:tcW w:w="1281" w:type="dxa"/>
                  <w:vAlign w:val="center"/>
                </w:tcPr>
                <w:p w14:paraId="7086281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废砂</w:t>
                  </w:r>
                </w:p>
              </w:tc>
              <w:tc>
                <w:tcPr>
                  <w:tcW w:w="355" w:type="dxa"/>
                  <w:vMerge w:val="continue"/>
                  <w:vAlign w:val="center"/>
                </w:tcPr>
                <w:p w14:paraId="65BD8B8B">
                  <w:pPr>
                    <w:pStyle w:val="66"/>
                    <w:rPr>
                      <w:color w:val="000000" w:themeColor="text1"/>
                      <w:lang w:bidi="en-US"/>
                      <w14:textFill>
                        <w14:solidFill>
                          <w14:schemeClr w14:val="tx1"/>
                        </w14:solidFill>
                      </w14:textFill>
                    </w:rPr>
                  </w:pPr>
                </w:p>
              </w:tc>
              <w:tc>
                <w:tcPr>
                  <w:tcW w:w="666" w:type="dxa"/>
                  <w:vAlign w:val="center"/>
                </w:tcPr>
                <w:p w14:paraId="339F3787">
                  <w:pPr>
                    <w:pStyle w:val="66"/>
                    <w:rPr>
                      <w:color w:val="000000" w:themeColor="text1"/>
                      <w14:textFill>
                        <w14:solidFill>
                          <w14:schemeClr w14:val="tx1"/>
                        </w14:solidFill>
                      </w14:textFill>
                    </w:rPr>
                  </w:pPr>
                  <w:r>
                    <w:rPr>
                      <w:color w:val="000000" w:themeColor="text1"/>
                      <w14:textFill>
                        <w14:solidFill>
                          <w14:schemeClr w14:val="tx1"/>
                        </w14:solidFill>
                      </w14:textFill>
                    </w:rPr>
                    <w:t>900-001-S59</w:t>
                  </w:r>
                </w:p>
              </w:tc>
              <w:tc>
                <w:tcPr>
                  <w:tcW w:w="600" w:type="dxa"/>
                  <w:vAlign w:val="center"/>
                </w:tcPr>
                <w:p w14:paraId="7E21FC5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93" w:type="dxa"/>
                  <w:vAlign w:val="center"/>
                </w:tcPr>
                <w:p w14:paraId="78D9E486">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固</w:t>
                  </w:r>
                </w:p>
              </w:tc>
              <w:tc>
                <w:tcPr>
                  <w:tcW w:w="507" w:type="dxa"/>
                  <w:vAlign w:val="center"/>
                </w:tcPr>
                <w:p w14:paraId="5A20E9E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50" w:type="dxa"/>
                  <w:vAlign w:val="center"/>
                </w:tcPr>
                <w:p w14:paraId="3BBB360A">
                  <w:pPr>
                    <w:pStyle w:val="66"/>
                    <w:rPr>
                      <w:color w:val="000000" w:themeColor="text1"/>
                      <w14:textFill>
                        <w14:solidFill>
                          <w14:schemeClr w14:val="tx1"/>
                        </w14:solidFill>
                      </w14:textFill>
                    </w:rPr>
                  </w:pPr>
                  <w:r>
                    <w:rPr>
                      <w:color w:val="000000" w:themeColor="text1"/>
                      <w14:textFill>
                        <w14:solidFill>
                          <w14:schemeClr w14:val="tx1"/>
                        </w14:solidFill>
                      </w14:textFill>
                    </w:rPr>
                    <w:t>20</w:t>
                  </w:r>
                </w:p>
              </w:tc>
              <w:tc>
                <w:tcPr>
                  <w:tcW w:w="493" w:type="dxa"/>
                  <w:vAlign w:val="center"/>
                </w:tcPr>
                <w:p w14:paraId="1814EAA9">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袋装</w:t>
                  </w:r>
                </w:p>
              </w:tc>
              <w:tc>
                <w:tcPr>
                  <w:tcW w:w="783" w:type="dxa"/>
                  <w:vMerge w:val="continue"/>
                  <w:vAlign w:val="center"/>
                </w:tcPr>
                <w:p w14:paraId="757B24BE">
                  <w:pPr>
                    <w:pStyle w:val="66"/>
                    <w:rPr>
                      <w:color w:val="000000" w:themeColor="text1"/>
                      <w:lang w:bidi="en-US"/>
                      <w14:textFill>
                        <w14:solidFill>
                          <w14:schemeClr w14:val="tx1"/>
                        </w14:solidFill>
                      </w14:textFill>
                    </w:rPr>
                  </w:pPr>
                </w:p>
              </w:tc>
              <w:tc>
                <w:tcPr>
                  <w:tcW w:w="632" w:type="dxa"/>
                  <w:vAlign w:val="center"/>
                </w:tcPr>
                <w:p w14:paraId="103D7494">
                  <w:pPr>
                    <w:pStyle w:val="66"/>
                    <w:rPr>
                      <w:color w:val="000000" w:themeColor="text1"/>
                      <w14:textFill>
                        <w14:solidFill>
                          <w14:schemeClr w14:val="tx1"/>
                        </w14:solidFill>
                      </w14:textFill>
                    </w:rPr>
                  </w:pPr>
                  <w:r>
                    <w:rPr>
                      <w:color w:val="000000" w:themeColor="text1"/>
                      <w14:textFill>
                        <w14:solidFill>
                          <w14:schemeClr w14:val="tx1"/>
                        </w14:solidFill>
                      </w14:textFill>
                    </w:rPr>
                    <w:t>20</w:t>
                  </w:r>
                </w:p>
              </w:tc>
              <w:tc>
                <w:tcPr>
                  <w:tcW w:w="538" w:type="dxa"/>
                  <w:vMerge w:val="continue"/>
                  <w:vAlign w:val="center"/>
                </w:tcPr>
                <w:p w14:paraId="20AE0671">
                  <w:pPr>
                    <w:pStyle w:val="66"/>
                    <w:rPr>
                      <w:color w:val="000000" w:themeColor="text1"/>
                      <w:lang w:bidi="en-US"/>
                      <w14:textFill>
                        <w14:solidFill>
                          <w14:schemeClr w14:val="tx1"/>
                        </w14:solidFill>
                      </w14:textFill>
                    </w:rPr>
                  </w:pPr>
                </w:p>
              </w:tc>
            </w:tr>
            <w:tr w14:paraId="3E83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0" w:type="dxa"/>
                  <w:vAlign w:val="center"/>
                </w:tcPr>
                <w:p w14:paraId="7BFE0ECD">
                  <w:pPr>
                    <w:pStyle w:val="66"/>
                    <w:rPr>
                      <w:color w:val="000000" w:themeColor="text1"/>
                      <w14:textFill>
                        <w14:solidFill>
                          <w14:schemeClr w14:val="tx1"/>
                        </w14:solidFill>
                      </w14:textFill>
                    </w:rPr>
                  </w:pPr>
                  <w:r>
                    <w:rPr>
                      <w:color w:val="000000" w:themeColor="text1"/>
                      <w14:textFill>
                        <w14:solidFill>
                          <w14:schemeClr w14:val="tx1"/>
                        </w14:solidFill>
                      </w14:textFill>
                    </w:rPr>
                    <w:t>7</w:t>
                  </w:r>
                </w:p>
              </w:tc>
              <w:tc>
                <w:tcPr>
                  <w:tcW w:w="678" w:type="dxa"/>
                  <w:vAlign w:val="center"/>
                </w:tcPr>
                <w:p w14:paraId="5C8AC90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设备维护保养</w:t>
                  </w:r>
                </w:p>
              </w:tc>
              <w:tc>
                <w:tcPr>
                  <w:tcW w:w="1281" w:type="dxa"/>
                  <w:vAlign w:val="center"/>
                </w:tcPr>
                <w:p w14:paraId="534FFE3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废机油</w:t>
                  </w:r>
                </w:p>
              </w:tc>
              <w:tc>
                <w:tcPr>
                  <w:tcW w:w="355" w:type="dxa"/>
                  <w:vMerge w:val="restart"/>
                  <w:vAlign w:val="center"/>
                </w:tcPr>
                <w:p w14:paraId="3ED885E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w:t>
                  </w:r>
                </w:p>
              </w:tc>
              <w:tc>
                <w:tcPr>
                  <w:tcW w:w="666" w:type="dxa"/>
                  <w:vAlign w:val="center"/>
                </w:tcPr>
                <w:p w14:paraId="1395EDC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900-2</w:t>
                  </w:r>
                  <w:r>
                    <w:rPr>
                      <w:color w:val="000000" w:themeColor="text1"/>
                      <w14:textFill>
                        <w14:solidFill>
                          <w14:schemeClr w14:val="tx1"/>
                        </w14:solidFill>
                      </w14:textFill>
                    </w:rPr>
                    <w:t>49</w:t>
                  </w:r>
                  <w:r>
                    <w:rPr>
                      <w:rFonts w:hint="eastAsia"/>
                      <w:color w:val="000000" w:themeColor="text1"/>
                      <w14:textFill>
                        <w14:solidFill>
                          <w14:schemeClr w14:val="tx1"/>
                        </w14:solidFill>
                      </w14:textFill>
                    </w:rPr>
                    <w:t>-08</w:t>
                  </w:r>
                </w:p>
              </w:tc>
              <w:tc>
                <w:tcPr>
                  <w:tcW w:w="600" w:type="dxa"/>
                  <w:vAlign w:val="center"/>
                </w:tcPr>
                <w:p w14:paraId="79CF8C4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废矿物油</w:t>
                  </w:r>
                </w:p>
              </w:tc>
              <w:tc>
                <w:tcPr>
                  <w:tcW w:w="493" w:type="dxa"/>
                  <w:vAlign w:val="center"/>
                </w:tcPr>
                <w:p w14:paraId="2A44BD2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液</w:t>
                  </w:r>
                </w:p>
              </w:tc>
              <w:tc>
                <w:tcPr>
                  <w:tcW w:w="507" w:type="dxa"/>
                  <w:vAlign w:val="center"/>
                </w:tcPr>
                <w:p w14:paraId="2A1A7BA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T,I</w:t>
                  </w:r>
                </w:p>
              </w:tc>
              <w:tc>
                <w:tcPr>
                  <w:tcW w:w="650" w:type="dxa"/>
                  <w:vAlign w:val="center"/>
                </w:tcPr>
                <w:p w14:paraId="5505BB3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0.02</w:t>
                  </w:r>
                </w:p>
              </w:tc>
              <w:tc>
                <w:tcPr>
                  <w:tcW w:w="493" w:type="dxa"/>
                  <w:vAlign w:val="center"/>
                </w:tcPr>
                <w:p w14:paraId="57ECCE47">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桶装</w:t>
                  </w:r>
                </w:p>
              </w:tc>
              <w:tc>
                <w:tcPr>
                  <w:tcW w:w="783" w:type="dxa"/>
                  <w:vMerge w:val="restart"/>
                  <w:vAlign w:val="center"/>
                </w:tcPr>
                <w:p w14:paraId="32B25FB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交由具有相应危险废物经营许可证的单位处置</w:t>
                  </w:r>
                </w:p>
              </w:tc>
              <w:tc>
                <w:tcPr>
                  <w:tcW w:w="632" w:type="dxa"/>
                  <w:vAlign w:val="center"/>
                </w:tcPr>
                <w:p w14:paraId="000E0AB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0.02</w:t>
                  </w:r>
                </w:p>
              </w:tc>
              <w:tc>
                <w:tcPr>
                  <w:tcW w:w="538" w:type="dxa"/>
                  <w:vMerge w:val="restart"/>
                  <w:vAlign w:val="center"/>
                </w:tcPr>
                <w:p w14:paraId="35BD697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危险废物暂存间暂存</w:t>
                  </w:r>
                </w:p>
              </w:tc>
            </w:tr>
            <w:tr w14:paraId="7DDA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0" w:type="dxa"/>
                  <w:vAlign w:val="center"/>
                </w:tcPr>
                <w:p w14:paraId="63F84400">
                  <w:pPr>
                    <w:pStyle w:val="66"/>
                    <w:rPr>
                      <w:color w:val="000000" w:themeColor="text1"/>
                      <w14:textFill>
                        <w14:solidFill>
                          <w14:schemeClr w14:val="tx1"/>
                        </w14:solidFill>
                      </w14:textFill>
                    </w:rPr>
                  </w:pPr>
                  <w:r>
                    <w:rPr>
                      <w:color w:val="000000" w:themeColor="text1"/>
                      <w14:textFill>
                        <w14:solidFill>
                          <w14:schemeClr w14:val="tx1"/>
                        </w14:solidFill>
                      </w14:textFill>
                    </w:rPr>
                    <w:t>8</w:t>
                  </w:r>
                </w:p>
              </w:tc>
              <w:tc>
                <w:tcPr>
                  <w:tcW w:w="678" w:type="dxa"/>
                  <w:vAlign w:val="center"/>
                </w:tcPr>
                <w:p w14:paraId="4655966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设备</w:t>
                  </w:r>
                  <w:r>
                    <w:rPr>
                      <w:color w:val="000000" w:themeColor="text1"/>
                      <w14:textFill>
                        <w14:solidFill>
                          <w14:schemeClr w14:val="tx1"/>
                        </w14:solidFill>
                      </w14:textFill>
                    </w:rPr>
                    <w:t>维修保养</w:t>
                  </w:r>
                </w:p>
              </w:tc>
              <w:tc>
                <w:tcPr>
                  <w:tcW w:w="1281" w:type="dxa"/>
                  <w:vAlign w:val="center"/>
                </w:tcPr>
                <w:p w14:paraId="5C76F408">
                  <w:pPr>
                    <w:pStyle w:val="66"/>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废机油桶</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危险废包装材料）</w:t>
                  </w:r>
                </w:p>
              </w:tc>
              <w:tc>
                <w:tcPr>
                  <w:tcW w:w="355" w:type="dxa"/>
                  <w:vMerge w:val="continue"/>
                  <w:vAlign w:val="center"/>
                </w:tcPr>
                <w:p w14:paraId="5A7CCD37">
                  <w:pPr>
                    <w:pStyle w:val="66"/>
                    <w:rPr>
                      <w:color w:val="000000" w:themeColor="text1"/>
                      <w14:textFill>
                        <w14:solidFill>
                          <w14:schemeClr w14:val="tx1"/>
                        </w14:solidFill>
                      </w14:textFill>
                    </w:rPr>
                  </w:pPr>
                </w:p>
              </w:tc>
              <w:tc>
                <w:tcPr>
                  <w:tcW w:w="666" w:type="dxa"/>
                  <w:vAlign w:val="center"/>
                </w:tcPr>
                <w:p w14:paraId="00D9AFEB">
                  <w:pPr>
                    <w:pStyle w:val="66"/>
                    <w:rPr>
                      <w:color w:val="000000" w:themeColor="text1"/>
                      <w14:textFill>
                        <w14:solidFill>
                          <w14:schemeClr w14:val="tx1"/>
                        </w14:solidFill>
                      </w14:textFill>
                    </w:rPr>
                  </w:pPr>
                  <w:r>
                    <w:rPr>
                      <w:color w:val="000000" w:themeColor="text1"/>
                      <w14:textFill>
                        <w14:solidFill>
                          <w14:schemeClr w14:val="tx1"/>
                        </w14:solidFill>
                      </w14:textFill>
                    </w:rPr>
                    <w:t>900-249-08</w:t>
                  </w:r>
                </w:p>
              </w:tc>
              <w:tc>
                <w:tcPr>
                  <w:tcW w:w="600" w:type="dxa"/>
                  <w:vAlign w:val="center"/>
                </w:tcPr>
                <w:p w14:paraId="3A3E844B">
                  <w:pPr>
                    <w:pStyle w:val="66"/>
                    <w:rPr>
                      <w:color w:val="000000" w:themeColor="text1"/>
                      <w14:textFill>
                        <w14:solidFill>
                          <w14:schemeClr w14:val="tx1"/>
                        </w14:solidFill>
                      </w14:textFill>
                    </w:rPr>
                  </w:pPr>
                  <w:r>
                    <w:rPr>
                      <w:color w:val="000000" w:themeColor="text1"/>
                      <w14:textFill>
                        <w14:solidFill>
                          <w14:schemeClr w14:val="tx1"/>
                        </w14:solidFill>
                      </w14:textFill>
                    </w:rPr>
                    <w:t>废矿物油</w:t>
                  </w:r>
                </w:p>
              </w:tc>
              <w:tc>
                <w:tcPr>
                  <w:tcW w:w="493" w:type="dxa"/>
                  <w:vAlign w:val="center"/>
                </w:tcPr>
                <w:p w14:paraId="0B65F463">
                  <w:pPr>
                    <w:pStyle w:val="66"/>
                    <w:rPr>
                      <w:color w:val="000000" w:themeColor="text1"/>
                      <w14:textFill>
                        <w14:solidFill>
                          <w14:schemeClr w14:val="tx1"/>
                        </w14:solidFill>
                      </w14:textFill>
                    </w:rPr>
                  </w:pPr>
                  <w:r>
                    <w:rPr>
                      <w:color w:val="000000" w:themeColor="text1"/>
                      <w14:textFill>
                        <w14:solidFill>
                          <w14:schemeClr w14:val="tx1"/>
                        </w14:solidFill>
                      </w14:textFill>
                    </w:rPr>
                    <w:t>固</w:t>
                  </w:r>
                </w:p>
              </w:tc>
              <w:tc>
                <w:tcPr>
                  <w:tcW w:w="507" w:type="dxa"/>
                  <w:vAlign w:val="center"/>
                </w:tcPr>
                <w:p w14:paraId="615D2F5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T</w:t>
                  </w:r>
                  <w:r>
                    <w:rPr>
                      <w:color w:val="000000" w:themeColor="text1"/>
                      <w14:textFill>
                        <w14:solidFill>
                          <w14:schemeClr w14:val="tx1"/>
                        </w14:solidFill>
                      </w14:textFill>
                    </w:rPr>
                    <w:t>,I</w:t>
                  </w:r>
                </w:p>
              </w:tc>
              <w:tc>
                <w:tcPr>
                  <w:tcW w:w="650" w:type="dxa"/>
                  <w:vAlign w:val="center"/>
                </w:tcPr>
                <w:p w14:paraId="4EECF67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.01</w:t>
                  </w:r>
                </w:p>
              </w:tc>
              <w:tc>
                <w:tcPr>
                  <w:tcW w:w="493" w:type="dxa"/>
                  <w:vAlign w:val="center"/>
                </w:tcPr>
                <w:p w14:paraId="73B8FEDC">
                  <w:pPr>
                    <w:pStyle w:val="66"/>
                    <w:rPr>
                      <w:color w:val="000000" w:themeColor="text1"/>
                      <w14:textFill>
                        <w14:solidFill>
                          <w14:schemeClr w14:val="tx1"/>
                        </w14:solidFill>
                      </w14:textFill>
                    </w:rPr>
                  </w:pPr>
                  <w:r>
                    <w:rPr>
                      <w:color w:val="000000" w:themeColor="text1"/>
                      <w14:textFill>
                        <w14:solidFill>
                          <w14:schemeClr w14:val="tx1"/>
                        </w14:solidFill>
                      </w14:textFill>
                    </w:rPr>
                    <w:t>袋装</w:t>
                  </w:r>
                </w:p>
              </w:tc>
              <w:tc>
                <w:tcPr>
                  <w:tcW w:w="783" w:type="dxa"/>
                  <w:vMerge w:val="continue"/>
                  <w:vAlign w:val="center"/>
                </w:tcPr>
                <w:p w14:paraId="1B163BE1">
                  <w:pPr>
                    <w:pStyle w:val="66"/>
                    <w:rPr>
                      <w:color w:val="000000" w:themeColor="text1"/>
                      <w14:textFill>
                        <w14:solidFill>
                          <w14:schemeClr w14:val="tx1"/>
                        </w14:solidFill>
                      </w14:textFill>
                    </w:rPr>
                  </w:pPr>
                </w:p>
              </w:tc>
              <w:tc>
                <w:tcPr>
                  <w:tcW w:w="632" w:type="dxa"/>
                  <w:vAlign w:val="center"/>
                </w:tcPr>
                <w:p w14:paraId="3F03E74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.01</w:t>
                  </w:r>
                </w:p>
              </w:tc>
              <w:tc>
                <w:tcPr>
                  <w:tcW w:w="538" w:type="dxa"/>
                  <w:vMerge w:val="continue"/>
                  <w:vAlign w:val="center"/>
                </w:tcPr>
                <w:p w14:paraId="13CB6B27">
                  <w:pPr>
                    <w:pStyle w:val="66"/>
                    <w:rPr>
                      <w:color w:val="000000" w:themeColor="text1"/>
                      <w14:textFill>
                        <w14:solidFill>
                          <w14:schemeClr w14:val="tx1"/>
                        </w14:solidFill>
                      </w14:textFill>
                    </w:rPr>
                  </w:pPr>
                </w:p>
              </w:tc>
            </w:tr>
            <w:tr w14:paraId="5A6A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0" w:type="dxa"/>
                  <w:vAlign w:val="center"/>
                </w:tcPr>
                <w:p w14:paraId="40EEF9F5">
                  <w:pPr>
                    <w:pStyle w:val="66"/>
                    <w:rPr>
                      <w:color w:val="000000" w:themeColor="text1"/>
                      <w14:textFill>
                        <w14:solidFill>
                          <w14:schemeClr w14:val="tx1"/>
                        </w14:solidFill>
                      </w14:textFill>
                    </w:rPr>
                  </w:pPr>
                  <w:r>
                    <w:rPr>
                      <w:color w:val="000000" w:themeColor="text1"/>
                      <w14:textFill>
                        <w14:solidFill>
                          <w14:schemeClr w14:val="tx1"/>
                        </w14:solidFill>
                      </w14:textFill>
                    </w:rPr>
                    <w:t>9</w:t>
                  </w:r>
                </w:p>
              </w:tc>
              <w:tc>
                <w:tcPr>
                  <w:tcW w:w="678" w:type="dxa"/>
                  <w:vAlign w:val="center"/>
                </w:tcPr>
                <w:p w14:paraId="2AF7F8F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设备维护保养</w:t>
                  </w:r>
                </w:p>
              </w:tc>
              <w:tc>
                <w:tcPr>
                  <w:tcW w:w="1281" w:type="dxa"/>
                  <w:vAlign w:val="center"/>
                </w:tcPr>
                <w:p w14:paraId="0616976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含油抹布及手套</w:t>
                  </w:r>
                </w:p>
              </w:tc>
              <w:tc>
                <w:tcPr>
                  <w:tcW w:w="355" w:type="dxa"/>
                  <w:vMerge w:val="continue"/>
                  <w:vAlign w:val="center"/>
                </w:tcPr>
                <w:p w14:paraId="2BBA7646">
                  <w:pPr>
                    <w:pStyle w:val="66"/>
                    <w:rPr>
                      <w:color w:val="000000" w:themeColor="text1"/>
                      <w14:textFill>
                        <w14:solidFill>
                          <w14:schemeClr w14:val="tx1"/>
                        </w14:solidFill>
                      </w14:textFill>
                    </w:rPr>
                  </w:pPr>
                </w:p>
              </w:tc>
              <w:tc>
                <w:tcPr>
                  <w:tcW w:w="666" w:type="dxa"/>
                  <w:vAlign w:val="center"/>
                </w:tcPr>
                <w:p w14:paraId="2B5835F2">
                  <w:pPr>
                    <w:pStyle w:val="66"/>
                    <w:rPr>
                      <w:color w:val="000000" w:themeColor="text1"/>
                      <w14:textFill>
                        <w14:solidFill>
                          <w14:schemeClr w14:val="tx1"/>
                        </w14:solidFill>
                      </w14:textFill>
                    </w:rPr>
                  </w:pPr>
                  <w:r>
                    <w:rPr>
                      <w:color w:val="000000" w:themeColor="text1"/>
                      <w14:textFill>
                        <w14:solidFill>
                          <w14:schemeClr w14:val="tx1"/>
                        </w14:solidFill>
                      </w14:textFill>
                    </w:rPr>
                    <w:t>900-041-49</w:t>
                  </w:r>
                </w:p>
              </w:tc>
              <w:tc>
                <w:tcPr>
                  <w:tcW w:w="600" w:type="dxa"/>
                  <w:vAlign w:val="center"/>
                </w:tcPr>
                <w:p w14:paraId="721A489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含油抹布及手套</w:t>
                  </w:r>
                </w:p>
              </w:tc>
              <w:tc>
                <w:tcPr>
                  <w:tcW w:w="493" w:type="dxa"/>
                  <w:vAlign w:val="center"/>
                </w:tcPr>
                <w:p w14:paraId="755F0A1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固</w:t>
                  </w:r>
                </w:p>
              </w:tc>
              <w:tc>
                <w:tcPr>
                  <w:tcW w:w="507" w:type="dxa"/>
                  <w:vAlign w:val="center"/>
                </w:tcPr>
                <w:p w14:paraId="5A11FFEC">
                  <w:pPr>
                    <w:pStyle w:val="66"/>
                    <w:rPr>
                      <w:color w:val="000000" w:themeColor="text1"/>
                      <w14:textFill>
                        <w14:solidFill>
                          <w14:schemeClr w14:val="tx1"/>
                        </w14:solidFill>
                      </w14:textFill>
                    </w:rPr>
                  </w:pPr>
                  <w:r>
                    <w:rPr>
                      <w:color w:val="000000" w:themeColor="text1"/>
                      <w14:textFill>
                        <w14:solidFill>
                          <w14:schemeClr w14:val="tx1"/>
                        </w14:solidFill>
                      </w14:textFill>
                    </w:rPr>
                    <w:t>T,I</w:t>
                  </w:r>
                </w:p>
              </w:tc>
              <w:tc>
                <w:tcPr>
                  <w:tcW w:w="650" w:type="dxa"/>
                  <w:vAlign w:val="center"/>
                </w:tcPr>
                <w:p w14:paraId="7F93E12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.02</w:t>
                  </w:r>
                </w:p>
              </w:tc>
              <w:tc>
                <w:tcPr>
                  <w:tcW w:w="493" w:type="dxa"/>
                  <w:vAlign w:val="center"/>
                </w:tcPr>
                <w:p w14:paraId="6731FFB1">
                  <w:pPr>
                    <w:pStyle w:val="66"/>
                    <w:rPr>
                      <w:color w:val="000000" w:themeColor="text1"/>
                      <w14:textFill>
                        <w14:solidFill>
                          <w14:schemeClr w14:val="tx1"/>
                        </w14:solidFill>
                      </w14:textFill>
                    </w:rPr>
                  </w:pPr>
                  <w:r>
                    <w:rPr>
                      <w:color w:val="000000" w:themeColor="text1"/>
                      <w14:textFill>
                        <w14:solidFill>
                          <w14:schemeClr w14:val="tx1"/>
                        </w14:solidFill>
                      </w14:textFill>
                    </w:rPr>
                    <w:t>袋装</w:t>
                  </w:r>
                </w:p>
              </w:tc>
              <w:tc>
                <w:tcPr>
                  <w:tcW w:w="783" w:type="dxa"/>
                  <w:vMerge w:val="continue"/>
                  <w:vAlign w:val="center"/>
                </w:tcPr>
                <w:p w14:paraId="042B17D3">
                  <w:pPr>
                    <w:pStyle w:val="66"/>
                    <w:rPr>
                      <w:color w:val="000000" w:themeColor="text1"/>
                      <w14:textFill>
                        <w14:solidFill>
                          <w14:schemeClr w14:val="tx1"/>
                        </w14:solidFill>
                      </w14:textFill>
                    </w:rPr>
                  </w:pPr>
                </w:p>
              </w:tc>
              <w:tc>
                <w:tcPr>
                  <w:tcW w:w="632" w:type="dxa"/>
                  <w:vAlign w:val="center"/>
                </w:tcPr>
                <w:p w14:paraId="043DAA0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.02</w:t>
                  </w:r>
                </w:p>
              </w:tc>
              <w:tc>
                <w:tcPr>
                  <w:tcW w:w="538" w:type="dxa"/>
                  <w:vMerge w:val="continue"/>
                  <w:vAlign w:val="center"/>
                </w:tcPr>
                <w:p w14:paraId="4CB1C1F6">
                  <w:pPr>
                    <w:pStyle w:val="66"/>
                    <w:rPr>
                      <w:color w:val="000000" w:themeColor="text1"/>
                      <w14:textFill>
                        <w14:solidFill>
                          <w14:schemeClr w14:val="tx1"/>
                        </w14:solidFill>
                      </w14:textFill>
                    </w:rPr>
                  </w:pPr>
                </w:p>
              </w:tc>
            </w:tr>
          </w:tbl>
          <w:p w14:paraId="4C052D7D">
            <w:pPr>
              <w:spacing w:line="360" w:lineRule="auto"/>
              <w:ind w:firstLine="480" w:firstLineChars="200"/>
              <w:jc w:val="center"/>
              <w:rPr>
                <w:rFonts w:ascii="Times New Roman" w:hAnsi="Times New Roman" w:eastAsia="宋体" w:cs="Times New Roman"/>
                <w:color w:val="000000" w:themeColor="text1"/>
                <w:sz w:val="24"/>
                <w14:textFill>
                  <w14:solidFill>
                    <w14:schemeClr w14:val="tx1"/>
                  </w14:solidFill>
                </w14:textFill>
              </w:rPr>
            </w:pPr>
          </w:p>
          <w:p w14:paraId="3280B07B">
            <w:pPr>
              <w:tabs>
                <w:tab w:val="left" w:pos="652"/>
              </w:tabs>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五</w:t>
            </w:r>
            <w:r>
              <w:rPr>
                <w:rFonts w:ascii="Times New Roman" w:hAnsi="Times New Roman" w:cs="Times New Roman"/>
                <w:color w:val="000000" w:themeColor="text1"/>
                <w:sz w:val="24"/>
                <w14:textFill>
                  <w14:solidFill>
                    <w14:schemeClr w14:val="tx1"/>
                  </w14:solidFill>
                </w14:textFill>
              </w:rPr>
              <w:t>、原有工程存在的主要环境问题及整改措施</w:t>
            </w:r>
          </w:p>
          <w:p w14:paraId="6E1E3C61">
            <w:pPr>
              <w:tabs>
                <w:tab w:val="left" w:pos="652"/>
              </w:tabs>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（1）根据现场勘查情况，原项目不存在环境问题</w:t>
            </w:r>
          </w:p>
          <w:p w14:paraId="263D71D6">
            <w:pPr>
              <w:tabs>
                <w:tab w:val="left" w:pos="652"/>
              </w:tabs>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（2）投诉及处罚情况</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原项目铸造线已取得排污许可证，在调试，未收到处罚情况</w:t>
            </w:r>
            <w:r>
              <w:rPr>
                <w:rFonts w:hint="eastAsia" w:ascii="Times New Roman" w:hAnsi="Times New Roman" w:cs="Times New Roman"/>
                <w:color w:val="000000" w:themeColor="text1"/>
                <w:sz w:val="24"/>
                <w14:textFill>
                  <w14:solidFill>
                    <w14:schemeClr w14:val="tx1"/>
                  </w14:solidFill>
                </w14:textFill>
              </w:rPr>
              <w:t>。</w:t>
            </w:r>
          </w:p>
          <w:p w14:paraId="1E98BA83">
            <w:pPr>
              <w:tabs>
                <w:tab w:val="left" w:pos="652"/>
              </w:tabs>
              <w:spacing w:line="360" w:lineRule="auto"/>
              <w:ind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六、新老污染物三本账</w:t>
            </w:r>
          </w:p>
          <w:p w14:paraId="77D57E06">
            <w:pPr>
              <w:spacing w:line="360" w:lineRule="auto"/>
              <w:ind w:firstLine="480"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“新</w:t>
            </w:r>
            <w:r>
              <w:rPr>
                <w:rFonts w:ascii="Times New Roman" w:hAnsi="Times New Roman" w:eastAsia="宋体" w:cs="Times New Roman"/>
                <w:b/>
                <w:bCs/>
                <w:color w:val="000000" w:themeColor="text1"/>
                <w:sz w:val="24"/>
                <w14:textFill>
                  <w14:solidFill>
                    <w14:schemeClr w14:val="tx1"/>
                  </w14:solidFill>
                </w14:textFill>
              </w:rPr>
              <w:t>老污染物三本账</w:t>
            </w:r>
            <w:r>
              <w:rPr>
                <w:rFonts w:hint="eastAsia" w:ascii="Times New Roman" w:hAnsi="Times New Roman" w:eastAsia="宋体" w:cs="Times New Roman"/>
                <w:b/>
                <w:bCs/>
                <w:color w:val="000000" w:themeColor="text1"/>
                <w:sz w:val="24"/>
                <w14:textFill>
                  <w14:solidFill>
                    <w14:schemeClr w14:val="tx1"/>
                  </w14:solidFill>
                </w14:textFill>
              </w:rPr>
              <w:t>”统计</w:t>
            </w:r>
            <w:r>
              <w:rPr>
                <w:rFonts w:ascii="Times New Roman" w:hAnsi="Times New Roman" w:eastAsia="宋体" w:cs="Times New Roman"/>
                <w:b/>
                <w:bCs/>
                <w:color w:val="000000" w:themeColor="text1"/>
                <w:sz w:val="24"/>
                <w14:textFill>
                  <w14:solidFill>
                    <w14:schemeClr w14:val="tx1"/>
                  </w14:solidFill>
                </w14:textFill>
              </w:rPr>
              <w:t>如下：</w:t>
            </w:r>
          </w:p>
          <w:p w14:paraId="5450A018">
            <w:pPr>
              <w:ind w:firstLine="420" w:firstLineChars="200"/>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表3-</w:t>
            </w:r>
            <w:r>
              <w:rPr>
                <w:rFonts w:ascii="Times New Roman" w:hAnsi="Times New Roman" w:eastAsia="宋体" w:cs="Times New Roman"/>
                <w:b/>
                <w:bCs/>
                <w:color w:val="000000" w:themeColor="text1"/>
                <w:szCs w:val="21"/>
                <w14:textFill>
                  <w14:solidFill>
                    <w14:schemeClr w14:val="tx1"/>
                  </w14:solidFill>
                </w14:textFill>
              </w:rPr>
              <w:t xml:space="preserve">7 </w:t>
            </w:r>
            <w:r>
              <w:rPr>
                <w:rFonts w:hint="eastAsia" w:ascii="Times New Roman" w:hAnsi="Times New Roman" w:eastAsia="宋体" w:cs="Times New Roman"/>
                <w:b/>
                <w:bCs/>
                <w:color w:val="000000" w:themeColor="text1"/>
                <w:szCs w:val="21"/>
                <w:lang w:val="en-US" w:eastAsia="zh-CN"/>
                <w14:textFill>
                  <w14:solidFill>
                    <w14:schemeClr w14:val="tx1"/>
                  </w14:solidFill>
                </w14:textFill>
              </w:rPr>
              <w:t>重大变动</w:t>
            </w:r>
            <w:r>
              <w:rPr>
                <w:rFonts w:ascii="Times New Roman" w:hAnsi="Times New Roman" w:eastAsia="宋体" w:cs="Times New Roman"/>
                <w:b/>
                <w:bCs/>
                <w:color w:val="000000" w:themeColor="text1"/>
                <w:szCs w:val="21"/>
                <w14:textFill>
                  <w14:solidFill>
                    <w14:schemeClr w14:val="tx1"/>
                  </w14:solidFill>
                </w14:textFill>
              </w:rPr>
              <w:t>前后“</w:t>
            </w:r>
            <w:r>
              <w:rPr>
                <w:rFonts w:hint="eastAsia" w:ascii="Times New Roman" w:hAnsi="Times New Roman" w:eastAsia="宋体" w:cs="Times New Roman"/>
                <w:b/>
                <w:bCs/>
                <w:color w:val="000000" w:themeColor="text1"/>
                <w:szCs w:val="21"/>
                <w14:textFill>
                  <w14:solidFill>
                    <w14:schemeClr w14:val="tx1"/>
                  </w14:solidFill>
                </w14:textFill>
              </w:rPr>
              <w:t>三本账</w:t>
            </w:r>
            <w:r>
              <w:rPr>
                <w:rFonts w:ascii="Times New Roman" w:hAnsi="Times New Roman" w:eastAsia="宋体" w:cs="Times New Roman"/>
                <w:b/>
                <w:bCs/>
                <w:color w:val="000000" w:themeColor="text1"/>
                <w:szCs w:val="21"/>
                <w14:textFill>
                  <w14:solidFill>
                    <w14:schemeClr w14:val="tx1"/>
                  </w14:solidFill>
                </w14:textFill>
              </w:rPr>
              <w:t>统计”</w:t>
            </w:r>
            <w:r>
              <w:rPr>
                <w:rFonts w:hint="eastAsia" w:ascii="Times New Roman" w:hAnsi="Times New Roman" w:eastAsia="宋体" w:cs="Times New Roman"/>
                <w:b/>
                <w:bCs/>
                <w:color w:val="000000" w:themeColor="text1"/>
                <w:szCs w:val="21"/>
                <w14:textFill>
                  <w14:solidFill>
                    <w14:schemeClr w14:val="tx1"/>
                  </w14:solidFill>
                </w14:textFill>
              </w:rPr>
              <w:t>（单位</w:t>
            </w:r>
            <w:r>
              <w:rPr>
                <w:rFonts w:ascii="Times New Roman" w:hAnsi="Times New Roman" w:eastAsia="宋体" w:cs="Times New Roman"/>
                <w:b/>
                <w:bCs/>
                <w:color w:val="000000" w:themeColor="text1"/>
                <w:szCs w:val="21"/>
                <w14:textFill>
                  <w14:solidFill>
                    <w14:schemeClr w14:val="tx1"/>
                  </w14:solidFill>
                </w14:textFill>
              </w:rPr>
              <w:t>：t/a</w:t>
            </w:r>
            <w:r>
              <w:rPr>
                <w:rFonts w:hint="eastAsia" w:ascii="Times New Roman" w:hAnsi="Times New Roman" w:eastAsia="宋体" w:cs="Times New Roman"/>
                <w:b/>
                <w:bCs/>
                <w:color w:val="000000" w:themeColor="text1"/>
                <w:szCs w:val="21"/>
                <w14:textFill>
                  <w14:solidFill>
                    <w14:schemeClr w14:val="tx1"/>
                  </w14:solidFill>
                </w14:textFill>
              </w:rPr>
              <w:t>）</w:t>
            </w:r>
          </w:p>
          <w:tbl>
            <w:tblPr>
              <w:tblStyle w:val="4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366"/>
              <w:gridCol w:w="846"/>
              <w:gridCol w:w="1344"/>
              <w:gridCol w:w="679"/>
              <w:gridCol w:w="1077"/>
              <w:gridCol w:w="812"/>
              <w:gridCol w:w="1212"/>
              <w:gridCol w:w="772"/>
            </w:tblGrid>
            <w:tr w14:paraId="27B3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gridSpan w:val="3"/>
                  <w:vAlign w:val="center"/>
                </w:tcPr>
                <w:p w14:paraId="341A928F">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类别</w:t>
                  </w:r>
                </w:p>
              </w:tc>
              <w:tc>
                <w:tcPr>
                  <w:tcW w:w="1382" w:type="dxa"/>
                  <w:vAlign w:val="center"/>
                </w:tcPr>
                <w:p w14:paraId="7A75499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污染物</w:t>
                  </w:r>
                </w:p>
              </w:tc>
              <w:tc>
                <w:tcPr>
                  <w:tcW w:w="698" w:type="dxa"/>
                  <w:vAlign w:val="center"/>
                </w:tcPr>
                <w:p w14:paraId="0096322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原项目排放量</w:t>
                  </w:r>
                </w:p>
              </w:tc>
              <w:tc>
                <w:tcPr>
                  <w:tcW w:w="1108" w:type="dxa"/>
                  <w:vAlign w:val="center"/>
                </w:tcPr>
                <w:p w14:paraId="1D0ED07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lang w:eastAsia="zh-CN"/>
                      <w14:textFill>
                        <w14:solidFill>
                          <w14:schemeClr w14:val="tx1"/>
                        </w14:solidFill>
                      </w14:textFill>
                    </w:rPr>
                    <w:t>项目</w:t>
                  </w:r>
                  <w:r>
                    <w:rPr>
                      <w:rFonts w:hint="eastAsia" w:ascii="Times New Roman" w:hAnsi="Times New Roman" w:eastAsia="宋体" w:cs="Times New Roman"/>
                      <w:bCs/>
                      <w:color w:val="000000" w:themeColor="text1"/>
                      <w:szCs w:val="21"/>
                      <w14:textFill>
                        <w14:solidFill>
                          <w14:schemeClr w14:val="tx1"/>
                        </w14:solidFill>
                      </w14:textFill>
                    </w:rPr>
                    <w:t>排放量</w:t>
                  </w:r>
                </w:p>
              </w:tc>
              <w:tc>
                <w:tcPr>
                  <w:tcW w:w="835" w:type="dxa"/>
                  <w:vAlign w:val="center"/>
                </w:tcPr>
                <w:p w14:paraId="5C605E5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以新带老削减量</w:t>
                  </w:r>
                </w:p>
              </w:tc>
              <w:tc>
                <w:tcPr>
                  <w:tcW w:w="1246" w:type="dxa"/>
                  <w:vAlign w:val="center"/>
                </w:tcPr>
                <w:p w14:paraId="780F1CC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重大变动</w:t>
                  </w:r>
                  <w:r>
                    <w:rPr>
                      <w:rFonts w:hint="eastAsia" w:ascii="Times New Roman" w:hAnsi="Times New Roman" w:eastAsia="宋体" w:cs="Times New Roman"/>
                      <w:bCs/>
                      <w:color w:val="000000" w:themeColor="text1"/>
                      <w:szCs w:val="21"/>
                      <w14:textFill>
                        <w14:solidFill>
                          <w14:schemeClr w14:val="tx1"/>
                        </w14:solidFill>
                      </w14:textFill>
                    </w:rPr>
                    <w:t>后总排放量</w:t>
                  </w:r>
                </w:p>
              </w:tc>
              <w:tc>
                <w:tcPr>
                  <w:tcW w:w="794" w:type="dxa"/>
                  <w:vAlign w:val="center"/>
                </w:tcPr>
                <w:p w14:paraId="76D0149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排放增减量</w:t>
                  </w:r>
                </w:p>
              </w:tc>
            </w:tr>
            <w:tr w14:paraId="772D4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 w:type="dxa"/>
                  <w:vMerge w:val="restart"/>
                  <w:vAlign w:val="center"/>
                </w:tcPr>
                <w:p w14:paraId="1CF1E72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废水</w:t>
                  </w:r>
                </w:p>
              </w:tc>
              <w:tc>
                <w:tcPr>
                  <w:tcW w:w="1246" w:type="dxa"/>
                  <w:gridSpan w:val="2"/>
                  <w:vMerge w:val="restart"/>
                  <w:vAlign w:val="center"/>
                </w:tcPr>
                <w:p w14:paraId="073D8B8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生活污水</w:t>
                  </w:r>
                </w:p>
              </w:tc>
              <w:tc>
                <w:tcPr>
                  <w:tcW w:w="1382" w:type="dxa"/>
                  <w:vAlign w:val="center"/>
                </w:tcPr>
                <w:p w14:paraId="5F1F658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水量</w:t>
                  </w:r>
                </w:p>
              </w:tc>
              <w:tc>
                <w:tcPr>
                  <w:tcW w:w="698" w:type="dxa"/>
                  <w:vAlign w:val="center"/>
                </w:tcPr>
                <w:p w14:paraId="5286ECEB">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w:t>
                  </w:r>
                  <w:r>
                    <w:rPr>
                      <w:rFonts w:ascii="Times New Roman" w:hAnsi="Times New Roman" w:eastAsia="宋体" w:cs="Times New Roman"/>
                      <w:bCs/>
                      <w:color w:val="000000" w:themeColor="text1"/>
                      <w:szCs w:val="21"/>
                      <w14:textFill>
                        <w14:solidFill>
                          <w14:schemeClr w14:val="tx1"/>
                        </w14:solidFill>
                      </w14:textFill>
                    </w:rPr>
                    <w:t>60</w:t>
                  </w:r>
                </w:p>
              </w:tc>
              <w:tc>
                <w:tcPr>
                  <w:tcW w:w="1108" w:type="dxa"/>
                  <w:vAlign w:val="center"/>
                </w:tcPr>
                <w:p w14:paraId="1D3BDD66">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160</w:t>
                  </w:r>
                </w:p>
              </w:tc>
              <w:tc>
                <w:tcPr>
                  <w:tcW w:w="835" w:type="dxa"/>
                  <w:vAlign w:val="center"/>
                </w:tcPr>
                <w:p w14:paraId="1CA9465B">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160</w:t>
                  </w:r>
                </w:p>
              </w:tc>
              <w:tc>
                <w:tcPr>
                  <w:tcW w:w="1246" w:type="dxa"/>
                  <w:vAlign w:val="center"/>
                </w:tcPr>
                <w:p w14:paraId="24FCE2A8">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160</w:t>
                  </w:r>
                </w:p>
              </w:tc>
              <w:tc>
                <w:tcPr>
                  <w:tcW w:w="794" w:type="dxa"/>
                  <w:vAlign w:val="center"/>
                </w:tcPr>
                <w:p w14:paraId="14901975">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63E6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 w:type="dxa"/>
                  <w:vMerge w:val="continue"/>
                  <w:vAlign w:val="center"/>
                </w:tcPr>
                <w:p w14:paraId="1F690BCA">
                  <w:pPr>
                    <w:jc w:val="center"/>
                    <w:rPr>
                      <w:rFonts w:ascii="Times New Roman" w:hAnsi="Times New Roman" w:eastAsia="宋体" w:cs="Times New Roman"/>
                      <w:bCs/>
                      <w:color w:val="000000" w:themeColor="text1"/>
                      <w:szCs w:val="21"/>
                      <w14:textFill>
                        <w14:solidFill>
                          <w14:schemeClr w14:val="tx1"/>
                        </w14:solidFill>
                      </w14:textFill>
                    </w:rPr>
                  </w:pPr>
                </w:p>
              </w:tc>
              <w:tc>
                <w:tcPr>
                  <w:tcW w:w="1246" w:type="dxa"/>
                  <w:gridSpan w:val="2"/>
                  <w:vMerge w:val="continue"/>
                  <w:vAlign w:val="center"/>
                </w:tcPr>
                <w:p w14:paraId="1BF61409">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4A6B53F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C</w:t>
                  </w:r>
                  <w:r>
                    <w:rPr>
                      <w:rFonts w:ascii="Times New Roman" w:hAnsi="Times New Roman" w:eastAsia="宋体" w:cs="Times New Roman"/>
                      <w:bCs/>
                      <w:color w:val="000000" w:themeColor="text1"/>
                      <w:szCs w:val="21"/>
                      <w14:textFill>
                        <w14:solidFill>
                          <w14:schemeClr w14:val="tx1"/>
                        </w14:solidFill>
                      </w14:textFill>
                    </w:rPr>
                    <w:t>OD</w:t>
                  </w:r>
                  <w:r>
                    <w:rPr>
                      <w:rFonts w:ascii="Times New Roman" w:hAnsi="Times New Roman" w:eastAsia="宋体" w:cs="Times New Roman"/>
                      <w:bCs/>
                      <w:color w:val="000000" w:themeColor="text1"/>
                      <w:szCs w:val="21"/>
                      <w:vertAlign w:val="subscript"/>
                      <w14:textFill>
                        <w14:solidFill>
                          <w14:schemeClr w14:val="tx1"/>
                        </w14:solidFill>
                      </w14:textFill>
                    </w:rPr>
                    <w:t>Cr</w:t>
                  </w:r>
                </w:p>
              </w:tc>
              <w:tc>
                <w:tcPr>
                  <w:tcW w:w="698" w:type="dxa"/>
                  <w:vAlign w:val="center"/>
                </w:tcPr>
                <w:p w14:paraId="12811B8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.038</w:t>
                  </w:r>
                </w:p>
              </w:tc>
              <w:tc>
                <w:tcPr>
                  <w:tcW w:w="1108" w:type="dxa"/>
                  <w:vAlign w:val="center"/>
                </w:tcPr>
                <w:p w14:paraId="7E08BF22">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0.038</w:t>
                  </w:r>
                </w:p>
              </w:tc>
              <w:tc>
                <w:tcPr>
                  <w:tcW w:w="835" w:type="dxa"/>
                  <w:vAlign w:val="center"/>
                </w:tcPr>
                <w:p w14:paraId="3099800D">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0.038</w:t>
                  </w:r>
                </w:p>
              </w:tc>
              <w:tc>
                <w:tcPr>
                  <w:tcW w:w="1246" w:type="dxa"/>
                  <w:vAlign w:val="center"/>
                </w:tcPr>
                <w:p w14:paraId="0BD24094">
                  <w:pPr>
                    <w:jc w:val="center"/>
                    <w:rPr>
                      <w:rFonts w:hint="default" w:ascii="Times New Roman" w:hAnsi="Times New Roman" w:eastAsia="宋体" w:cs="Times New Roman"/>
                      <w:bCs/>
                      <w:color w:val="000000" w:themeColor="text1"/>
                      <w:szCs w:val="21"/>
                      <w:lang w:val="en-US"/>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w:t>
                  </w:r>
                  <w:r>
                    <w:rPr>
                      <w:rFonts w:hint="eastAsia" w:ascii="Times New Roman" w:hAnsi="Times New Roman" w:eastAsia="宋体" w:cs="Times New Roman"/>
                      <w:bCs/>
                      <w:color w:val="000000" w:themeColor="text1"/>
                      <w:szCs w:val="21"/>
                      <w:lang w:val="en-US" w:eastAsia="zh-CN"/>
                      <w14:textFill>
                        <w14:solidFill>
                          <w14:schemeClr w14:val="tx1"/>
                        </w14:solidFill>
                      </w14:textFill>
                    </w:rPr>
                    <w:t>038</w:t>
                  </w:r>
                </w:p>
              </w:tc>
              <w:tc>
                <w:tcPr>
                  <w:tcW w:w="794" w:type="dxa"/>
                  <w:vAlign w:val="center"/>
                </w:tcPr>
                <w:p w14:paraId="1C0416AE">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3D6A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 w:type="dxa"/>
                  <w:vMerge w:val="continue"/>
                  <w:vAlign w:val="center"/>
                </w:tcPr>
                <w:p w14:paraId="281719F9">
                  <w:pPr>
                    <w:jc w:val="center"/>
                    <w:rPr>
                      <w:rFonts w:ascii="Times New Roman" w:hAnsi="Times New Roman" w:eastAsia="宋体" w:cs="Times New Roman"/>
                      <w:bCs/>
                      <w:color w:val="000000" w:themeColor="text1"/>
                      <w:szCs w:val="21"/>
                      <w14:textFill>
                        <w14:solidFill>
                          <w14:schemeClr w14:val="tx1"/>
                        </w14:solidFill>
                      </w14:textFill>
                    </w:rPr>
                  </w:pPr>
                </w:p>
              </w:tc>
              <w:tc>
                <w:tcPr>
                  <w:tcW w:w="1246" w:type="dxa"/>
                  <w:gridSpan w:val="2"/>
                  <w:vMerge w:val="continue"/>
                  <w:vAlign w:val="center"/>
                </w:tcPr>
                <w:p w14:paraId="194C2539">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193CC54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B</w:t>
                  </w:r>
                  <w:r>
                    <w:rPr>
                      <w:rFonts w:ascii="Times New Roman" w:hAnsi="Times New Roman" w:eastAsia="宋体" w:cs="Times New Roman"/>
                      <w:bCs/>
                      <w:color w:val="000000" w:themeColor="text1"/>
                      <w:szCs w:val="21"/>
                      <w14:textFill>
                        <w14:solidFill>
                          <w14:schemeClr w14:val="tx1"/>
                        </w14:solidFill>
                      </w14:textFill>
                    </w:rPr>
                    <w:t>OD</w:t>
                  </w:r>
                </w:p>
              </w:tc>
              <w:tc>
                <w:tcPr>
                  <w:tcW w:w="698" w:type="dxa"/>
                  <w:vAlign w:val="center"/>
                </w:tcPr>
                <w:p w14:paraId="4B69699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.025</w:t>
                  </w:r>
                </w:p>
              </w:tc>
              <w:tc>
                <w:tcPr>
                  <w:tcW w:w="1108" w:type="dxa"/>
                  <w:vAlign w:val="center"/>
                </w:tcPr>
                <w:p w14:paraId="2604D186">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.02</w:t>
                  </w:r>
                  <w:r>
                    <w:rPr>
                      <w:rFonts w:hint="eastAsia" w:ascii="Times New Roman" w:hAnsi="Times New Roman" w:eastAsia="宋体" w:cs="Times New Roman"/>
                      <w:bCs/>
                      <w:color w:val="000000" w:themeColor="text1"/>
                      <w:szCs w:val="21"/>
                      <w:lang w:val="en-US" w:eastAsia="zh-CN"/>
                      <w14:textFill>
                        <w14:solidFill>
                          <w14:schemeClr w14:val="tx1"/>
                        </w14:solidFill>
                      </w14:textFill>
                    </w:rPr>
                    <w:t>5</w:t>
                  </w:r>
                </w:p>
              </w:tc>
              <w:tc>
                <w:tcPr>
                  <w:tcW w:w="835" w:type="dxa"/>
                  <w:vAlign w:val="center"/>
                </w:tcPr>
                <w:p w14:paraId="21E6CB56">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.025</w:t>
                  </w:r>
                </w:p>
              </w:tc>
              <w:tc>
                <w:tcPr>
                  <w:tcW w:w="1246" w:type="dxa"/>
                  <w:vAlign w:val="center"/>
                </w:tcPr>
                <w:p w14:paraId="2E136AED">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w:t>
                  </w:r>
                  <w:r>
                    <w:rPr>
                      <w:rFonts w:hint="eastAsia" w:ascii="Times New Roman" w:hAnsi="Times New Roman" w:eastAsia="宋体" w:cs="Times New Roman"/>
                      <w:bCs/>
                      <w:color w:val="000000" w:themeColor="text1"/>
                      <w:szCs w:val="21"/>
                      <w:lang w:val="en-US" w:eastAsia="zh-CN"/>
                      <w14:textFill>
                        <w14:solidFill>
                          <w14:schemeClr w14:val="tx1"/>
                        </w14:solidFill>
                      </w14:textFill>
                    </w:rPr>
                    <w:t>025</w:t>
                  </w:r>
                </w:p>
              </w:tc>
              <w:tc>
                <w:tcPr>
                  <w:tcW w:w="794" w:type="dxa"/>
                  <w:vAlign w:val="center"/>
                </w:tcPr>
                <w:p w14:paraId="39F9C0EB">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7527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 w:type="dxa"/>
                  <w:vMerge w:val="continue"/>
                  <w:vAlign w:val="center"/>
                </w:tcPr>
                <w:p w14:paraId="438A5194">
                  <w:pPr>
                    <w:jc w:val="center"/>
                    <w:rPr>
                      <w:rFonts w:ascii="Times New Roman" w:hAnsi="Times New Roman" w:eastAsia="宋体" w:cs="Times New Roman"/>
                      <w:bCs/>
                      <w:color w:val="000000" w:themeColor="text1"/>
                      <w:szCs w:val="21"/>
                      <w14:textFill>
                        <w14:solidFill>
                          <w14:schemeClr w14:val="tx1"/>
                        </w14:solidFill>
                      </w14:textFill>
                    </w:rPr>
                  </w:pPr>
                </w:p>
              </w:tc>
              <w:tc>
                <w:tcPr>
                  <w:tcW w:w="1246" w:type="dxa"/>
                  <w:gridSpan w:val="2"/>
                  <w:vMerge w:val="continue"/>
                  <w:vAlign w:val="center"/>
                </w:tcPr>
                <w:p w14:paraId="2C686758">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3C5166DF">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S</w:t>
                  </w:r>
                  <w:r>
                    <w:rPr>
                      <w:rFonts w:ascii="Times New Roman" w:hAnsi="Times New Roman" w:eastAsia="宋体" w:cs="Times New Roman"/>
                      <w:bCs/>
                      <w:color w:val="000000" w:themeColor="text1"/>
                      <w:szCs w:val="21"/>
                      <w14:textFill>
                        <w14:solidFill>
                          <w14:schemeClr w14:val="tx1"/>
                        </w14:solidFill>
                      </w14:textFill>
                    </w:rPr>
                    <w:t>S</w:t>
                  </w:r>
                </w:p>
              </w:tc>
              <w:tc>
                <w:tcPr>
                  <w:tcW w:w="698" w:type="dxa"/>
                  <w:vAlign w:val="center"/>
                </w:tcPr>
                <w:p w14:paraId="19E452E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013</w:t>
                  </w:r>
                </w:p>
              </w:tc>
              <w:tc>
                <w:tcPr>
                  <w:tcW w:w="1108" w:type="dxa"/>
                  <w:vAlign w:val="center"/>
                </w:tcPr>
                <w:p w14:paraId="674E26BC">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.013</w:t>
                  </w:r>
                </w:p>
              </w:tc>
              <w:tc>
                <w:tcPr>
                  <w:tcW w:w="835" w:type="dxa"/>
                  <w:vAlign w:val="center"/>
                </w:tcPr>
                <w:p w14:paraId="3C30F5EE">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.013</w:t>
                  </w:r>
                </w:p>
              </w:tc>
              <w:tc>
                <w:tcPr>
                  <w:tcW w:w="1246" w:type="dxa"/>
                  <w:vAlign w:val="center"/>
                </w:tcPr>
                <w:p w14:paraId="3D577A10">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13</w:t>
                  </w:r>
                </w:p>
              </w:tc>
              <w:tc>
                <w:tcPr>
                  <w:tcW w:w="794" w:type="dxa"/>
                  <w:vAlign w:val="center"/>
                </w:tcPr>
                <w:p w14:paraId="5FF2800B">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689B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 w:type="dxa"/>
                  <w:vMerge w:val="continue"/>
                  <w:vAlign w:val="center"/>
                </w:tcPr>
                <w:p w14:paraId="74C6FFB0">
                  <w:pPr>
                    <w:jc w:val="center"/>
                    <w:rPr>
                      <w:rFonts w:ascii="Times New Roman" w:hAnsi="Times New Roman" w:eastAsia="宋体" w:cs="Times New Roman"/>
                      <w:bCs/>
                      <w:color w:val="000000" w:themeColor="text1"/>
                      <w:szCs w:val="21"/>
                      <w14:textFill>
                        <w14:solidFill>
                          <w14:schemeClr w14:val="tx1"/>
                        </w14:solidFill>
                      </w14:textFill>
                    </w:rPr>
                  </w:pPr>
                </w:p>
              </w:tc>
              <w:tc>
                <w:tcPr>
                  <w:tcW w:w="1246" w:type="dxa"/>
                  <w:gridSpan w:val="2"/>
                  <w:vMerge w:val="continue"/>
                  <w:vAlign w:val="center"/>
                </w:tcPr>
                <w:p w14:paraId="114BEC5D">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28B7752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氨氮</w:t>
                  </w:r>
                </w:p>
              </w:tc>
              <w:tc>
                <w:tcPr>
                  <w:tcW w:w="698" w:type="dxa"/>
                  <w:vAlign w:val="center"/>
                </w:tcPr>
                <w:p w14:paraId="2115B94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004</w:t>
                  </w:r>
                </w:p>
              </w:tc>
              <w:tc>
                <w:tcPr>
                  <w:tcW w:w="1108" w:type="dxa"/>
                  <w:vAlign w:val="center"/>
                </w:tcPr>
                <w:p w14:paraId="5970978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.004</w:t>
                  </w:r>
                </w:p>
              </w:tc>
              <w:tc>
                <w:tcPr>
                  <w:tcW w:w="835" w:type="dxa"/>
                  <w:vAlign w:val="center"/>
                </w:tcPr>
                <w:p w14:paraId="4F72EB1E">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.004</w:t>
                  </w:r>
                </w:p>
              </w:tc>
              <w:tc>
                <w:tcPr>
                  <w:tcW w:w="1246" w:type="dxa"/>
                  <w:vAlign w:val="center"/>
                </w:tcPr>
                <w:p w14:paraId="06B2B126">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.00</w:t>
                  </w:r>
                  <w:r>
                    <w:rPr>
                      <w:rFonts w:hint="eastAsia" w:ascii="Times New Roman" w:hAnsi="Times New Roman" w:eastAsia="宋体" w:cs="Times New Roman"/>
                      <w:bCs/>
                      <w:color w:val="000000" w:themeColor="text1"/>
                      <w:szCs w:val="21"/>
                      <w:lang w:val="en-US" w:eastAsia="zh-CN"/>
                      <w14:textFill>
                        <w14:solidFill>
                          <w14:schemeClr w14:val="tx1"/>
                        </w14:solidFill>
                      </w14:textFill>
                    </w:rPr>
                    <w:t>4</w:t>
                  </w:r>
                </w:p>
              </w:tc>
              <w:tc>
                <w:tcPr>
                  <w:tcW w:w="794" w:type="dxa"/>
                  <w:vAlign w:val="center"/>
                </w:tcPr>
                <w:p w14:paraId="1042AAB7">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32B6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 w:type="dxa"/>
                  <w:vMerge w:val="continue"/>
                  <w:vAlign w:val="center"/>
                </w:tcPr>
                <w:p w14:paraId="41C1E873">
                  <w:pPr>
                    <w:jc w:val="center"/>
                    <w:rPr>
                      <w:rFonts w:ascii="Times New Roman" w:hAnsi="Times New Roman" w:eastAsia="宋体" w:cs="Times New Roman"/>
                      <w:bCs/>
                      <w:color w:val="000000" w:themeColor="text1"/>
                      <w:szCs w:val="21"/>
                      <w14:textFill>
                        <w14:solidFill>
                          <w14:schemeClr w14:val="tx1"/>
                        </w14:solidFill>
                      </w14:textFill>
                    </w:rPr>
                  </w:pPr>
                </w:p>
              </w:tc>
              <w:tc>
                <w:tcPr>
                  <w:tcW w:w="1246" w:type="dxa"/>
                  <w:gridSpan w:val="2"/>
                  <w:vMerge w:val="continue"/>
                  <w:vAlign w:val="center"/>
                </w:tcPr>
                <w:p w14:paraId="46FF5287">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4C0DDB3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T</w:t>
                  </w:r>
                  <w:r>
                    <w:rPr>
                      <w:rFonts w:ascii="Times New Roman" w:hAnsi="Times New Roman" w:eastAsia="宋体" w:cs="Times New Roman"/>
                      <w:bCs/>
                      <w:color w:val="000000" w:themeColor="text1"/>
                      <w:szCs w:val="21"/>
                      <w14:textFill>
                        <w14:solidFill>
                          <w14:schemeClr w14:val="tx1"/>
                        </w14:solidFill>
                      </w14:textFill>
                    </w:rPr>
                    <w:t>P</w:t>
                  </w:r>
                </w:p>
              </w:tc>
              <w:tc>
                <w:tcPr>
                  <w:tcW w:w="698" w:type="dxa"/>
                  <w:vAlign w:val="center"/>
                </w:tcPr>
                <w:p w14:paraId="4A9F7C1C">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.001</w:t>
                  </w:r>
                </w:p>
              </w:tc>
              <w:tc>
                <w:tcPr>
                  <w:tcW w:w="1108" w:type="dxa"/>
                  <w:vAlign w:val="center"/>
                </w:tcPr>
                <w:p w14:paraId="636921A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.001</w:t>
                  </w:r>
                </w:p>
              </w:tc>
              <w:tc>
                <w:tcPr>
                  <w:tcW w:w="835" w:type="dxa"/>
                  <w:vAlign w:val="center"/>
                </w:tcPr>
                <w:p w14:paraId="533DCC14">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.001</w:t>
                  </w:r>
                </w:p>
              </w:tc>
              <w:tc>
                <w:tcPr>
                  <w:tcW w:w="1246" w:type="dxa"/>
                  <w:vAlign w:val="center"/>
                </w:tcPr>
                <w:p w14:paraId="04CAFA21">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.00</w:t>
                  </w:r>
                  <w:r>
                    <w:rPr>
                      <w:rFonts w:hint="eastAsia" w:ascii="Times New Roman" w:hAnsi="Times New Roman" w:eastAsia="宋体" w:cs="Times New Roman"/>
                      <w:bCs/>
                      <w:color w:val="000000" w:themeColor="text1"/>
                      <w:szCs w:val="21"/>
                      <w:lang w:val="en-US" w:eastAsia="zh-CN"/>
                      <w14:textFill>
                        <w14:solidFill>
                          <w14:schemeClr w14:val="tx1"/>
                        </w14:solidFill>
                      </w14:textFill>
                    </w:rPr>
                    <w:t>1</w:t>
                  </w:r>
                </w:p>
              </w:tc>
              <w:tc>
                <w:tcPr>
                  <w:tcW w:w="794" w:type="dxa"/>
                  <w:vAlign w:val="center"/>
                </w:tcPr>
                <w:p w14:paraId="79EA75D0">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0E72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491" w:type="dxa"/>
                  <w:vMerge w:val="continue"/>
                  <w:vAlign w:val="center"/>
                </w:tcPr>
                <w:p w14:paraId="23DB1AB7">
                  <w:pPr>
                    <w:jc w:val="center"/>
                    <w:rPr>
                      <w:rFonts w:ascii="Times New Roman" w:hAnsi="Times New Roman" w:eastAsia="宋体" w:cs="Times New Roman"/>
                      <w:bCs/>
                      <w:color w:val="000000" w:themeColor="text1"/>
                      <w:szCs w:val="21"/>
                      <w14:textFill>
                        <w14:solidFill>
                          <w14:schemeClr w14:val="tx1"/>
                        </w14:solidFill>
                      </w14:textFill>
                    </w:rPr>
                  </w:pPr>
                </w:p>
              </w:tc>
              <w:tc>
                <w:tcPr>
                  <w:tcW w:w="1246" w:type="dxa"/>
                  <w:gridSpan w:val="2"/>
                  <w:vAlign w:val="center"/>
                </w:tcPr>
                <w:p w14:paraId="279CA47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生产废水（间接冷却更换水）</w:t>
                  </w:r>
                </w:p>
              </w:tc>
              <w:tc>
                <w:tcPr>
                  <w:tcW w:w="1382" w:type="dxa"/>
                  <w:vAlign w:val="center"/>
                </w:tcPr>
                <w:p w14:paraId="3F5E35BC">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水量</w:t>
                  </w:r>
                </w:p>
              </w:tc>
              <w:tc>
                <w:tcPr>
                  <w:tcW w:w="698" w:type="dxa"/>
                  <w:vAlign w:val="center"/>
                </w:tcPr>
                <w:p w14:paraId="1C40323C">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25</w:t>
                  </w:r>
                </w:p>
              </w:tc>
              <w:tc>
                <w:tcPr>
                  <w:tcW w:w="1108" w:type="dxa"/>
                  <w:vAlign w:val="center"/>
                </w:tcPr>
                <w:p w14:paraId="65D3DF7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w:t>
                  </w:r>
                </w:p>
              </w:tc>
              <w:tc>
                <w:tcPr>
                  <w:tcW w:w="835" w:type="dxa"/>
                  <w:vAlign w:val="center"/>
                </w:tcPr>
                <w:p w14:paraId="0C30D6D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w:t>
                  </w:r>
                </w:p>
              </w:tc>
              <w:tc>
                <w:tcPr>
                  <w:tcW w:w="1246" w:type="dxa"/>
                  <w:vAlign w:val="center"/>
                </w:tcPr>
                <w:p w14:paraId="48AF8EB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w:t>
                  </w:r>
                </w:p>
              </w:tc>
              <w:tc>
                <w:tcPr>
                  <w:tcW w:w="794" w:type="dxa"/>
                  <w:vAlign w:val="center"/>
                </w:tcPr>
                <w:p w14:paraId="1202BF5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w:t>
                  </w:r>
                </w:p>
              </w:tc>
            </w:tr>
            <w:tr w14:paraId="6E17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gridSpan w:val="3"/>
                  <w:vMerge w:val="restart"/>
                  <w:vAlign w:val="center"/>
                </w:tcPr>
                <w:p w14:paraId="5D77FF92">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废气</w:t>
                  </w:r>
                </w:p>
              </w:tc>
              <w:tc>
                <w:tcPr>
                  <w:tcW w:w="1382" w:type="dxa"/>
                  <w:vAlign w:val="center"/>
                </w:tcPr>
                <w:p w14:paraId="5F945ABB">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颗粒物</w:t>
                  </w:r>
                </w:p>
              </w:tc>
              <w:tc>
                <w:tcPr>
                  <w:tcW w:w="698" w:type="dxa"/>
                  <w:vAlign w:val="center"/>
                </w:tcPr>
                <w:p w14:paraId="596997D7">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40.876</w:t>
                  </w:r>
                </w:p>
              </w:tc>
              <w:tc>
                <w:tcPr>
                  <w:tcW w:w="1108" w:type="dxa"/>
                  <w:vAlign w:val="center"/>
                </w:tcPr>
                <w:p w14:paraId="42F30020">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0.951</w:t>
                  </w:r>
                </w:p>
              </w:tc>
              <w:tc>
                <w:tcPr>
                  <w:tcW w:w="835" w:type="dxa"/>
                  <w:vAlign w:val="center"/>
                </w:tcPr>
                <w:p w14:paraId="7F58B07A">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1.45</w:t>
                  </w:r>
                </w:p>
              </w:tc>
              <w:tc>
                <w:tcPr>
                  <w:tcW w:w="1246" w:type="dxa"/>
                  <w:vAlign w:val="center"/>
                </w:tcPr>
                <w:p w14:paraId="087724E5">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40.377</w:t>
                  </w:r>
                </w:p>
              </w:tc>
              <w:tc>
                <w:tcPr>
                  <w:tcW w:w="794" w:type="dxa"/>
                  <w:vAlign w:val="center"/>
                </w:tcPr>
                <w:p w14:paraId="5DCF204F">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-0.499</w:t>
                  </w:r>
                </w:p>
              </w:tc>
            </w:tr>
            <w:tr w14:paraId="5A24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gridSpan w:val="3"/>
                  <w:vMerge w:val="continue"/>
                  <w:vAlign w:val="center"/>
                </w:tcPr>
                <w:p w14:paraId="11485AFD">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1FD743B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非甲烷总烃</w:t>
                  </w:r>
                </w:p>
              </w:tc>
              <w:tc>
                <w:tcPr>
                  <w:tcW w:w="698" w:type="dxa"/>
                  <w:vAlign w:val="center"/>
                </w:tcPr>
                <w:p w14:paraId="204CEED0">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1.226</w:t>
                  </w:r>
                </w:p>
              </w:tc>
              <w:tc>
                <w:tcPr>
                  <w:tcW w:w="1108" w:type="dxa"/>
                  <w:vAlign w:val="center"/>
                </w:tcPr>
                <w:p w14:paraId="427271A9">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1.226</w:t>
                  </w:r>
                </w:p>
              </w:tc>
              <w:tc>
                <w:tcPr>
                  <w:tcW w:w="835" w:type="dxa"/>
                  <w:vAlign w:val="center"/>
                </w:tcPr>
                <w:p w14:paraId="3B7F40E7">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1.226</w:t>
                  </w:r>
                </w:p>
              </w:tc>
              <w:tc>
                <w:tcPr>
                  <w:tcW w:w="1246" w:type="dxa"/>
                  <w:vAlign w:val="center"/>
                </w:tcPr>
                <w:p w14:paraId="1BE9B5F6">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1.226</w:t>
                  </w:r>
                </w:p>
              </w:tc>
              <w:tc>
                <w:tcPr>
                  <w:tcW w:w="794" w:type="dxa"/>
                  <w:vAlign w:val="center"/>
                </w:tcPr>
                <w:p w14:paraId="6FF66240">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105C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7" w:type="dxa"/>
                  <w:gridSpan w:val="3"/>
                  <w:vMerge w:val="continue"/>
                  <w:vAlign w:val="center"/>
                </w:tcPr>
                <w:p w14:paraId="370BDD99">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5D41111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苯系物</w:t>
                  </w:r>
                </w:p>
              </w:tc>
              <w:tc>
                <w:tcPr>
                  <w:tcW w:w="698" w:type="dxa"/>
                  <w:vAlign w:val="center"/>
                </w:tcPr>
                <w:p w14:paraId="2439AFBF">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0.108</w:t>
                  </w:r>
                </w:p>
              </w:tc>
              <w:tc>
                <w:tcPr>
                  <w:tcW w:w="1108" w:type="dxa"/>
                  <w:vAlign w:val="center"/>
                </w:tcPr>
                <w:p w14:paraId="5417E6B0">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eastAsia="zh-CN"/>
                      <w14:textFill>
                        <w14:solidFill>
                          <w14:schemeClr w14:val="tx1"/>
                        </w14:solidFill>
                      </w14:textFill>
                    </w:rPr>
                    <w:t>0.108</w:t>
                  </w:r>
                </w:p>
              </w:tc>
              <w:tc>
                <w:tcPr>
                  <w:tcW w:w="835" w:type="dxa"/>
                  <w:vAlign w:val="center"/>
                </w:tcPr>
                <w:p w14:paraId="33F9BF89">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.108</w:t>
                  </w:r>
                </w:p>
              </w:tc>
              <w:tc>
                <w:tcPr>
                  <w:tcW w:w="1246" w:type="dxa"/>
                  <w:vAlign w:val="center"/>
                </w:tcPr>
                <w:p w14:paraId="0F35BD32">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eastAsia="zh-CN"/>
                      <w14:textFill>
                        <w14:solidFill>
                          <w14:schemeClr w14:val="tx1"/>
                        </w14:solidFill>
                      </w14:textFill>
                    </w:rPr>
                    <w:t>0.108</w:t>
                  </w:r>
                </w:p>
              </w:tc>
              <w:tc>
                <w:tcPr>
                  <w:tcW w:w="794" w:type="dxa"/>
                  <w:vAlign w:val="center"/>
                </w:tcPr>
                <w:p w14:paraId="1BA7D326">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4656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restart"/>
                  <w:vAlign w:val="center"/>
                </w:tcPr>
                <w:p w14:paraId="39E4EE9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固体废物</w:t>
                  </w:r>
                </w:p>
              </w:tc>
              <w:tc>
                <w:tcPr>
                  <w:tcW w:w="870" w:type="dxa"/>
                  <w:vMerge w:val="restart"/>
                  <w:vAlign w:val="center"/>
                </w:tcPr>
                <w:p w14:paraId="1EA14C8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一般工业固体废物</w:t>
                  </w:r>
                </w:p>
              </w:tc>
              <w:tc>
                <w:tcPr>
                  <w:tcW w:w="1382" w:type="dxa"/>
                  <w:vAlign w:val="center"/>
                </w:tcPr>
                <w:p w14:paraId="2D01A9B1">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抛丸清理机收集的粉尘</w:t>
                  </w:r>
                </w:p>
              </w:tc>
              <w:tc>
                <w:tcPr>
                  <w:tcW w:w="698" w:type="dxa"/>
                  <w:vAlign w:val="center"/>
                </w:tcPr>
                <w:p w14:paraId="33D7AC31">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4</w:t>
                  </w:r>
                </w:p>
              </w:tc>
              <w:tc>
                <w:tcPr>
                  <w:tcW w:w="1108" w:type="dxa"/>
                  <w:vAlign w:val="center"/>
                </w:tcPr>
                <w:p w14:paraId="73F592D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w:t>
                  </w:r>
                </w:p>
              </w:tc>
              <w:tc>
                <w:tcPr>
                  <w:tcW w:w="835" w:type="dxa"/>
                  <w:vAlign w:val="center"/>
                </w:tcPr>
                <w:p w14:paraId="2F0E2C8D">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2</w:t>
                  </w:r>
                </w:p>
              </w:tc>
              <w:tc>
                <w:tcPr>
                  <w:tcW w:w="1246" w:type="dxa"/>
                  <w:vAlign w:val="center"/>
                </w:tcPr>
                <w:p w14:paraId="4DCFE1C8">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4</w:t>
                  </w:r>
                </w:p>
              </w:tc>
              <w:tc>
                <w:tcPr>
                  <w:tcW w:w="794" w:type="dxa"/>
                  <w:vAlign w:val="center"/>
                </w:tcPr>
                <w:p w14:paraId="3B159737">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51C18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0DC89555">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631585F7">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4BC1356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废钢丸</w:t>
                  </w:r>
                </w:p>
              </w:tc>
              <w:tc>
                <w:tcPr>
                  <w:tcW w:w="698" w:type="dxa"/>
                  <w:vAlign w:val="center"/>
                </w:tcPr>
                <w:p w14:paraId="4E29FCF1">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2</w:t>
                  </w:r>
                </w:p>
              </w:tc>
              <w:tc>
                <w:tcPr>
                  <w:tcW w:w="1108" w:type="dxa"/>
                  <w:vAlign w:val="center"/>
                </w:tcPr>
                <w:p w14:paraId="3BD98B8F">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w:t>
                  </w:r>
                </w:p>
              </w:tc>
              <w:tc>
                <w:tcPr>
                  <w:tcW w:w="835" w:type="dxa"/>
                  <w:vAlign w:val="center"/>
                </w:tcPr>
                <w:p w14:paraId="23CBB6E8">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w:t>
                  </w:r>
                </w:p>
              </w:tc>
              <w:tc>
                <w:tcPr>
                  <w:tcW w:w="1246" w:type="dxa"/>
                  <w:vAlign w:val="center"/>
                </w:tcPr>
                <w:p w14:paraId="5934A078">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2</w:t>
                  </w:r>
                </w:p>
              </w:tc>
              <w:tc>
                <w:tcPr>
                  <w:tcW w:w="794" w:type="dxa"/>
                  <w:vAlign w:val="center"/>
                </w:tcPr>
                <w:p w14:paraId="52FD12A7">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4E7D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07BA8563">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199BEDDA">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0E00713B">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废树脂</w:t>
                  </w:r>
                </w:p>
              </w:tc>
              <w:tc>
                <w:tcPr>
                  <w:tcW w:w="698" w:type="dxa"/>
                  <w:vAlign w:val="center"/>
                </w:tcPr>
                <w:p w14:paraId="42049E47">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1.308</w:t>
                  </w:r>
                </w:p>
              </w:tc>
              <w:tc>
                <w:tcPr>
                  <w:tcW w:w="1108" w:type="dxa"/>
                  <w:vAlign w:val="center"/>
                </w:tcPr>
                <w:p w14:paraId="4638EC5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w:t>
                  </w:r>
                  <w:r>
                    <w:rPr>
                      <w:rFonts w:ascii="Times New Roman" w:hAnsi="Times New Roman" w:eastAsia="宋体" w:cs="Times New Roman"/>
                      <w:bCs/>
                      <w:color w:val="000000" w:themeColor="text1"/>
                      <w:szCs w:val="21"/>
                      <w14:textFill>
                        <w14:solidFill>
                          <w14:schemeClr w14:val="tx1"/>
                        </w14:solidFill>
                      </w14:textFill>
                    </w:rPr>
                    <w:t>.308</w:t>
                  </w:r>
                </w:p>
              </w:tc>
              <w:tc>
                <w:tcPr>
                  <w:tcW w:w="835" w:type="dxa"/>
                  <w:vAlign w:val="center"/>
                </w:tcPr>
                <w:p w14:paraId="10CF0086">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1.308</w:t>
                  </w:r>
                </w:p>
              </w:tc>
              <w:tc>
                <w:tcPr>
                  <w:tcW w:w="1246" w:type="dxa"/>
                  <w:vAlign w:val="center"/>
                </w:tcPr>
                <w:p w14:paraId="7053DC62">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w:t>
                  </w:r>
                  <w:r>
                    <w:rPr>
                      <w:rFonts w:ascii="Times New Roman" w:hAnsi="Times New Roman" w:eastAsia="宋体" w:cs="Times New Roman"/>
                      <w:bCs/>
                      <w:color w:val="000000" w:themeColor="text1"/>
                      <w:szCs w:val="21"/>
                      <w14:textFill>
                        <w14:solidFill>
                          <w14:schemeClr w14:val="tx1"/>
                        </w14:solidFill>
                      </w14:textFill>
                    </w:rPr>
                    <w:t>.308</w:t>
                  </w:r>
                </w:p>
              </w:tc>
              <w:tc>
                <w:tcPr>
                  <w:tcW w:w="794" w:type="dxa"/>
                  <w:vAlign w:val="center"/>
                </w:tcPr>
                <w:p w14:paraId="5C3A9549">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4B0F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4FA3FB21">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60E5F4FB">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70F432C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废布袋</w:t>
                  </w:r>
                </w:p>
              </w:tc>
              <w:tc>
                <w:tcPr>
                  <w:tcW w:w="698" w:type="dxa"/>
                  <w:vAlign w:val="center"/>
                </w:tcPr>
                <w:p w14:paraId="634CBDDA">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w:t>
                  </w:r>
                  <w:r>
                    <w:rPr>
                      <w:rFonts w:hint="eastAsia" w:ascii="Times New Roman" w:hAnsi="Times New Roman" w:eastAsia="宋体" w:cs="Times New Roman"/>
                      <w:bCs/>
                      <w:color w:val="000000" w:themeColor="text1"/>
                      <w:szCs w:val="21"/>
                      <w:lang w:val="en-US" w:eastAsia="zh-CN"/>
                      <w14:textFill>
                        <w14:solidFill>
                          <w14:schemeClr w14:val="tx1"/>
                        </w14:solidFill>
                      </w14:textFill>
                    </w:rPr>
                    <w:t>.01</w:t>
                  </w:r>
                </w:p>
              </w:tc>
              <w:tc>
                <w:tcPr>
                  <w:tcW w:w="1108" w:type="dxa"/>
                  <w:vAlign w:val="center"/>
                </w:tcPr>
                <w:p w14:paraId="121C5201">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.01</w:t>
                  </w:r>
                </w:p>
              </w:tc>
              <w:tc>
                <w:tcPr>
                  <w:tcW w:w="835" w:type="dxa"/>
                  <w:vAlign w:val="center"/>
                </w:tcPr>
                <w:p w14:paraId="6382A2DD">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0.01</w:t>
                  </w:r>
                </w:p>
              </w:tc>
              <w:tc>
                <w:tcPr>
                  <w:tcW w:w="1246" w:type="dxa"/>
                  <w:vAlign w:val="center"/>
                </w:tcPr>
                <w:p w14:paraId="25AEE276">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1.01</w:t>
                  </w:r>
                </w:p>
              </w:tc>
              <w:tc>
                <w:tcPr>
                  <w:tcW w:w="794" w:type="dxa"/>
                  <w:vAlign w:val="center"/>
                </w:tcPr>
                <w:p w14:paraId="41328B1B">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5B69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261CA26E">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33902144">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3B58F63C">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熔炉渣</w:t>
                  </w:r>
                </w:p>
              </w:tc>
              <w:tc>
                <w:tcPr>
                  <w:tcW w:w="698" w:type="dxa"/>
                  <w:vAlign w:val="center"/>
                </w:tcPr>
                <w:p w14:paraId="5EEB2F0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3</w:t>
                  </w:r>
                  <w:r>
                    <w:rPr>
                      <w:rFonts w:ascii="Times New Roman" w:hAnsi="Times New Roman" w:eastAsia="宋体" w:cs="Times New Roman"/>
                      <w:bCs/>
                      <w:color w:val="000000" w:themeColor="text1"/>
                      <w:szCs w:val="21"/>
                      <w14:textFill>
                        <w14:solidFill>
                          <w14:schemeClr w14:val="tx1"/>
                        </w14:solidFill>
                      </w14:textFill>
                    </w:rPr>
                    <w:t>000</w:t>
                  </w:r>
                </w:p>
              </w:tc>
              <w:tc>
                <w:tcPr>
                  <w:tcW w:w="1108" w:type="dxa"/>
                  <w:vAlign w:val="center"/>
                </w:tcPr>
                <w:p w14:paraId="7F788B4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p>
              </w:tc>
              <w:tc>
                <w:tcPr>
                  <w:tcW w:w="835" w:type="dxa"/>
                  <w:vAlign w:val="center"/>
                </w:tcPr>
                <w:p w14:paraId="4E839A7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p>
              </w:tc>
              <w:tc>
                <w:tcPr>
                  <w:tcW w:w="1246" w:type="dxa"/>
                  <w:vAlign w:val="center"/>
                </w:tcPr>
                <w:p w14:paraId="29CA0E04">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3000</w:t>
                  </w:r>
                </w:p>
              </w:tc>
              <w:tc>
                <w:tcPr>
                  <w:tcW w:w="794" w:type="dxa"/>
                  <w:vAlign w:val="center"/>
                </w:tcPr>
                <w:p w14:paraId="4788852C">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p>
              </w:tc>
            </w:tr>
            <w:tr w14:paraId="5617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0238F7C7">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5E8646E9">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605B4CA2">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废砂轮</w:t>
                  </w:r>
                </w:p>
              </w:tc>
              <w:tc>
                <w:tcPr>
                  <w:tcW w:w="698" w:type="dxa"/>
                  <w:vAlign w:val="center"/>
                </w:tcPr>
                <w:p w14:paraId="2997DA9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w:t>
                  </w:r>
                  <w:r>
                    <w:rPr>
                      <w:rFonts w:ascii="Times New Roman" w:hAnsi="Times New Roman" w:eastAsia="宋体" w:cs="Times New Roman"/>
                      <w:bCs/>
                      <w:color w:val="000000" w:themeColor="text1"/>
                      <w:szCs w:val="21"/>
                      <w14:textFill>
                        <w14:solidFill>
                          <w14:schemeClr w14:val="tx1"/>
                        </w14:solidFill>
                      </w14:textFill>
                    </w:rPr>
                    <w:t>.5</w:t>
                  </w:r>
                </w:p>
              </w:tc>
              <w:tc>
                <w:tcPr>
                  <w:tcW w:w="1108" w:type="dxa"/>
                  <w:vAlign w:val="center"/>
                </w:tcPr>
                <w:p w14:paraId="41A9905F">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p>
              </w:tc>
              <w:tc>
                <w:tcPr>
                  <w:tcW w:w="835" w:type="dxa"/>
                  <w:vAlign w:val="center"/>
                </w:tcPr>
                <w:p w14:paraId="21146B3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p>
              </w:tc>
              <w:tc>
                <w:tcPr>
                  <w:tcW w:w="1246" w:type="dxa"/>
                  <w:vAlign w:val="center"/>
                </w:tcPr>
                <w:p w14:paraId="276233F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w:t>
                  </w:r>
                  <w:r>
                    <w:rPr>
                      <w:rFonts w:ascii="Times New Roman" w:hAnsi="Times New Roman" w:eastAsia="宋体" w:cs="Times New Roman"/>
                      <w:bCs/>
                      <w:color w:val="000000" w:themeColor="text1"/>
                      <w:szCs w:val="21"/>
                      <w14:textFill>
                        <w14:solidFill>
                          <w14:schemeClr w14:val="tx1"/>
                        </w14:solidFill>
                      </w14:textFill>
                    </w:rPr>
                    <w:t>.5</w:t>
                  </w:r>
                </w:p>
              </w:tc>
              <w:tc>
                <w:tcPr>
                  <w:tcW w:w="794" w:type="dxa"/>
                  <w:vAlign w:val="center"/>
                </w:tcPr>
                <w:p w14:paraId="7D703E6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p>
              </w:tc>
            </w:tr>
            <w:tr w14:paraId="3B28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6E40C33B">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458EAB1D">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0D475AF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废砂</w:t>
                  </w:r>
                </w:p>
              </w:tc>
              <w:tc>
                <w:tcPr>
                  <w:tcW w:w="698" w:type="dxa"/>
                  <w:vAlign w:val="center"/>
                </w:tcPr>
                <w:p w14:paraId="057990FF">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w:t>
                  </w:r>
                  <w:r>
                    <w:rPr>
                      <w:rFonts w:ascii="Times New Roman" w:hAnsi="Times New Roman" w:eastAsia="宋体" w:cs="Times New Roman"/>
                      <w:bCs/>
                      <w:color w:val="000000" w:themeColor="text1"/>
                      <w:szCs w:val="21"/>
                      <w14:textFill>
                        <w14:solidFill>
                          <w14:schemeClr w14:val="tx1"/>
                        </w14:solidFill>
                      </w14:textFill>
                    </w:rPr>
                    <w:t>0</w:t>
                  </w:r>
                </w:p>
              </w:tc>
              <w:tc>
                <w:tcPr>
                  <w:tcW w:w="1108" w:type="dxa"/>
                  <w:vAlign w:val="center"/>
                </w:tcPr>
                <w:p w14:paraId="23BC4341">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p>
              </w:tc>
              <w:tc>
                <w:tcPr>
                  <w:tcW w:w="835" w:type="dxa"/>
                  <w:vAlign w:val="center"/>
                </w:tcPr>
                <w:p w14:paraId="086CEC6F">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p>
              </w:tc>
              <w:tc>
                <w:tcPr>
                  <w:tcW w:w="1246" w:type="dxa"/>
                  <w:vAlign w:val="center"/>
                </w:tcPr>
                <w:p w14:paraId="55B70D4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w:t>
                  </w:r>
                  <w:r>
                    <w:rPr>
                      <w:rFonts w:ascii="Times New Roman" w:hAnsi="Times New Roman" w:eastAsia="宋体" w:cs="Times New Roman"/>
                      <w:bCs/>
                      <w:color w:val="000000" w:themeColor="text1"/>
                      <w:szCs w:val="21"/>
                      <w14:textFill>
                        <w14:solidFill>
                          <w14:schemeClr w14:val="tx1"/>
                        </w14:solidFill>
                      </w14:textFill>
                    </w:rPr>
                    <w:t>0</w:t>
                  </w:r>
                </w:p>
              </w:tc>
              <w:tc>
                <w:tcPr>
                  <w:tcW w:w="794" w:type="dxa"/>
                  <w:vAlign w:val="center"/>
                </w:tcPr>
                <w:p w14:paraId="6A863EE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p>
              </w:tc>
            </w:tr>
            <w:tr w14:paraId="52C1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0ABCF071">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0D60D7ED">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57484D6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一般废包装材料</w:t>
                  </w:r>
                </w:p>
              </w:tc>
              <w:tc>
                <w:tcPr>
                  <w:tcW w:w="698" w:type="dxa"/>
                  <w:vAlign w:val="center"/>
                </w:tcPr>
                <w:p w14:paraId="0BCE4C00">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7.377</w:t>
                  </w:r>
                </w:p>
              </w:tc>
              <w:tc>
                <w:tcPr>
                  <w:tcW w:w="1108" w:type="dxa"/>
                  <w:vAlign w:val="center"/>
                </w:tcPr>
                <w:p w14:paraId="04465ED7">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7.377</w:t>
                  </w:r>
                </w:p>
              </w:tc>
              <w:tc>
                <w:tcPr>
                  <w:tcW w:w="835" w:type="dxa"/>
                  <w:vAlign w:val="center"/>
                </w:tcPr>
                <w:p w14:paraId="1AB1127C">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7.377</w:t>
                  </w:r>
                </w:p>
              </w:tc>
              <w:tc>
                <w:tcPr>
                  <w:tcW w:w="1246" w:type="dxa"/>
                  <w:vAlign w:val="center"/>
                </w:tcPr>
                <w:p w14:paraId="161ED14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7</w:t>
                  </w:r>
                  <w:r>
                    <w:rPr>
                      <w:rFonts w:ascii="Times New Roman" w:hAnsi="Times New Roman" w:eastAsia="宋体" w:cs="Times New Roman"/>
                      <w:bCs/>
                      <w:color w:val="000000" w:themeColor="text1"/>
                      <w:szCs w:val="21"/>
                      <w14:textFill>
                        <w14:solidFill>
                          <w14:schemeClr w14:val="tx1"/>
                        </w14:solidFill>
                      </w14:textFill>
                    </w:rPr>
                    <w:t>.377</w:t>
                  </w:r>
                </w:p>
              </w:tc>
              <w:tc>
                <w:tcPr>
                  <w:tcW w:w="794" w:type="dxa"/>
                  <w:vAlign w:val="center"/>
                </w:tcPr>
                <w:p w14:paraId="374E528D">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1F05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6DA0B4C5">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restart"/>
                  <w:vAlign w:val="center"/>
                </w:tcPr>
                <w:p w14:paraId="4943CAD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危险废物</w:t>
                  </w:r>
                </w:p>
              </w:tc>
              <w:tc>
                <w:tcPr>
                  <w:tcW w:w="1382" w:type="dxa"/>
                  <w:vAlign w:val="center"/>
                </w:tcPr>
                <w:p w14:paraId="48C8D1C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废机油</w:t>
                  </w:r>
                </w:p>
              </w:tc>
              <w:tc>
                <w:tcPr>
                  <w:tcW w:w="698" w:type="dxa"/>
                  <w:vAlign w:val="center"/>
                </w:tcPr>
                <w:p w14:paraId="5B257472">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4</w:t>
                  </w:r>
                </w:p>
              </w:tc>
              <w:tc>
                <w:tcPr>
                  <w:tcW w:w="1108" w:type="dxa"/>
                  <w:vAlign w:val="center"/>
                </w:tcPr>
                <w:p w14:paraId="46F1247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.02</w:t>
                  </w:r>
                </w:p>
              </w:tc>
              <w:tc>
                <w:tcPr>
                  <w:tcW w:w="835" w:type="dxa"/>
                  <w:vAlign w:val="center"/>
                </w:tcPr>
                <w:p w14:paraId="2C11988B">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.02</w:t>
                  </w:r>
                </w:p>
              </w:tc>
              <w:tc>
                <w:tcPr>
                  <w:tcW w:w="1246" w:type="dxa"/>
                  <w:vAlign w:val="center"/>
                </w:tcPr>
                <w:p w14:paraId="3A15CAC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04</w:t>
                  </w:r>
                </w:p>
              </w:tc>
              <w:tc>
                <w:tcPr>
                  <w:tcW w:w="794" w:type="dxa"/>
                  <w:vAlign w:val="center"/>
                </w:tcPr>
                <w:p w14:paraId="71107281">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2AD4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37BCA0BD">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5A6F3CFD">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788396F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危险废包装材料</w:t>
                  </w:r>
                </w:p>
              </w:tc>
              <w:tc>
                <w:tcPr>
                  <w:tcW w:w="698" w:type="dxa"/>
                  <w:vAlign w:val="center"/>
                </w:tcPr>
                <w:p w14:paraId="6B427E01">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.274</w:t>
                  </w:r>
                </w:p>
              </w:tc>
              <w:tc>
                <w:tcPr>
                  <w:tcW w:w="1108" w:type="dxa"/>
                  <w:vAlign w:val="center"/>
                </w:tcPr>
                <w:p w14:paraId="70E8E046">
                  <w:pPr>
                    <w:jc w:val="center"/>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eastAsia" w:ascii="Times New Roman" w:hAnsi="Times New Roman" w:eastAsia="宋体" w:cs="Times New Roman"/>
                      <w:bCs/>
                      <w:color w:val="000000" w:themeColor="text1"/>
                      <w:szCs w:val="21"/>
                      <w:lang w:eastAsia="zh-CN"/>
                      <w14:textFill>
                        <w14:solidFill>
                          <w14:schemeClr w14:val="tx1"/>
                        </w14:solidFill>
                      </w14:textFill>
                    </w:rPr>
                    <w:t>0.174</w:t>
                  </w:r>
                </w:p>
              </w:tc>
              <w:tc>
                <w:tcPr>
                  <w:tcW w:w="835" w:type="dxa"/>
                  <w:vAlign w:val="center"/>
                </w:tcPr>
                <w:p w14:paraId="30F0DDA2">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0.174</w:t>
                  </w:r>
                </w:p>
              </w:tc>
              <w:tc>
                <w:tcPr>
                  <w:tcW w:w="1246" w:type="dxa"/>
                  <w:vAlign w:val="center"/>
                </w:tcPr>
                <w:p w14:paraId="2373619A">
                  <w:pPr>
                    <w:jc w:val="center"/>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eastAsia" w:ascii="Times New Roman" w:hAnsi="Times New Roman" w:eastAsia="宋体" w:cs="Times New Roman"/>
                      <w:bCs/>
                      <w:color w:val="000000" w:themeColor="text1"/>
                      <w:szCs w:val="21"/>
                      <w:lang w:eastAsia="zh-CN"/>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2</w:t>
                  </w:r>
                  <w:r>
                    <w:rPr>
                      <w:rFonts w:hint="eastAsia" w:ascii="Times New Roman" w:hAnsi="Times New Roman" w:eastAsia="宋体" w:cs="Times New Roman"/>
                      <w:bCs/>
                      <w:color w:val="000000" w:themeColor="text1"/>
                      <w:szCs w:val="21"/>
                      <w:lang w:eastAsia="zh-CN"/>
                      <w14:textFill>
                        <w14:solidFill>
                          <w14:schemeClr w14:val="tx1"/>
                        </w14:solidFill>
                      </w14:textFill>
                    </w:rPr>
                    <w:t>74</w:t>
                  </w:r>
                </w:p>
              </w:tc>
              <w:tc>
                <w:tcPr>
                  <w:tcW w:w="794" w:type="dxa"/>
                  <w:vAlign w:val="center"/>
                </w:tcPr>
                <w:p w14:paraId="1C740AF1">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4EFEE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43AE0EE7">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5BD8F359">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2CFC8FF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废含油抹布及手套</w:t>
                  </w:r>
                </w:p>
              </w:tc>
              <w:tc>
                <w:tcPr>
                  <w:tcW w:w="698" w:type="dxa"/>
                  <w:vAlign w:val="center"/>
                </w:tcPr>
                <w:p w14:paraId="702C19D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.02</w:t>
                  </w:r>
                </w:p>
              </w:tc>
              <w:tc>
                <w:tcPr>
                  <w:tcW w:w="1108" w:type="dxa"/>
                  <w:vAlign w:val="center"/>
                </w:tcPr>
                <w:p w14:paraId="66E8843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.02</w:t>
                  </w:r>
                </w:p>
              </w:tc>
              <w:tc>
                <w:tcPr>
                  <w:tcW w:w="835" w:type="dxa"/>
                  <w:vAlign w:val="center"/>
                </w:tcPr>
                <w:p w14:paraId="0125A294">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0.02</w:t>
                  </w:r>
                </w:p>
              </w:tc>
              <w:tc>
                <w:tcPr>
                  <w:tcW w:w="1246" w:type="dxa"/>
                  <w:vAlign w:val="center"/>
                </w:tcPr>
                <w:p w14:paraId="1BDAC4C3">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2</w:t>
                  </w:r>
                </w:p>
              </w:tc>
              <w:tc>
                <w:tcPr>
                  <w:tcW w:w="794" w:type="dxa"/>
                  <w:vAlign w:val="center"/>
                </w:tcPr>
                <w:p w14:paraId="32BB1AC6">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4065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246A59B7">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1F00746F">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6F7F8D9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w:t>
                  </w:r>
                  <w:r>
                    <w:rPr>
                      <w:rFonts w:ascii="Times New Roman" w:hAnsi="Times New Roman" w:eastAsia="宋体" w:cs="Times New Roman"/>
                      <w:bCs/>
                      <w:color w:val="000000" w:themeColor="text1"/>
                      <w:szCs w:val="21"/>
                      <w14:textFill>
                        <w14:solidFill>
                          <w14:schemeClr w14:val="tx1"/>
                        </w14:solidFill>
                      </w14:textFill>
                    </w:rPr>
                    <w:t>切削液</w:t>
                  </w:r>
                </w:p>
              </w:tc>
              <w:tc>
                <w:tcPr>
                  <w:tcW w:w="698" w:type="dxa"/>
                  <w:vAlign w:val="center"/>
                </w:tcPr>
                <w:p w14:paraId="0B675D02">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2</w:t>
                  </w:r>
                </w:p>
              </w:tc>
              <w:tc>
                <w:tcPr>
                  <w:tcW w:w="1108" w:type="dxa"/>
                  <w:vAlign w:val="center"/>
                </w:tcPr>
                <w:p w14:paraId="1767BB1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w:t>
                  </w:r>
                </w:p>
              </w:tc>
              <w:tc>
                <w:tcPr>
                  <w:tcW w:w="835" w:type="dxa"/>
                  <w:vAlign w:val="center"/>
                </w:tcPr>
                <w:p w14:paraId="018239E1">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2</w:t>
                  </w:r>
                </w:p>
              </w:tc>
              <w:tc>
                <w:tcPr>
                  <w:tcW w:w="1246" w:type="dxa"/>
                  <w:vAlign w:val="center"/>
                </w:tcPr>
                <w:p w14:paraId="7BF32741">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w:t>
                  </w:r>
                </w:p>
              </w:tc>
              <w:tc>
                <w:tcPr>
                  <w:tcW w:w="794" w:type="dxa"/>
                  <w:vAlign w:val="center"/>
                </w:tcPr>
                <w:p w14:paraId="3A35E37F">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3ED17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0C2CF3D2">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33928473">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16EFFC5B">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废切削</w:t>
                  </w:r>
                  <w:r>
                    <w:rPr>
                      <w:rFonts w:ascii="Times New Roman" w:hAnsi="Times New Roman" w:eastAsia="宋体" w:cs="Times New Roman"/>
                      <w:bCs/>
                      <w:color w:val="000000" w:themeColor="text1"/>
                      <w:szCs w:val="21"/>
                      <w14:textFill>
                        <w14:solidFill>
                          <w14:schemeClr w14:val="tx1"/>
                        </w14:solidFill>
                      </w14:textFill>
                    </w:rPr>
                    <w:t>液包装桶</w:t>
                  </w:r>
                </w:p>
              </w:tc>
              <w:tc>
                <w:tcPr>
                  <w:tcW w:w="698" w:type="dxa"/>
                  <w:vAlign w:val="center"/>
                </w:tcPr>
                <w:p w14:paraId="0FB0FAF7">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.04</w:t>
                  </w:r>
                </w:p>
              </w:tc>
              <w:tc>
                <w:tcPr>
                  <w:tcW w:w="1108" w:type="dxa"/>
                  <w:vAlign w:val="center"/>
                </w:tcPr>
                <w:p w14:paraId="1398894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.04</w:t>
                  </w:r>
                </w:p>
              </w:tc>
              <w:tc>
                <w:tcPr>
                  <w:tcW w:w="835" w:type="dxa"/>
                  <w:vAlign w:val="center"/>
                </w:tcPr>
                <w:p w14:paraId="5DD767CC">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.04</w:t>
                  </w:r>
                </w:p>
              </w:tc>
              <w:tc>
                <w:tcPr>
                  <w:tcW w:w="1246" w:type="dxa"/>
                  <w:vAlign w:val="center"/>
                </w:tcPr>
                <w:p w14:paraId="2BB5D261">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.04</w:t>
                  </w:r>
                </w:p>
              </w:tc>
              <w:tc>
                <w:tcPr>
                  <w:tcW w:w="794" w:type="dxa"/>
                  <w:vAlign w:val="center"/>
                </w:tcPr>
                <w:p w14:paraId="7954A1D6">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1872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05C229FB">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04D13E94">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6A5A76A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w:t>
                  </w:r>
                  <w:r>
                    <w:rPr>
                      <w:rFonts w:ascii="Times New Roman" w:hAnsi="Times New Roman" w:eastAsia="宋体" w:cs="Times New Roman"/>
                      <w:bCs/>
                      <w:color w:val="000000" w:themeColor="text1"/>
                      <w:szCs w:val="21"/>
                      <w14:textFill>
                        <w14:solidFill>
                          <w14:schemeClr w14:val="tx1"/>
                        </w14:solidFill>
                      </w14:textFill>
                    </w:rPr>
                    <w:t>金属边角料</w:t>
                  </w:r>
                </w:p>
              </w:tc>
              <w:tc>
                <w:tcPr>
                  <w:tcW w:w="698" w:type="dxa"/>
                  <w:vAlign w:val="center"/>
                </w:tcPr>
                <w:p w14:paraId="2B87AC8E">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2</w:t>
                  </w:r>
                </w:p>
              </w:tc>
              <w:tc>
                <w:tcPr>
                  <w:tcW w:w="1108" w:type="dxa"/>
                  <w:vAlign w:val="center"/>
                </w:tcPr>
                <w:p w14:paraId="0EF3980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w:t>
                  </w:r>
                </w:p>
              </w:tc>
              <w:tc>
                <w:tcPr>
                  <w:tcW w:w="835" w:type="dxa"/>
                  <w:vAlign w:val="center"/>
                </w:tcPr>
                <w:p w14:paraId="321C3995">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2</w:t>
                  </w:r>
                </w:p>
              </w:tc>
              <w:tc>
                <w:tcPr>
                  <w:tcW w:w="1246" w:type="dxa"/>
                  <w:vAlign w:val="center"/>
                </w:tcPr>
                <w:p w14:paraId="7FD9D85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w:t>
                  </w:r>
                </w:p>
              </w:tc>
              <w:tc>
                <w:tcPr>
                  <w:tcW w:w="794" w:type="dxa"/>
                  <w:vAlign w:val="center"/>
                </w:tcPr>
                <w:p w14:paraId="634CE821">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6A43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4CAF49D8">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7BB0B909">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45B778B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含</w:t>
                  </w:r>
                  <w:r>
                    <w:rPr>
                      <w:rFonts w:ascii="Times New Roman" w:hAnsi="Times New Roman" w:eastAsia="宋体" w:cs="Times New Roman"/>
                      <w:bCs/>
                      <w:color w:val="000000" w:themeColor="text1"/>
                      <w:szCs w:val="21"/>
                      <w14:textFill>
                        <w14:solidFill>
                          <w14:schemeClr w14:val="tx1"/>
                        </w14:solidFill>
                      </w14:textFill>
                    </w:rPr>
                    <w:t>漆抹布及手套</w:t>
                  </w:r>
                </w:p>
              </w:tc>
              <w:tc>
                <w:tcPr>
                  <w:tcW w:w="698" w:type="dxa"/>
                  <w:vAlign w:val="center"/>
                </w:tcPr>
                <w:p w14:paraId="2A9FEF36">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.02</w:t>
                  </w:r>
                </w:p>
              </w:tc>
              <w:tc>
                <w:tcPr>
                  <w:tcW w:w="1108" w:type="dxa"/>
                  <w:vAlign w:val="center"/>
                </w:tcPr>
                <w:p w14:paraId="54A8AA75">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.02</w:t>
                  </w:r>
                </w:p>
              </w:tc>
              <w:tc>
                <w:tcPr>
                  <w:tcW w:w="835" w:type="dxa"/>
                  <w:vAlign w:val="center"/>
                </w:tcPr>
                <w:p w14:paraId="65A01B0D">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0.02</w:t>
                  </w:r>
                </w:p>
              </w:tc>
              <w:tc>
                <w:tcPr>
                  <w:tcW w:w="1246" w:type="dxa"/>
                  <w:vAlign w:val="center"/>
                </w:tcPr>
                <w:p w14:paraId="4A3AA5A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.02</w:t>
                  </w:r>
                </w:p>
              </w:tc>
              <w:tc>
                <w:tcPr>
                  <w:tcW w:w="794" w:type="dxa"/>
                  <w:vAlign w:val="center"/>
                </w:tcPr>
                <w:p w14:paraId="46F2C386">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494D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47C910C9">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0795D214">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19A901B0">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废</w:t>
                  </w:r>
                  <w:r>
                    <w:rPr>
                      <w:rFonts w:ascii="Times New Roman" w:hAnsi="Times New Roman" w:eastAsia="宋体" w:cs="Times New Roman"/>
                      <w:bCs/>
                      <w:color w:val="000000" w:themeColor="text1"/>
                      <w:szCs w:val="21"/>
                      <w14:textFill>
                        <w14:solidFill>
                          <w14:schemeClr w14:val="tx1"/>
                        </w14:solidFill>
                      </w14:textFill>
                    </w:rPr>
                    <w:t>干式过滤棉</w:t>
                  </w:r>
                  <w:r>
                    <w:rPr>
                      <w:rFonts w:hint="eastAsia" w:ascii="Times New Roman" w:hAnsi="Times New Roman" w:eastAsia="宋体" w:cs="Times New Roman"/>
                      <w:bCs/>
                      <w:color w:val="000000" w:themeColor="text1"/>
                      <w:szCs w:val="21"/>
                      <w:lang w:val="en-US" w:eastAsia="zh-CN"/>
                      <w14:textFill>
                        <w14:solidFill>
                          <w14:schemeClr w14:val="tx1"/>
                        </w14:solidFill>
                      </w14:textFill>
                    </w:rPr>
                    <w:t>及漆渣</w:t>
                  </w:r>
                </w:p>
              </w:tc>
              <w:tc>
                <w:tcPr>
                  <w:tcW w:w="698" w:type="dxa"/>
                  <w:vAlign w:val="center"/>
                </w:tcPr>
                <w:p w14:paraId="03B28E2A">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.533</w:t>
                  </w:r>
                </w:p>
              </w:tc>
              <w:tc>
                <w:tcPr>
                  <w:tcW w:w="1108" w:type="dxa"/>
                  <w:vAlign w:val="center"/>
                </w:tcPr>
                <w:p w14:paraId="740490D6">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.5</w:t>
                  </w:r>
                  <w:r>
                    <w:rPr>
                      <w:rFonts w:hint="eastAsia" w:ascii="Times New Roman" w:hAnsi="Times New Roman" w:eastAsia="宋体" w:cs="Times New Roman"/>
                      <w:bCs/>
                      <w:color w:val="000000" w:themeColor="text1"/>
                      <w:szCs w:val="21"/>
                      <w:lang w:val="en-US" w:eastAsia="zh-CN"/>
                      <w14:textFill>
                        <w14:solidFill>
                          <w14:schemeClr w14:val="tx1"/>
                        </w14:solidFill>
                      </w14:textFill>
                    </w:rPr>
                    <w:t>33</w:t>
                  </w:r>
                </w:p>
              </w:tc>
              <w:tc>
                <w:tcPr>
                  <w:tcW w:w="835" w:type="dxa"/>
                  <w:vAlign w:val="center"/>
                </w:tcPr>
                <w:p w14:paraId="6E3548B1">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.533</w:t>
                  </w:r>
                </w:p>
              </w:tc>
              <w:tc>
                <w:tcPr>
                  <w:tcW w:w="1246" w:type="dxa"/>
                  <w:vAlign w:val="center"/>
                </w:tcPr>
                <w:p w14:paraId="0D329E52">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.5</w:t>
                  </w:r>
                  <w:r>
                    <w:rPr>
                      <w:rFonts w:hint="eastAsia" w:ascii="Times New Roman" w:hAnsi="Times New Roman" w:eastAsia="宋体" w:cs="Times New Roman"/>
                      <w:bCs/>
                      <w:color w:val="000000" w:themeColor="text1"/>
                      <w:szCs w:val="21"/>
                      <w:lang w:val="en-US" w:eastAsia="zh-CN"/>
                      <w14:textFill>
                        <w14:solidFill>
                          <w14:schemeClr w14:val="tx1"/>
                        </w14:solidFill>
                      </w14:textFill>
                    </w:rPr>
                    <w:t>33</w:t>
                  </w:r>
                </w:p>
              </w:tc>
              <w:tc>
                <w:tcPr>
                  <w:tcW w:w="794" w:type="dxa"/>
                  <w:vAlign w:val="center"/>
                </w:tcPr>
                <w:p w14:paraId="69F0788B">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07CC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36B52A37">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5F214583">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1A74A20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清洗</w:t>
                  </w:r>
                  <w:r>
                    <w:rPr>
                      <w:rFonts w:ascii="Times New Roman" w:hAnsi="Times New Roman" w:eastAsia="宋体" w:cs="Times New Roman"/>
                      <w:bCs/>
                      <w:color w:val="000000" w:themeColor="text1"/>
                      <w:szCs w:val="21"/>
                      <w14:textFill>
                        <w14:solidFill>
                          <w14:schemeClr w14:val="tx1"/>
                        </w14:solidFill>
                      </w14:textFill>
                    </w:rPr>
                    <w:t>废液</w:t>
                  </w:r>
                </w:p>
              </w:tc>
              <w:tc>
                <w:tcPr>
                  <w:tcW w:w="698" w:type="dxa"/>
                  <w:vAlign w:val="center"/>
                </w:tcPr>
                <w:p w14:paraId="07780464">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0.101</w:t>
                  </w:r>
                </w:p>
              </w:tc>
              <w:tc>
                <w:tcPr>
                  <w:tcW w:w="1108" w:type="dxa"/>
                  <w:vAlign w:val="center"/>
                </w:tcPr>
                <w:p w14:paraId="224D25C1">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w:t>
                  </w:r>
                  <w:r>
                    <w:rPr>
                      <w:rFonts w:hint="eastAsia" w:ascii="Times New Roman" w:hAnsi="Times New Roman" w:eastAsia="宋体" w:cs="Times New Roman"/>
                      <w:bCs/>
                      <w:color w:val="000000" w:themeColor="text1"/>
                      <w:szCs w:val="21"/>
                      <w:lang w:val="en-US" w:eastAsia="zh-CN"/>
                      <w14:textFill>
                        <w14:solidFill>
                          <w14:schemeClr w14:val="tx1"/>
                        </w14:solidFill>
                      </w14:textFill>
                    </w:rPr>
                    <w:t>101</w:t>
                  </w:r>
                </w:p>
              </w:tc>
              <w:tc>
                <w:tcPr>
                  <w:tcW w:w="835" w:type="dxa"/>
                  <w:vAlign w:val="center"/>
                </w:tcPr>
                <w:p w14:paraId="04AE2426">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0.101</w:t>
                  </w:r>
                </w:p>
              </w:tc>
              <w:tc>
                <w:tcPr>
                  <w:tcW w:w="1246" w:type="dxa"/>
                  <w:vAlign w:val="center"/>
                </w:tcPr>
                <w:p w14:paraId="27AD80C6">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r>
                    <w:rPr>
                      <w:rFonts w:ascii="Times New Roman" w:hAnsi="Times New Roman" w:eastAsia="宋体" w:cs="Times New Roman"/>
                      <w:bCs/>
                      <w:color w:val="000000" w:themeColor="text1"/>
                      <w:szCs w:val="21"/>
                      <w14:textFill>
                        <w14:solidFill>
                          <w14:schemeClr w14:val="tx1"/>
                        </w14:solidFill>
                      </w14:textFill>
                    </w:rPr>
                    <w:t>.</w:t>
                  </w:r>
                  <w:r>
                    <w:rPr>
                      <w:rFonts w:hint="eastAsia" w:ascii="Times New Roman" w:hAnsi="Times New Roman" w:eastAsia="宋体" w:cs="Times New Roman"/>
                      <w:bCs/>
                      <w:color w:val="000000" w:themeColor="text1"/>
                      <w:szCs w:val="21"/>
                      <w:lang w:val="en-US" w:eastAsia="zh-CN"/>
                      <w14:textFill>
                        <w14:solidFill>
                          <w14:schemeClr w14:val="tx1"/>
                        </w14:solidFill>
                      </w14:textFill>
                    </w:rPr>
                    <w:t>101</w:t>
                  </w:r>
                </w:p>
              </w:tc>
              <w:tc>
                <w:tcPr>
                  <w:tcW w:w="794" w:type="dxa"/>
                  <w:vAlign w:val="center"/>
                </w:tcPr>
                <w:p w14:paraId="463203E5">
                  <w:pPr>
                    <w:jc w:val="center"/>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727E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345646A8">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172634F2">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36C3B4AE">
                  <w:pPr>
                    <w:jc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color w:val="000000" w:themeColor="text1"/>
                      <w:lang w:val="en-US" w:eastAsia="zh-CN"/>
                      <w14:textFill>
                        <w14:solidFill>
                          <w14:schemeClr w14:val="tx1"/>
                        </w14:solidFill>
                      </w14:textFill>
                    </w:rPr>
                    <w:t>喷淋废液及沉渣</w:t>
                  </w:r>
                </w:p>
              </w:tc>
              <w:tc>
                <w:tcPr>
                  <w:tcW w:w="698" w:type="dxa"/>
                  <w:vAlign w:val="center"/>
                </w:tcPr>
                <w:p w14:paraId="2D06E661">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65.066</w:t>
                  </w:r>
                </w:p>
              </w:tc>
              <w:tc>
                <w:tcPr>
                  <w:tcW w:w="1108" w:type="dxa"/>
                  <w:vAlign w:val="center"/>
                </w:tcPr>
                <w:p w14:paraId="449DD541">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65.066</w:t>
                  </w:r>
                </w:p>
              </w:tc>
              <w:tc>
                <w:tcPr>
                  <w:tcW w:w="835" w:type="dxa"/>
                  <w:vAlign w:val="center"/>
                </w:tcPr>
                <w:p w14:paraId="48D374BD">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65.066</w:t>
                  </w:r>
                </w:p>
              </w:tc>
              <w:tc>
                <w:tcPr>
                  <w:tcW w:w="1246" w:type="dxa"/>
                  <w:vAlign w:val="center"/>
                </w:tcPr>
                <w:p w14:paraId="00AE5BBE">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65.066</w:t>
                  </w:r>
                </w:p>
              </w:tc>
              <w:tc>
                <w:tcPr>
                  <w:tcW w:w="794" w:type="dxa"/>
                  <w:vAlign w:val="center"/>
                </w:tcPr>
                <w:p w14:paraId="348C1AC9">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0</w:t>
                  </w:r>
                </w:p>
              </w:tc>
            </w:tr>
            <w:tr w14:paraId="1036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gridSpan w:val="2"/>
                  <w:vMerge w:val="continue"/>
                  <w:vAlign w:val="center"/>
                </w:tcPr>
                <w:p w14:paraId="6A58AC33">
                  <w:pPr>
                    <w:jc w:val="center"/>
                    <w:rPr>
                      <w:rFonts w:ascii="Times New Roman" w:hAnsi="Times New Roman" w:eastAsia="宋体" w:cs="Times New Roman"/>
                      <w:bCs/>
                      <w:color w:val="000000" w:themeColor="text1"/>
                      <w:szCs w:val="21"/>
                      <w14:textFill>
                        <w14:solidFill>
                          <w14:schemeClr w14:val="tx1"/>
                        </w14:solidFill>
                      </w14:textFill>
                    </w:rPr>
                  </w:pPr>
                </w:p>
              </w:tc>
              <w:tc>
                <w:tcPr>
                  <w:tcW w:w="870" w:type="dxa"/>
                  <w:vMerge w:val="continue"/>
                  <w:vAlign w:val="center"/>
                </w:tcPr>
                <w:p w14:paraId="1DD79A35">
                  <w:pPr>
                    <w:jc w:val="center"/>
                    <w:rPr>
                      <w:rFonts w:ascii="Times New Roman" w:hAnsi="Times New Roman" w:eastAsia="宋体" w:cs="Times New Roman"/>
                      <w:bCs/>
                      <w:color w:val="000000" w:themeColor="text1"/>
                      <w:szCs w:val="21"/>
                      <w14:textFill>
                        <w14:solidFill>
                          <w14:schemeClr w14:val="tx1"/>
                        </w14:solidFill>
                      </w14:textFill>
                    </w:rPr>
                  </w:pPr>
                </w:p>
              </w:tc>
              <w:tc>
                <w:tcPr>
                  <w:tcW w:w="1382" w:type="dxa"/>
                  <w:vAlign w:val="center"/>
                </w:tcPr>
                <w:p w14:paraId="544FF2D2">
                  <w:pPr>
                    <w:jc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color w:val="000000" w:themeColor="text1"/>
                      <w:lang w:val="en-US" w:eastAsia="zh-CN"/>
                      <w14:textFill>
                        <w14:solidFill>
                          <w14:schemeClr w14:val="tx1"/>
                        </w14:solidFill>
                      </w14:textFill>
                    </w:rPr>
                    <w:t>废活性炭</w:t>
                  </w:r>
                </w:p>
              </w:tc>
              <w:tc>
                <w:tcPr>
                  <w:tcW w:w="698" w:type="dxa"/>
                  <w:vAlign w:val="center"/>
                </w:tcPr>
                <w:p w14:paraId="351A063B">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6.867</w:t>
                  </w:r>
                </w:p>
              </w:tc>
              <w:tc>
                <w:tcPr>
                  <w:tcW w:w="1108" w:type="dxa"/>
                  <w:vAlign w:val="center"/>
                </w:tcPr>
                <w:p w14:paraId="7C1EB463">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18.26</w:t>
                  </w:r>
                </w:p>
              </w:tc>
              <w:tc>
                <w:tcPr>
                  <w:tcW w:w="835" w:type="dxa"/>
                  <w:vAlign w:val="center"/>
                </w:tcPr>
                <w:p w14:paraId="60C600F8">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6.386</w:t>
                  </w:r>
                </w:p>
              </w:tc>
              <w:tc>
                <w:tcPr>
                  <w:tcW w:w="1246" w:type="dxa"/>
                  <w:vAlign w:val="center"/>
                </w:tcPr>
                <w:p w14:paraId="39503098">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18.26</w:t>
                  </w:r>
                </w:p>
              </w:tc>
              <w:tc>
                <w:tcPr>
                  <w:tcW w:w="794" w:type="dxa"/>
                  <w:vAlign w:val="center"/>
                </w:tcPr>
                <w:p w14:paraId="61E5D75C">
                  <w:pPr>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+11.393</w:t>
                  </w:r>
                </w:p>
              </w:tc>
            </w:tr>
          </w:tbl>
          <w:p w14:paraId="784FF140">
            <w:pPr>
              <w:tabs>
                <w:tab w:val="left" w:pos="652"/>
              </w:tabs>
              <w:spacing w:line="360" w:lineRule="auto"/>
              <w:ind w:firstLine="480" w:firstLineChars="200"/>
              <w:jc w:val="left"/>
              <w:rPr>
                <w:rFonts w:hint="eastAsia" w:ascii="Times New Roman" w:hAnsi="Times New Roman" w:cs="Times New Roman"/>
                <w:color w:val="000000" w:themeColor="text1"/>
                <w:sz w:val="24"/>
                <w14:textFill>
                  <w14:solidFill>
                    <w14:schemeClr w14:val="tx1"/>
                  </w14:solidFill>
                </w14:textFill>
              </w:rPr>
            </w:pPr>
          </w:p>
        </w:tc>
      </w:tr>
    </w:tbl>
    <w:p w14:paraId="71F1EFB2">
      <w:pPr>
        <w:sectPr>
          <w:pgSz w:w="12240" w:h="15840"/>
          <w:pgMar w:top="1440" w:right="1797" w:bottom="1440" w:left="1797" w:header="720" w:footer="720" w:gutter="0"/>
          <w:cols w:space="425" w:num="1"/>
          <w:docGrid w:type="linesAndChars" w:linePitch="312" w:charSpace="0"/>
        </w:sectPr>
      </w:pPr>
    </w:p>
    <w:p w14:paraId="6B5D775C"/>
    <w:bookmarkEnd w:id="8"/>
    <w:bookmarkEnd w:id="9"/>
    <w:p w14:paraId="0107E180">
      <w:pPr>
        <w:pStyle w:val="39"/>
        <w:tabs>
          <w:tab w:val="left" w:pos="225"/>
          <w:tab w:val="left" w:pos="901"/>
          <w:tab w:val="center" w:pos="4535"/>
        </w:tabs>
        <w:spacing w:before="100" w:after="100"/>
        <w:ind w:firstLine="640" w:firstLineChars="200"/>
        <w:outlineLvl w:val="0"/>
        <w:rPr>
          <w:rFonts w:hint="default" w:ascii="Times New Roman" w:hAnsi="Times New Roman" w:eastAsia="黑体"/>
          <w:snapToGrid w:val="0"/>
          <w:sz w:val="30"/>
          <w:szCs w:val="30"/>
        </w:rPr>
      </w:pPr>
      <w:bookmarkStart w:id="11" w:name="_Toc11342"/>
      <w:bookmarkStart w:id="12" w:name="_Toc147938706"/>
      <w:bookmarkStart w:id="13" w:name="_Toc8093"/>
      <w:r>
        <w:rPr>
          <w:rFonts w:ascii="Times New Roman" w:hAnsi="Times New Roman" w:eastAsia="黑体"/>
          <w:snapToGrid w:val="0"/>
          <w:sz w:val="32"/>
          <w:szCs w:val="32"/>
        </w:rPr>
        <w:t>三、区域环境质量</w:t>
      </w:r>
      <w:r>
        <w:rPr>
          <w:rFonts w:ascii="黑体" w:eastAsia="黑体" w:cs="黑体"/>
          <w:snapToGrid w:val="0"/>
          <w:sz w:val="32"/>
          <w:szCs w:val="32"/>
        </w:rPr>
        <w:t>现状</w:t>
      </w:r>
      <w:r>
        <w:rPr>
          <w:rFonts w:ascii="Times New Roman" w:hAnsi="Times New Roman" w:eastAsia="黑体"/>
          <w:snapToGrid w:val="0"/>
          <w:sz w:val="32"/>
          <w:szCs w:val="32"/>
        </w:rPr>
        <w:t>、环境保护目标及评价标准</w:t>
      </w:r>
      <w:bookmarkEnd w:id="11"/>
      <w:bookmarkEnd w:id="12"/>
      <w:bookmarkEnd w:id="13"/>
    </w:p>
    <w:tbl>
      <w:tblPr>
        <w:tblStyle w:val="45"/>
        <w:tblW w:w="89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4A180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906" w:hRule="atLeast"/>
          <w:jc w:val="center"/>
        </w:trPr>
        <w:tc>
          <w:tcPr>
            <w:tcW w:w="445" w:type="pct"/>
            <w:vAlign w:val="center"/>
          </w:tcPr>
          <w:p w14:paraId="2662A2E0">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区域</w:t>
            </w:r>
          </w:p>
          <w:p w14:paraId="310F27C5">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环境</w:t>
            </w:r>
          </w:p>
          <w:p w14:paraId="2D757EFB">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质量</w:t>
            </w:r>
          </w:p>
          <w:p w14:paraId="0F952D2E">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现状</w:t>
            </w:r>
          </w:p>
        </w:tc>
        <w:tc>
          <w:tcPr>
            <w:tcW w:w="5000" w:type="pct"/>
            <w:vAlign w:val="center"/>
          </w:tcPr>
          <w:p w14:paraId="3EBCABAC">
            <w:pPr>
              <w:spacing w:line="360" w:lineRule="auto"/>
              <w:ind w:firstLine="480" w:firstLineChars="200"/>
              <w:rPr>
                <w:rFonts w:ascii="宋体" w:hAnsi="宋体" w:eastAsia="宋体" w:cs="宋体"/>
                <w:b/>
                <w:bCs/>
                <w:color w:val="000000" w:themeColor="text1"/>
                <w:sz w:val="24"/>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一、大气环境质量现状</w:t>
            </w:r>
          </w:p>
          <w:p w14:paraId="68F2EC34">
            <w:pPr>
              <w:spacing w:line="360" w:lineRule="auto"/>
              <w:ind w:firstLine="480" w:firstLineChars="200"/>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1、环境空气质量现状</w:t>
            </w:r>
            <w:bookmarkStart w:id="14" w:name="环境质量现状"/>
            <w:bookmarkEnd w:id="14"/>
          </w:p>
          <w:p w14:paraId="0163CBA9">
            <w:pPr>
              <w:pStyle w:val="61"/>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根据《韶关市生态环境保护战略规划（2020-2035）》，本项目选址周围空气环境质量功能区划为二类功能区，因此项目所在区域环境空气质量执行</w:t>
            </w:r>
            <w:r>
              <w:rPr>
                <w:rFonts w:hint="eastAsia" w:ascii="Times New Roman" w:cs="Times New Roman"/>
                <w:color w:val="auto"/>
                <w:highlight w:val="none"/>
                <w:lang w:eastAsia="zh-CN"/>
              </w:rPr>
              <w:t>《环境空气质</w:t>
            </w:r>
            <w:r>
              <w:rPr>
                <w:rFonts w:hint="eastAsia" w:ascii="Times New Roman" w:cs="Times New Roman"/>
                <w:color w:val="auto"/>
                <w:highlight w:val="none"/>
                <w:lang w:val="en-US" w:eastAsia="zh-CN"/>
              </w:rPr>
              <w:t>量</w:t>
            </w:r>
            <w:r>
              <w:rPr>
                <w:rFonts w:hint="eastAsia" w:ascii="Times New Roman" w:cs="Times New Roman"/>
                <w:color w:val="auto"/>
                <w:highlight w:val="none"/>
                <w:lang w:eastAsia="zh-CN"/>
              </w:rPr>
              <w:t>标准》(GB3095-2026)中表1环境空气污染物基本项目浓度限值过渡阶段的二级标准</w:t>
            </w:r>
            <w:r>
              <w:rPr>
                <w:rFonts w:hint="default" w:ascii="Times New Roman" w:hAnsi="Times New Roman" w:cs="Times New Roman"/>
                <w:color w:val="auto"/>
                <w:highlight w:val="none"/>
              </w:rPr>
              <w:t>。</w:t>
            </w:r>
          </w:p>
          <w:p w14:paraId="26DAF8F5">
            <w:pPr>
              <w:pStyle w:val="61"/>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根据《2024年韶关市生态环境状况公报》</w:t>
            </w:r>
            <w:r>
              <w:rPr>
                <w:rFonts w:hint="eastAsia" w:ascii="Times New Roman" w:cs="Times New Roman"/>
                <w:color w:val="auto"/>
                <w:highlight w:val="none"/>
                <w:lang w:eastAsia="zh-CN"/>
              </w:rPr>
              <w:t>，</w:t>
            </w:r>
            <w:r>
              <w:rPr>
                <w:rFonts w:hint="eastAsia" w:ascii="Times New Roman" w:cs="Times New Roman"/>
                <w:color w:val="auto"/>
                <w:highlight w:val="none"/>
                <w:lang w:val="en-US" w:eastAsia="zh-CN"/>
              </w:rPr>
              <w:t>项目所在区域空气质量数据详见下表。</w:t>
            </w:r>
          </w:p>
          <w:p w14:paraId="4A00E369">
            <w:pPr>
              <w:adjustRightInd w:val="0"/>
              <w:snapToGrid w:val="0"/>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表3-1</w:t>
            </w:r>
            <w:r>
              <w:rPr>
                <w:rFonts w:ascii="Times New Roman" w:hAnsi="Times New Roman" w:eastAsia="宋体" w:cs="Times New Roman"/>
                <w:b/>
                <w:color w:val="000000" w:themeColor="text1"/>
                <w:szCs w:val="21"/>
                <w14:textFill>
                  <w14:solidFill>
                    <w14:schemeClr w14:val="tx1"/>
                  </w14:solidFill>
                </w14:textFill>
              </w:rPr>
              <w:t xml:space="preserve"> </w:t>
            </w:r>
            <w:r>
              <w:rPr>
                <w:rFonts w:hint="eastAsia" w:ascii="Times New Roman" w:hAnsi="Times New Roman" w:eastAsia="宋体" w:cs="Times New Roman"/>
                <w:b/>
                <w:color w:val="000000" w:themeColor="text1"/>
                <w:szCs w:val="21"/>
                <w14:textFill>
                  <w14:solidFill>
                    <w14:schemeClr w14:val="tx1"/>
                  </w14:solidFill>
                </w14:textFill>
              </w:rPr>
              <w:t>202</w:t>
            </w:r>
            <w:r>
              <w:rPr>
                <w:rFonts w:ascii="Times New Roman" w:hAnsi="Times New Roman" w:eastAsia="宋体" w:cs="Times New Roman"/>
                <w:b/>
                <w:color w:val="000000" w:themeColor="text1"/>
                <w:szCs w:val="21"/>
                <w14:textFill>
                  <w14:solidFill>
                    <w14:schemeClr w14:val="tx1"/>
                  </w14:solidFill>
                </w14:textFill>
              </w:rPr>
              <w:t>4</w:t>
            </w:r>
            <w:r>
              <w:rPr>
                <w:rFonts w:hint="eastAsia" w:ascii="Times New Roman" w:hAnsi="Times New Roman" w:eastAsia="宋体" w:cs="Times New Roman"/>
                <w:b/>
                <w:color w:val="000000" w:themeColor="text1"/>
                <w:szCs w:val="21"/>
                <w14:textFill>
                  <w14:solidFill>
                    <w14:schemeClr w14:val="tx1"/>
                  </w14:solidFill>
                </w14:textFill>
              </w:rPr>
              <w:t>年乐昌市环境空气质量状况：</w:t>
            </w:r>
            <w:r>
              <w:rPr>
                <w:rFonts w:ascii="Times New Roman" w:hAnsi="Times New Roman" w:eastAsia="宋体" w:cs="Times New Roman"/>
                <w:b/>
                <w:color w:val="000000" w:themeColor="text1"/>
                <w:szCs w:val="21"/>
                <w14:textFill>
                  <w14:solidFill>
                    <w14:schemeClr w14:val="tx1"/>
                  </w14:solidFill>
                </w14:textFill>
              </w:rPr>
              <w:t>μg</w:t>
            </w:r>
            <w:r>
              <w:rPr>
                <w:rFonts w:hint="eastAsia" w:ascii="Times New Roman" w:hAnsi="Times New Roman" w:eastAsia="宋体" w:cs="Times New Roman"/>
                <w:b/>
                <w:color w:val="000000" w:themeColor="text1"/>
                <w:szCs w:val="21"/>
                <w14:textFill>
                  <w14:solidFill>
                    <w14:schemeClr w14:val="tx1"/>
                  </w14:solidFill>
                </w14:textFill>
              </w:rPr>
              <w:t>/m</w:t>
            </w:r>
            <w:r>
              <w:rPr>
                <w:rFonts w:hint="eastAsia" w:ascii="Times New Roman" w:hAnsi="Times New Roman" w:eastAsia="宋体" w:cs="Times New Roman"/>
                <w:b/>
                <w:color w:val="000000" w:themeColor="text1"/>
                <w:szCs w:val="21"/>
                <w:vertAlign w:val="superscript"/>
                <w14:textFill>
                  <w14:solidFill>
                    <w14:schemeClr w14:val="tx1"/>
                  </w14:solidFill>
                </w14:textFill>
              </w:rPr>
              <w:t>3</w:t>
            </w:r>
            <w:r>
              <w:rPr>
                <w:rFonts w:hint="eastAsia" w:ascii="Times New Roman" w:hAnsi="Times New Roman" w:eastAsia="宋体" w:cs="Times New Roman"/>
                <w:b/>
                <w:color w:val="000000" w:themeColor="text1"/>
                <w:szCs w:val="21"/>
                <w14:textFill>
                  <w14:solidFill>
                    <w14:schemeClr w14:val="tx1"/>
                  </w14:solidFill>
                </w14:textFill>
              </w:rPr>
              <w:t>（CO：mg/m</w:t>
            </w:r>
            <w:r>
              <w:rPr>
                <w:rFonts w:hint="eastAsia" w:ascii="Times New Roman" w:hAnsi="Times New Roman" w:eastAsia="宋体" w:cs="Times New Roman"/>
                <w:b/>
                <w:color w:val="000000" w:themeColor="text1"/>
                <w:szCs w:val="21"/>
                <w:vertAlign w:val="superscript"/>
                <w14:textFill>
                  <w14:solidFill>
                    <w14:schemeClr w14:val="tx1"/>
                  </w14:solidFill>
                </w14:textFill>
              </w:rPr>
              <w:t>3</w:t>
            </w:r>
            <w:r>
              <w:rPr>
                <w:rFonts w:hint="eastAsia" w:ascii="Times New Roman" w:hAnsi="Times New Roman" w:eastAsia="宋体" w:cs="Times New Roman"/>
                <w:b/>
                <w:color w:val="000000" w:themeColor="text1"/>
                <w:szCs w:val="21"/>
                <w14:textFill>
                  <w14:solidFill>
                    <w14:schemeClr w14:val="tx1"/>
                  </w14:solidFill>
                </w14:textFill>
              </w:rPr>
              <w:t>）</w:t>
            </w:r>
          </w:p>
          <w:tbl>
            <w:tblPr>
              <w:tblStyle w:val="45"/>
              <w:tblW w:w="4998" w:type="pct"/>
              <w:tblInd w:w="1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2516"/>
              <w:gridCol w:w="1062"/>
              <w:gridCol w:w="1073"/>
              <w:gridCol w:w="1280"/>
              <w:gridCol w:w="1036"/>
            </w:tblGrid>
            <w:tr w14:paraId="18EEC27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777A2497">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污染物</w:t>
                  </w:r>
                </w:p>
              </w:tc>
              <w:tc>
                <w:tcPr>
                  <w:tcW w:w="1580" w:type="pct"/>
                  <w:vAlign w:val="center"/>
                </w:tcPr>
                <w:p w14:paraId="3E8E6F2C">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年评价指标</w:t>
                  </w:r>
                </w:p>
              </w:tc>
              <w:tc>
                <w:tcPr>
                  <w:tcW w:w="667" w:type="pct"/>
                  <w:vAlign w:val="center"/>
                </w:tcPr>
                <w:p w14:paraId="32B28BBE">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现状浓度</w:t>
                  </w:r>
                </w:p>
              </w:tc>
              <w:tc>
                <w:tcPr>
                  <w:tcW w:w="674" w:type="pct"/>
                  <w:vAlign w:val="center"/>
                </w:tcPr>
                <w:p w14:paraId="31984D3D">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标准值</w:t>
                  </w:r>
                </w:p>
              </w:tc>
              <w:tc>
                <w:tcPr>
                  <w:tcW w:w="804" w:type="pct"/>
                  <w:vAlign w:val="center"/>
                </w:tcPr>
                <w:p w14:paraId="6F192700">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占标率%</w:t>
                  </w:r>
                </w:p>
              </w:tc>
              <w:tc>
                <w:tcPr>
                  <w:tcW w:w="650" w:type="pct"/>
                  <w:vAlign w:val="center"/>
                </w:tcPr>
                <w:p w14:paraId="687EB232">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达标情况</w:t>
                  </w:r>
                </w:p>
              </w:tc>
            </w:tr>
            <w:tr w14:paraId="1881B77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0CF031C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vertAlign w:val="subscript"/>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p>
              </w:tc>
              <w:tc>
                <w:tcPr>
                  <w:tcW w:w="1580" w:type="pct"/>
                  <w:vAlign w:val="center"/>
                </w:tcPr>
                <w:p w14:paraId="06ACA4F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5A9EDCFD">
                  <w:pPr>
                    <w:pStyle w:val="20"/>
                    <w:keepNext w:val="0"/>
                    <w:keepLines w:val="0"/>
                    <w:pageBreakBefore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6μ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lang w:val="en-US" w:eastAsia="zh-CN"/>
                    </w:rPr>
                    <w:t>3</w:t>
                  </w:r>
                </w:p>
              </w:tc>
              <w:tc>
                <w:tcPr>
                  <w:tcW w:w="674" w:type="pct"/>
                  <w:vAlign w:val="center"/>
                </w:tcPr>
                <w:p w14:paraId="726EE88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6F9D756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650" w:type="pct"/>
                  <w:vAlign w:val="center"/>
                </w:tcPr>
                <w:p w14:paraId="3A5F2A24">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306D3DE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2E6CC94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1580" w:type="pct"/>
                  <w:vAlign w:val="center"/>
                </w:tcPr>
                <w:p w14:paraId="79F5201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24E9E59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12μ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0D6344D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4D8AF7A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650" w:type="pct"/>
                  <w:vAlign w:val="center"/>
                </w:tcPr>
                <w:p w14:paraId="0D87195E">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759D676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3E937DB8">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10</w:t>
                  </w:r>
                </w:p>
              </w:tc>
              <w:tc>
                <w:tcPr>
                  <w:tcW w:w="1580" w:type="pct"/>
                  <w:vAlign w:val="center"/>
                </w:tcPr>
                <w:p w14:paraId="775128EE">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6A88CCA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31μ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0065433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094C016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i w:val="0"/>
                      <w:iCs w:val="0"/>
                      <w:color w:val="auto"/>
                      <w:kern w:val="0"/>
                      <w:sz w:val="21"/>
                      <w:szCs w:val="21"/>
                      <w:highlight w:val="none"/>
                      <w:u w:val="none"/>
                      <w:lang w:val="en-US" w:eastAsia="zh-CN" w:bidi="ar"/>
                    </w:rPr>
                    <w:t>51.7</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50" w:type="pct"/>
                  <w:vAlign w:val="center"/>
                </w:tcPr>
                <w:p w14:paraId="7ABADC6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16523A2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2D96C35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2.5</w:t>
                  </w:r>
                </w:p>
              </w:tc>
              <w:tc>
                <w:tcPr>
                  <w:tcW w:w="1580" w:type="pct"/>
                  <w:vAlign w:val="center"/>
                </w:tcPr>
                <w:p w14:paraId="70F9981D">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36DB28B1">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21μ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6522D92A">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r>
                    <w:rPr>
                      <w:rFonts w:hint="default" w:ascii="Times New Roman" w:hAnsi="Times New Roman" w:cs="Times New Roman"/>
                      <w:color w:val="auto"/>
                      <w:sz w:val="21"/>
                      <w:szCs w:val="21"/>
                      <w:highlight w:val="none"/>
                      <w:lang w:val="en-US" w:eastAsia="zh-CN"/>
                    </w:rPr>
                    <w:t>0μ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2358E3B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i w:val="0"/>
                      <w:iCs w:val="0"/>
                      <w:color w:val="auto"/>
                      <w:kern w:val="0"/>
                      <w:sz w:val="21"/>
                      <w:szCs w:val="21"/>
                      <w:highlight w:val="none"/>
                      <w:u w:val="none"/>
                      <w:lang w:val="en-US" w:eastAsia="zh-CN" w:bidi="ar"/>
                    </w:rPr>
                    <w:t>7</w:t>
                  </w: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50" w:type="pct"/>
                  <w:vAlign w:val="center"/>
                </w:tcPr>
                <w:p w14:paraId="2D4CC98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64BF1FE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0453582D">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w:t>
                  </w:r>
                </w:p>
              </w:tc>
              <w:tc>
                <w:tcPr>
                  <w:tcW w:w="1580" w:type="pct"/>
                  <w:vAlign w:val="center"/>
                </w:tcPr>
                <w:p w14:paraId="5A2C087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24小时均值第95百分位数</w:t>
                  </w:r>
                </w:p>
              </w:tc>
              <w:tc>
                <w:tcPr>
                  <w:tcW w:w="667" w:type="pct"/>
                  <w:vAlign w:val="center"/>
                </w:tcPr>
                <w:p w14:paraId="7BD520A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mg/m</w:t>
                  </w:r>
                  <w:r>
                    <w:rPr>
                      <w:rFonts w:hint="default" w:ascii="Times New Roman" w:hAnsi="Times New Roman" w:cs="Times New Roman"/>
                      <w:color w:val="auto"/>
                      <w:sz w:val="21"/>
                      <w:szCs w:val="21"/>
                      <w:highlight w:val="none"/>
                      <w:vertAlign w:val="superscript"/>
                    </w:rPr>
                    <w:t>3</w:t>
                  </w:r>
                </w:p>
              </w:tc>
              <w:tc>
                <w:tcPr>
                  <w:tcW w:w="674" w:type="pct"/>
                  <w:vAlign w:val="center"/>
                </w:tcPr>
                <w:p w14:paraId="640518C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4mg/m</w:t>
                  </w:r>
                  <w:r>
                    <w:rPr>
                      <w:rFonts w:hint="default" w:ascii="Times New Roman" w:hAnsi="Times New Roman" w:cs="Times New Roman"/>
                      <w:color w:val="auto"/>
                      <w:sz w:val="21"/>
                      <w:szCs w:val="21"/>
                      <w:highlight w:val="none"/>
                      <w:vertAlign w:val="superscript"/>
                    </w:rPr>
                    <w:t>3</w:t>
                  </w:r>
                </w:p>
              </w:tc>
              <w:tc>
                <w:tcPr>
                  <w:tcW w:w="1274" w:type="dxa"/>
                  <w:vAlign w:val="center"/>
                </w:tcPr>
                <w:p w14:paraId="534FE25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25%</w:t>
                  </w:r>
                </w:p>
              </w:tc>
              <w:tc>
                <w:tcPr>
                  <w:tcW w:w="650" w:type="pct"/>
                  <w:vAlign w:val="center"/>
                </w:tcPr>
                <w:p w14:paraId="0452260E">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7588D15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32F1D5D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O</w:t>
                  </w:r>
                  <w:r>
                    <w:rPr>
                      <w:rFonts w:hint="default" w:ascii="Times New Roman" w:hAnsi="Times New Roman" w:cs="Times New Roman"/>
                      <w:color w:val="auto"/>
                      <w:sz w:val="21"/>
                      <w:szCs w:val="21"/>
                      <w:highlight w:val="none"/>
                      <w:vertAlign w:val="subscript"/>
                    </w:rPr>
                    <w:t>3</w:t>
                  </w:r>
                </w:p>
              </w:tc>
              <w:tc>
                <w:tcPr>
                  <w:tcW w:w="1580" w:type="pct"/>
                  <w:vAlign w:val="center"/>
                </w:tcPr>
                <w:p w14:paraId="74D83CB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最大8小时值第90百分位数</w:t>
                  </w:r>
                </w:p>
              </w:tc>
              <w:tc>
                <w:tcPr>
                  <w:tcW w:w="667" w:type="pct"/>
                  <w:vAlign w:val="center"/>
                </w:tcPr>
                <w:p w14:paraId="641A28A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108μ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598B1B6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7F2EB56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cs="Times New Roman"/>
                      <w:i w:val="0"/>
                      <w:iCs w:val="0"/>
                      <w:color w:val="auto"/>
                      <w:kern w:val="0"/>
                      <w:sz w:val="21"/>
                      <w:szCs w:val="21"/>
                      <w:highlight w:val="none"/>
                      <w:u w:val="none"/>
                      <w:lang w:val="en-US" w:eastAsia="zh-CN" w:bidi="ar"/>
                    </w:rPr>
                    <w:t>7.5</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50" w:type="pct"/>
                  <w:vAlign w:val="center"/>
                </w:tcPr>
                <w:p w14:paraId="52E212F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6F3B8085">
            <w:pPr>
              <w:adjustRightInd w:val="0"/>
              <w:snapToGrid w:val="0"/>
              <w:jc w:val="center"/>
              <w:rPr>
                <w:rFonts w:hint="eastAsia" w:ascii="Times New Roman" w:hAnsi="Times New Roman" w:eastAsia="宋体" w:cs="Times New Roman"/>
                <w:b/>
                <w:color w:val="000000" w:themeColor="text1"/>
                <w:szCs w:val="21"/>
                <w14:textFill>
                  <w14:solidFill>
                    <w14:schemeClr w14:val="tx1"/>
                  </w14:solidFill>
                </w14:textFill>
              </w:rPr>
            </w:pPr>
          </w:p>
          <w:p w14:paraId="4BC07C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由上统计可知，项目所在区域空气环境能满足</w:t>
            </w:r>
            <w:r>
              <w:rPr>
                <w:rFonts w:hint="eastAsia" w:ascii="Times New Roman" w:cs="Times New Roman"/>
                <w:color w:val="auto"/>
                <w:sz w:val="24"/>
                <w:szCs w:val="24"/>
                <w:highlight w:val="none"/>
                <w:lang w:eastAsia="zh-CN"/>
              </w:rPr>
              <w:t>《环境空气质</w:t>
            </w:r>
            <w:r>
              <w:rPr>
                <w:rFonts w:hint="eastAsia" w:ascii="Times New Roman" w:cs="Times New Roman"/>
                <w:color w:val="auto"/>
                <w:sz w:val="24"/>
                <w:szCs w:val="24"/>
                <w:highlight w:val="none"/>
                <w:lang w:val="en-US" w:eastAsia="zh-CN"/>
              </w:rPr>
              <w:t>量</w:t>
            </w:r>
            <w:r>
              <w:rPr>
                <w:rFonts w:hint="eastAsia" w:ascii="Times New Roman" w:cs="Times New Roman"/>
                <w:color w:val="auto"/>
                <w:sz w:val="24"/>
                <w:szCs w:val="24"/>
                <w:highlight w:val="none"/>
                <w:lang w:eastAsia="zh-CN"/>
              </w:rPr>
              <w:t>标准》（GB3095-2026）中表1环境空气污染物基本项目浓度限值过渡阶段的二级标准</w:t>
            </w:r>
            <w:r>
              <w:rPr>
                <w:rFonts w:hint="default" w:ascii="Times New Roman" w:hAnsi="Times New Roman" w:cs="Times New Roman"/>
                <w:color w:val="auto"/>
                <w:sz w:val="24"/>
                <w:szCs w:val="24"/>
                <w:highlight w:val="none"/>
              </w:rPr>
              <w:t>。</w:t>
            </w:r>
            <w:r>
              <w:rPr>
                <w:rFonts w:hint="default" w:ascii="Times New Roman" w:hAnsi="Times New Roman" w:eastAsia="宋体" w:cs="Times New Roman"/>
                <w:bCs/>
                <w:color w:val="auto"/>
                <w:sz w:val="24"/>
                <w:szCs w:val="24"/>
                <w:highlight w:val="none"/>
                <w:lang w:val="en-US" w:eastAsia="zh-CN"/>
              </w:rPr>
              <w:t>本项目所在区域属于环境空气达标区。</w:t>
            </w:r>
          </w:p>
          <w:p w14:paraId="78B2E76A">
            <w:pPr>
              <w:adjustRightInd w:val="0"/>
              <w:snapToGri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除6项基本污染物外，本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排放的特征污染物为TSP，TSP在《环境空气质量标准》（GB3095-2012）中有浓度限值要求。根据《建设项目环境影响报告表编制技术指南（污染影响类）》要求，本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对TSP进行环境质量现状评价。</w:t>
            </w:r>
          </w:p>
          <w:p w14:paraId="1007B30F">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为了解本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所在区域的TSP环境质量现状，本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引用《乐昌产业转移工业园2</w:t>
            </w:r>
            <w:r>
              <w:rPr>
                <w:rFonts w:ascii="Times New Roman" w:hAnsi="Times New Roman" w:eastAsia="宋体" w:cs="Times New Roman"/>
                <w:color w:val="000000" w:themeColor="text1"/>
                <w:sz w:val="24"/>
                <w14:textFill>
                  <w14:solidFill>
                    <w14:schemeClr w14:val="tx1"/>
                  </w14:solidFill>
                </w14:textFill>
              </w:rPr>
              <w:t>023年度环境管理状况评估报告</w:t>
            </w:r>
            <w:r>
              <w:rPr>
                <w:rFonts w:hint="eastAsia" w:ascii="Times New Roman" w:hAnsi="Times New Roman" w:eastAsia="宋体" w:cs="Times New Roman"/>
                <w:color w:val="000000" w:themeColor="text1"/>
                <w:sz w:val="24"/>
                <w14:textFill>
                  <w14:solidFill>
                    <w14:schemeClr w14:val="tx1"/>
                  </w14:solidFill>
                </w14:textFill>
              </w:rPr>
              <w:t>》详见附件1，监测点和村位于本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南面约3</w:t>
            </w:r>
            <w:r>
              <w:rPr>
                <w:rFonts w:ascii="Times New Roman" w:hAnsi="Times New Roman" w:eastAsia="宋体" w:cs="Times New Roman"/>
                <w:color w:val="000000" w:themeColor="text1"/>
                <w:sz w:val="24"/>
                <w14:textFill>
                  <w14:solidFill>
                    <w14:schemeClr w14:val="tx1"/>
                  </w14:solidFill>
                </w14:textFill>
              </w:rPr>
              <w:t>000</w:t>
            </w:r>
            <w:r>
              <w:rPr>
                <w:rFonts w:hint="eastAsia" w:ascii="Times New Roman" w:hAnsi="Times New Roman" w:eastAsia="宋体" w:cs="Times New Roman"/>
                <w:color w:val="000000" w:themeColor="text1"/>
                <w:sz w:val="24"/>
                <w14:textFill>
                  <w14:solidFill>
                    <w14:schemeClr w14:val="tx1"/>
                  </w14:solidFill>
                </w14:textFill>
              </w:rPr>
              <w:t>m，符合《建设项目环境影响报告表编制技术指南（污染影响类）》“引用建设项目周边5千米范围内近3年的现有监测数据”的要求，监测点与项目地理位置关系图见图3-1，监测数据见下表：</w:t>
            </w:r>
          </w:p>
          <w:p w14:paraId="0EA5930D">
            <w:pPr>
              <w:adjustRightInd w:val="0"/>
              <w:snapToGrid w:val="0"/>
              <w:ind w:firstLine="420" w:firstLineChars="200"/>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表3-2其他污染物补充监测点位基本信息</w:t>
            </w:r>
          </w:p>
          <w:tbl>
            <w:tblPr>
              <w:tblStyle w:val="4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8"/>
              <w:gridCol w:w="1114"/>
              <w:gridCol w:w="1418"/>
              <w:gridCol w:w="850"/>
              <w:gridCol w:w="1985"/>
              <w:gridCol w:w="770"/>
              <w:gridCol w:w="1029"/>
            </w:tblGrid>
            <w:tr w14:paraId="5895F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98" w:type="dxa"/>
                  <w:vMerge w:val="restart"/>
                  <w:vAlign w:val="center"/>
                </w:tcPr>
                <w:p w14:paraId="0107203C">
                  <w:pPr>
                    <w:pStyle w:val="66"/>
                    <w:rPr>
                      <w:color w:val="000000" w:themeColor="text1"/>
                      <w14:textFill>
                        <w14:solidFill>
                          <w14:schemeClr w14:val="tx1"/>
                        </w14:solidFill>
                      </w14:textFill>
                    </w:rPr>
                  </w:pPr>
                  <w:r>
                    <w:rPr>
                      <w:color w:val="000000" w:themeColor="text1"/>
                      <w14:textFill>
                        <w14:solidFill>
                          <w14:schemeClr w14:val="tx1"/>
                        </w14:solidFill>
                      </w14:textFill>
                    </w:rPr>
                    <w:t>监测点名称</w:t>
                  </w:r>
                </w:p>
              </w:tc>
              <w:tc>
                <w:tcPr>
                  <w:tcW w:w="2532" w:type="dxa"/>
                  <w:gridSpan w:val="2"/>
                  <w:vAlign w:val="center"/>
                </w:tcPr>
                <w:p w14:paraId="096C4E5B">
                  <w:pPr>
                    <w:pStyle w:val="66"/>
                    <w:rPr>
                      <w:color w:val="000000" w:themeColor="text1"/>
                      <w14:textFill>
                        <w14:solidFill>
                          <w14:schemeClr w14:val="tx1"/>
                        </w14:solidFill>
                      </w14:textFill>
                    </w:rPr>
                  </w:pPr>
                  <w:r>
                    <w:rPr>
                      <w:color w:val="000000" w:themeColor="text1"/>
                      <w14:textFill>
                        <w14:solidFill>
                          <w14:schemeClr w14:val="tx1"/>
                        </w14:solidFill>
                      </w14:textFill>
                    </w:rPr>
                    <w:t>监测点坐标</w:t>
                  </w:r>
                </w:p>
              </w:tc>
              <w:tc>
                <w:tcPr>
                  <w:tcW w:w="850" w:type="dxa"/>
                  <w:vMerge w:val="restart"/>
                  <w:vAlign w:val="center"/>
                </w:tcPr>
                <w:p w14:paraId="1B06A12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监测因子</w:t>
                  </w:r>
                </w:p>
              </w:tc>
              <w:tc>
                <w:tcPr>
                  <w:tcW w:w="1985" w:type="dxa"/>
                  <w:vMerge w:val="restart"/>
                  <w:vAlign w:val="center"/>
                </w:tcPr>
                <w:p w14:paraId="6860F49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监测时段</w:t>
                  </w:r>
                </w:p>
              </w:tc>
              <w:tc>
                <w:tcPr>
                  <w:tcW w:w="770" w:type="dxa"/>
                  <w:vMerge w:val="restart"/>
                  <w:vAlign w:val="center"/>
                </w:tcPr>
                <w:p w14:paraId="6A94863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相对厂址方位</w:t>
                  </w:r>
                </w:p>
              </w:tc>
              <w:tc>
                <w:tcPr>
                  <w:tcW w:w="1029" w:type="dxa"/>
                  <w:vMerge w:val="restart"/>
                  <w:vAlign w:val="center"/>
                </w:tcPr>
                <w:p w14:paraId="5EED81B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相对厂界距离/m</w:t>
                  </w:r>
                </w:p>
              </w:tc>
            </w:tr>
            <w:tr w14:paraId="01BD9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98" w:type="dxa"/>
                  <w:vMerge w:val="continue"/>
                  <w:vAlign w:val="center"/>
                </w:tcPr>
                <w:p w14:paraId="0B38EA26">
                  <w:pPr>
                    <w:pStyle w:val="66"/>
                    <w:rPr>
                      <w:color w:val="000000" w:themeColor="text1"/>
                      <w14:textFill>
                        <w14:solidFill>
                          <w14:schemeClr w14:val="tx1"/>
                        </w14:solidFill>
                      </w14:textFill>
                    </w:rPr>
                  </w:pPr>
                </w:p>
              </w:tc>
              <w:tc>
                <w:tcPr>
                  <w:tcW w:w="1114" w:type="dxa"/>
                  <w:vAlign w:val="center"/>
                </w:tcPr>
                <w:p w14:paraId="217B6064">
                  <w:pPr>
                    <w:pStyle w:val="66"/>
                    <w:rPr>
                      <w:color w:val="000000" w:themeColor="text1"/>
                      <w14:textFill>
                        <w14:solidFill>
                          <w14:schemeClr w14:val="tx1"/>
                        </w14:solidFill>
                      </w14:textFill>
                    </w:rPr>
                  </w:pPr>
                  <w:r>
                    <w:rPr>
                      <w:color w:val="000000" w:themeColor="text1"/>
                      <w14:textFill>
                        <w14:solidFill>
                          <w14:schemeClr w14:val="tx1"/>
                        </w14:solidFill>
                      </w14:textFill>
                    </w:rPr>
                    <w:t>纬度</w:t>
                  </w:r>
                </w:p>
              </w:tc>
              <w:tc>
                <w:tcPr>
                  <w:tcW w:w="1418" w:type="dxa"/>
                  <w:vAlign w:val="center"/>
                </w:tcPr>
                <w:p w14:paraId="152D92BB">
                  <w:pPr>
                    <w:pStyle w:val="66"/>
                    <w:rPr>
                      <w:color w:val="000000" w:themeColor="text1"/>
                      <w14:textFill>
                        <w14:solidFill>
                          <w14:schemeClr w14:val="tx1"/>
                        </w14:solidFill>
                      </w14:textFill>
                    </w:rPr>
                  </w:pPr>
                  <w:r>
                    <w:rPr>
                      <w:color w:val="000000" w:themeColor="text1"/>
                      <w14:textFill>
                        <w14:solidFill>
                          <w14:schemeClr w14:val="tx1"/>
                        </w14:solidFill>
                      </w14:textFill>
                    </w:rPr>
                    <w:t>经度</w:t>
                  </w:r>
                </w:p>
              </w:tc>
              <w:tc>
                <w:tcPr>
                  <w:tcW w:w="850" w:type="dxa"/>
                  <w:vMerge w:val="continue"/>
                  <w:vAlign w:val="center"/>
                </w:tcPr>
                <w:p w14:paraId="1062BE78">
                  <w:pPr>
                    <w:pStyle w:val="66"/>
                    <w:rPr>
                      <w:color w:val="000000" w:themeColor="text1"/>
                      <w14:textFill>
                        <w14:solidFill>
                          <w14:schemeClr w14:val="tx1"/>
                        </w14:solidFill>
                      </w14:textFill>
                    </w:rPr>
                  </w:pPr>
                </w:p>
              </w:tc>
              <w:tc>
                <w:tcPr>
                  <w:tcW w:w="1985" w:type="dxa"/>
                  <w:vMerge w:val="continue"/>
                  <w:vAlign w:val="center"/>
                </w:tcPr>
                <w:p w14:paraId="3731AD5A">
                  <w:pPr>
                    <w:pStyle w:val="66"/>
                    <w:rPr>
                      <w:color w:val="000000" w:themeColor="text1"/>
                      <w14:textFill>
                        <w14:solidFill>
                          <w14:schemeClr w14:val="tx1"/>
                        </w14:solidFill>
                      </w14:textFill>
                    </w:rPr>
                  </w:pPr>
                </w:p>
              </w:tc>
              <w:tc>
                <w:tcPr>
                  <w:tcW w:w="770" w:type="dxa"/>
                  <w:vMerge w:val="continue"/>
                  <w:vAlign w:val="center"/>
                </w:tcPr>
                <w:p w14:paraId="07D43289">
                  <w:pPr>
                    <w:pStyle w:val="66"/>
                    <w:rPr>
                      <w:color w:val="000000" w:themeColor="text1"/>
                      <w14:textFill>
                        <w14:solidFill>
                          <w14:schemeClr w14:val="tx1"/>
                        </w14:solidFill>
                      </w14:textFill>
                    </w:rPr>
                  </w:pPr>
                </w:p>
              </w:tc>
              <w:tc>
                <w:tcPr>
                  <w:tcW w:w="1029" w:type="dxa"/>
                  <w:vMerge w:val="continue"/>
                  <w:vAlign w:val="center"/>
                </w:tcPr>
                <w:p w14:paraId="72A36744">
                  <w:pPr>
                    <w:pStyle w:val="66"/>
                    <w:rPr>
                      <w:color w:val="000000" w:themeColor="text1"/>
                      <w14:textFill>
                        <w14:solidFill>
                          <w14:schemeClr w14:val="tx1"/>
                        </w14:solidFill>
                      </w14:textFill>
                    </w:rPr>
                  </w:pPr>
                </w:p>
              </w:tc>
            </w:tr>
            <w:tr w14:paraId="4BA82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98" w:type="dxa"/>
                  <w:vAlign w:val="center"/>
                </w:tcPr>
                <w:p w14:paraId="604CB97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和村</w:t>
                  </w:r>
                </w:p>
              </w:tc>
              <w:tc>
                <w:tcPr>
                  <w:tcW w:w="1114" w:type="dxa"/>
                  <w:vAlign w:val="center"/>
                </w:tcPr>
                <w:p w14:paraId="7A73C32D">
                  <w:pPr>
                    <w:pStyle w:val="66"/>
                    <w:rPr>
                      <w:color w:val="000000" w:themeColor="text1"/>
                      <w14:textFill>
                        <w14:solidFill>
                          <w14:schemeClr w14:val="tx1"/>
                        </w14:solidFill>
                      </w14:textFill>
                    </w:rPr>
                  </w:pPr>
                  <w:r>
                    <w:rPr>
                      <w:color w:val="000000" w:themeColor="text1"/>
                      <w14:textFill>
                        <w14:solidFill>
                          <w14:schemeClr w14:val="tx1"/>
                        </w14:solidFill>
                      </w14:textFill>
                    </w:rPr>
                    <w:t>N</w:t>
                  </w:r>
                  <w:r>
                    <w:rPr>
                      <w:rFonts w:hint="eastAsia"/>
                      <w:color w:val="000000" w:themeColor="text1"/>
                      <w14:textFill>
                        <w14:solidFill>
                          <w14:schemeClr w14:val="tx1"/>
                        </w14:solidFill>
                      </w14:textFill>
                    </w:rPr>
                    <w:t>24°</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37.05</w:t>
                  </w:r>
                  <w:r>
                    <w:rPr>
                      <w:rFonts w:hint="eastAsia"/>
                      <w:color w:val="000000" w:themeColor="text1"/>
                      <w14:textFill>
                        <w14:solidFill>
                          <w14:schemeClr w14:val="tx1"/>
                        </w14:solidFill>
                      </w14:textFill>
                    </w:rPr>
                    <w:t>″</w:t>
                  </w:r>
                </w:p>
              </w:tc>
              <w:tc>
                <w:tcPr>
                  <w:tcW w:w="1418" w:type="dxa"/>
                  <w:vAlign w:val="center"/>
                </w:tcPr>
                <w:p w14:paraId="461387FD">
                  <w:pPr>
                    <w:pStyle w:val="66"/>
                    <w:rPr>
                      <w:color w:val="000000" w:themeColor="text1"/>
                      <w14:textFill>
                        <w14:solidFill>
                          <w14:schemeClr w14:val="tx1"/>
                        </w14:solidFill>
                      </w14:textFill>
                    </w:rPr>
                  </w:pPr>
                  <w:r>
                    <w:rPr>
                      <w:color w:val="000000" w:themeColor="text1"/>
                      <w14:textFill>
                        <w14:solidFill>
                          <w14:schemeClr w14:val="tx1"/>
                        </w14:solidFill>
                      </w14:textFill>
                    </w:rPr>
                    <w:t>E</w:t>
                  </w:r>
                  <w:r>
                    <w:rPr>
                      <w:rFonts w:hint="eastAsia"/>
                      <w:color w:val="000000" w:themeColor="text1"/>
                      <w14:textFill>
                        <w14:solidFill>
                          <w14:schemeClr w14:val="tx1"/>
                        </w14:solidFill>
                      </w14:textFill>
                    </w:rPr>
                    <w:t>113°</w:t>
                  </w:r>
                  <w:r>
                    <w:rPr>
                      <w:color w:val="000000" w:themeColor="text1"/>
                      <w14:textFill>
                        <w14:solidFill>
                          <w14:schemeClr w14:val="tx1"/>
                        </w14:solidFill>
                      </w14:textFill>
                    </w:rPr>
                    <w:t>24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44.91</w:t>
                  </w:r>
                  <w:r>
                    <w:rPr>
                      <w:rFonts w:hint="eastAsia"/>
                      <w:color w:val="000000" w:themeColor="text1"/>
                      <w14:textFill>
                        <w14:solidFill>
                          <w14:schemeClr w14:val="tx1"/>
                        </w14:solidFill>
                      </w14:textFill>
                    </w:rPr>
                    <w:t>″</w:t>
                  </w:r>
                </w:p>
              </w:tc>
              <w:tc>
                <w:tcPr>
                  <w:tcW w:w="850" w:type="dxa"/>
                  <w:vAlign w:val="center"/>
                </w:tcPr>
                <w:p w14:paraId="7654CB73">
                  <w:pPr>
                    <w:pStyle w:val="66"/>
                    <w:rPr>
                      <w:color w:val="000000" w:themeColor="text1"/>
                      <w14:textFill>
                        <w14:solidFill>
                          <w14:schemeClr w14:val="tx1"/>
                        </w14:solidFill>
                      </w14:textFill>
                    </w:rPr>
                  </w:pPr>
                  <w:r>
                    <w:rPr>
                      <w:color w:val="000000" w:themeColor="text1"/>
                      <w14:textFill>
                        <w14:solidFill>
                          <w14:schemeClr w14:val="tx1"/>
                        </w14:solidFill>
                      </w14:textFill>
                    </w:rPr>
                    <w:t>TSP</w:t>
                  </w:r>
                </w:p>
              </w:tc>
              <w:tc>
                <w:tcPr>
                  <w:tcW w:w="1985" w:type="dxa"/>
                  <w:vAlign w:val="center"/>
                </w:tcPr>
                <w:p w14:paraId="2E0DF31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2023年1</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19</w:t>
                  </w:r>
                  <w:r>
                    <w:rPr>
                      <w:rFonts w:hint="eastAsia"/>
                      <w:color w:val="000000" w:themeColor="text1"/>
                      <w14:textFill>
                        <w14:solidFill>
                          <w14:schemeClr w14:val="tx1"/>
                        </w14:solidFill>
                      </w14:textFill>
                    </w:rPr>
                    <w:t>日~2023年1</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月2</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日</w:t>
                  </w:r>
                </w:p>
              </w:tc>
              <w:tc>
                <w:tcPr>
                  <w:tcW w:w="770" w:type="dxa"/>
                  <w:vAlign w:val="center"/>
                </w:tcPr>
                <w:p w14:paraId="68346E9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南面</w:t>
                  </w:r>
                </w:p>
              </w:tc>
              <w:tc>
                <w:tcPr>
                  <w:tcW w:w="1029" w:type="dxa"/>
                  <w:vAlign w:val="center"/>
                </w:tcPr>
                <w:p w14:paraId="3E833C2C">
                  <w:pPr>
                    <w:pStyle w:val="66"/>
                    <w:rPr>
                      <w:color w:val="000000" w:themeColor="text1"/>
                      <w14:textFill>
                        <w14:solidFill>
                          <w14:schemeClr w14:val="tx1"/>
                        </w14:solidFill>
                      </w14:textFill>
                    </w:rPr>
                  </w:pPr>
                  <w:r>
                    <w:rPr>
                      <w:color w:val="000000" w:themeColor="text1"/>
                      <w14:textFill>
                        <w14:solidFill>
                          <w14:schemeClr w14:val="tx1"/>
                        </w14:solidFill>
                      </w14:textFill>
                    </w:rPr>
                    <w:t>3000</w:t>
                  </w:r>
                </w:p>
              </w:tc>
            </w:tr>
          </w:tbl>
          <w:p w14:paraId="74A3FBAE">
            <w:pPr>
              <w:spacing w:line="360" w:lineRule="auto"/>
              <w:ind w:firstLine="480" w:firstLineChars="200"/>
              <w:jc w:val="center"/>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drawing>
                <wp:inline distT="0" distB="0" distL="0" distR="0">
                  <wp:extent cx="4512310" cy="3606800"/>
                  <wp:effectExtent l="0" t="0" r="2540" b="0"/>
                  <wp:docPr id="1" name="图片 1" descr="F:\微信文件\WeChat Files\wxid_jd3m5y2h7v8o22\FileStorage\Temp\2e4fb1802946abf372ccb871e04e4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微信文件\WeChat Files\wxid_jd3m5y2h7v8o22\FileStorage\Temp\2e4fb1802946abf372ccb871e04e4d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514566" cy="3608480"/>
                          </a:xfrm>
                          <a:prstGeom prst="rect">
                            <a:avLst/>
                          </a:prstGeom>
                          <a:noFill/>
                          <a:ln>
                            <a:noFill/>
                          </a:ln>
                        </pic:spPr>
                      </pic:pic>
                    </a:graphicData>
                  </a:graphic>
                </wp:inline>
              </w:drawing>
            </w:r>
          </w:p>
          <w:p w14:paraId="25D20419">
            <w:pPr>
              <w:adjustRightInd w:val="0"/>
              <w:snapToGrid w:val="0"/>
              <w:spacing w:line="360" w:lineRule="auto"/>
              <w:ind w:firstLine="420" w:firstLineChars="200"/>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图</w:t>
            </w:r>
            <w:r>
              <w:rPr>
                <w:rFonts w:hint="eastAsia" w:ascii="Times New Roman" w:hAnsi="Times New Roman" w:eastAsia="宋体" w:cs="Times New Roman"/>
                <w:b/>
                <w:color w:val="000000" w:themeColor="text1"/>
                <w:szCs w:val="21"/>
                <w14:textFill>
                  <w14:solidFill>
                    <w14:schemeClr w14:val="tx1"/>
                  </w14:solidFill>
                </w14:textFill>
              </w:rPr>
              <w:t>3</w:t>
            </w:r>
            <w:r>
              <w:rPr>
                <w:rFonts w:ascii="Times New Roman" w:hAnsi="Times New Roman" w:eastAsia="宋体" w:cs="Times New Roman"/>
                <w:b/>
                <w:color w:val="000000" w:themeColor="text1"/>
                <w:szCs w:val="21"/>
                <w14:textFill>
                  <w14:solidFill>
                    <w14:schemeClr w14:val="tx1"/>
                  </w14:solidFill>
                </w14:textFill>
              </w:rPr>
              <w:t>-1 补充监测点位与项目位置关系图</w:t>
            </w:r>
          </w:p>
          <w:p w14:paraId="356A80AD">
            <w:pPr>
              <w:adjustRightInd w:val="0"/>
              <w:snapToGrid w:val="0"/>
              <w:ind w:firstLine="420" w:firstLineChars="200"/>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表</w:t>
            </w:r>
            <w:r>
              <w:rPr>
                <w:rFonts w:hint="eastAsia" w:ascii="Times New Roman" w:hAnsi="Times New Roman" w:eastAsia="宋体" w:cs="Times New Roman"/>
                <w:b/>
                <w:color w:val="000000" w:themeColor="text1"/>
                <w:szCs w:val="21"/>
                <w14:textFill>
                  <w14:solidFill>
                    <w14:schemeClr w14:val="tx1"/>
                  </w14:solidFill>
                </w14:textFill>
              </w:rPr>
              <w:t>3</w:t>
            </w:r>
            <w:r>
              <w:rPr>
                <w:rFonts w:ascii="Times New Roman" w:hAnsi="Times New Roman" w:eastAsia="宋体" w:cs="Times New Roman"/>
                <w:b/>
                <w:color w:val="000000" w:themeColor="text1"/>
                <w:szCs w:val="21"/>
                <w14:textFill>
                  <w14:solidFill>
                    <w14:schemeClr w14:val="tx1"/>
                  </w14:solidFill>
                </w14:textFill>
              </w:rPr>
              <w:t>-3 其他污染物环境质量现状（监测结果）</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763"/>
              <w:gridCol w:w="763"/>
              <w:gridCol w:w="763"/>
              <w:gridCol w:w="763"/>
              <w:gridCol w:w="763"/>
              <w:gridCol w:w="763"/>
              <w:gridCol w:w="763"/>
              <w:gridCol w:w="764"/>
              <w:gridCol w:w="764"/>
            </w:tblGrid>
            <w:tr w14:paraId="0EDE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Merge w:val="restart"/>
                  <w:vAlign w:val="center"/>
                </w:tcPr>
                <w:p w14:paraId="51D72DBC">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监测点位</w:t>
                  </w:r>
                </w:p>
              </w:tc>
              <w:tc>
                <w:tcPr>
                  <w:tcW w:w="1526" w:type="dxa"/>
                  <w:gridSpan w:val="2"/>
                  <w:vAlign w:val="center"/>
                </w:tcPr>
                <w:p w14:paraId="47026AAD">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监测坐标/m</w:t>
                  </w:r>
                </w:p>
              </w:tc>
              <w:tc>
                <w:tcPr>
                  <w:tcW w:w="763" w:type="dxa"/>
                  <w:vMerge w:val="restart"/>
                  <w:vAlign w:val="center"/>
                </w:tcPr>
                <w:p w14:paraId="42C33F78">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污染物</w:t>
                  </w:r>
                </w:p>
              </w:tc>
              <w:tc>
                <w:tcPr>
                  <w:tcW w:w="763" w:type="dxa"/>
                  <w:vMerge w:val="restart"/>
                  <w:vAlign w:val="center"/>
                </w:tcPr>
                <w:p w14:paraId="5766C984">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平均时间</w:t>
                  </w:r>
                </w:p>
              </w:tc>
              <w:tc>
                <w:tcPr>
                  <w:tcW w:w="763" w:type="dxa"/>
                  <w:vMerge w:val="restart"/>
                  <w:vAlign w:val="center"/>
                </w:tcPr>
                <w:p w14:paraId="1D4DAE83">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评价标准</w:t>
                  </w:r>
                </w:p>
              </w:tc>
              <w:tc>
                <w:tcPr>
                  <w:tcW w:w="763" w:type="dxa"/>
                  <w:vMerge w:val="restart"/>
                  <w:vAlign w:val="center"/>
                </w:tcPr>
                <w:p w14:paraId="482C9E19">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监测浓度范围</w:t>
                  </w:r>
                </w:p>
              </w:tc>
              <w:tc>
                <w:tcPr>
                  <w:tcW w:w="763" w:type="dxa"/>
                  <w:vMerge w:val="restart"/>
                  <w:vAlign w:val="center"/>
                </w:tcPr>
                <w:p w14:paraId="72B9FBFF">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最大浓度占标率%</w:t>
                  </w:r>
                </w:p>
              </w:tc>
              <w:tc>
                <w:tcPr>
                  <w:tcW w:w="764" w:type="dxa"/>
                  <w:vMerge w:val="restart"/>
                  <w:vAlign w:val="center"/>
                </w:tcPr>
                <w:p w14:paraId="64055A73">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超标率%</w:t>
                  </w:r>
                </w:p>
              </w:tc>
              <w:tc>
                <w:tcPr>
                  <w:tcW w:w="764" w:type="dxa"/>
                  <w:vMerge w:val="restart"/>
                  <w:vAlign w:val="center"/>
                </w:tcPr>
                <w:p w14:paraId="3C6BCE83">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达标情况</w:t>
                  </w:r>
                </w:p>
              </w:tc>
            </w:tr>
            <w:tr w14:paraId="789DF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Merge w:val="continue"/>
                  <w:vAlign w:val="center"/>
                </w:tcPr>
                <w:p w14:paraId="7F03FBDE">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763" w:type="dxa"/>
                  <w:vAlign w:val="center"/>
                </w:tcPr>
                <w:p w14:paraId="56E26457">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X</w:t>
                  </w:r>
                </w:p>
              </w:tc>
              <w:tc>
                <w:tcPr>
                  <w:tcW w:w="763" w:type="dxa"/>
                  <w:vAlign w:val="center"/>
                </w:tcPr>
                <w:p w14:paraId="46303EA3">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Y</w:t>
                  </w:r>
                </w:p>
              </w:tc>
              <w:tc>
                <w:tcPr>
                  <w:tcW w:w="763" w:type="dxa"/>
                  <w:vMerge w:val="continue"/>
                  <w:vAlign w:val="center"/>
                </w:tcPr>
                <w:p w14:paraId="43DFD5AC">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763" w:type="dxa"/>
                  <w:vMerge w:val="continue"/>
                  <w:vAlign w:val="center"/>
                </w:tcPr>
                <w:p w14:paraId="7D14F4E2">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763" w:type="dxa"/>
                  <w:vMerge w:val="continue"/>
                  <w:vAlign w:val="center"/>
                </w:tcPr>
                <w:p w14:paraId="2803744B">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763" w:type="dxa"/>
                  <w:vMerge w:val="continue"/>
                  <w:vAlign w:val="center"/>
                </w:tcPr>
                <w:p w14:paraId="27913432">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763" w:type="dxa"/>
                  <w:vMerge w:val="continue"/>
                  <w:vAlign w:val="center"/>
                </w:tcPr>
                <w:p w14:paraId="088C1891">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764" w:type="dxa"/>
                  <w:vMerge w:val="continue"/>
                  <w:vAlign w:val="center"/>
                </w:tcPr>
                <w:p w14:paraId="01972136">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764" w:type="dxa"/>
                  <w:vMerge w:val="continue"/>
                  <w:vAlign w:val="center"/>
                </w:tcPr>
                <w:p w14:paraId="1DE1C061">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r>
            <w:tr w14:paraId="3F5A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6067D07B">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和村</w:t>
                  </w:r>
                </w:p>
              </w:tc>
              <w:tc>
                <w:tcPr>
                  <w:tcW w:w="763" w:type="dxa"/>
                  <w:vAlign w:val="center"/>
                </w:tcPr>
                <w:p w14:paraId="09B5DB60">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N24</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6</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37.05</w:t>
                  </w:r>
                  <w:r>
                    <w:rPr>
                      <w:rFonts w:hint="eastAsia" w:ascii="Times New Roman" w:hAnsi="Times New Roman" w:eastAsia="宋体" w:cs="Times New Roman"/>
                      <w:color w:val="000000" w:themeColor="text1"/>
                      <w:szCs w:val="21"/>
                      <w14:textFill>
                        <w14:solidFill>
                          <w14:schemeClr w14:val="tx1"/>
                        </w14:solidFill>
                      </w14:textFill>
                    </w:rPr>
                    <w:t>″</w:t>
                  </w:r>
                </w:p>
              </w:tc>
              <w:tc>
                <w:tcPr>
                  <w:tcW w:w="763" w:type="dxa"/>
                  <w:vAlign w:val="center"/>
                </w:tcPr>
                <w:p w14:paraId="20AD9970">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E113</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24</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44.91</w:t>
                  </w:r>
                  <w:r>
                    <w:rPr>
                      <w:rFonts w:hint="eastAsia" w:ascii="Times New Roman" w:hAnsi="Times New Roman" w:eastAsia="宋体" w:cs="Times New Roman"/>
                      <w:color w:val="000000" w:themeColor="text1"/>
                      <w:szCs w:val="21"/>
                      <w14:textFill>
                        <w14:solidFill>
                          <w14:schemeClr w14:val="tx1"/>
                        </w14:solidFill>
                      </w14:textFill>
                    </w:rPr>
                    <w:t>″</w:t>
                  </w:r>
                </w:p>
              </w:tc>
              <w:tc>
                <w:tcPr>
                  <w:tcW w:w="763" w:type="dxa"/>
                  <w:vAlign w:val="center"/>
                </w:tcPr>
                <w:p w14:paraId="3EE433EE">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T</w:t>
                  </w:r>
                  <w:r>
                    <w:rPr>
                      <w:rFonts w:ascii="Times New Roman" w:hAnsi="Times New Roman" w:eastAsia="宋体" w:cs="Times New Roman"/>
                      <w:color w:val="000000" w:themeColor="text1"/>
                      <w:szCs w:val="21"/>
                      <w14:textFill>
                        <w14:solidFill>
                          <w14:schemeClr w14:val="tx1"/>
                        </w14:solidFill>
                      </w14:textFill>
                    </w:rPr>
                    <w:t>SP</w:t>
                  </w:r>
                </w:p>
              </w:tc>
              <w:tc>
                <w:tcPr>
                  <w:tcW w:w="763" w:type="dxa"/>
                  <w:vAlign w:val="center"/>
                </w:tcPr>
                <w:p w14:paraId="53A90DEC">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日均值</w:t>
                  </w:r>
                </w:p>
              </w:tc>
              <w:tc>
                <w:tcPr>
                  <w:tcW w:w="763" w:type="dxa"/>
                  <w:vAlign w:val="center"/>
                </w:tcPr>
                <w:p w14:paraId="1787F61F">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.3mg/m</w:t>
                  </w:r>
                  <w:r>
                    <w:rPr>
                      <w:rFonts w:ascii="Times New Roman" w:hAnsi="Times New Roman" w:eastAsia="宋体" w:cs="Times New Roman"/>
                      <w:color w:val="000000" w:themeColor="text1"/>
                      <w:szCs w:val="21"/>
                      <w:vertAlign w:val="superscript"/>
                      <w14:textFill>
                        <w14:solidFill>
                          <w14:schemeClr w14:val="tx1"/>
                        </w14:solidFill>
                      </w14:textFill>
                    </w:rPr>
                    <w:t>3</w:t>
                  </w:r>
                </w:p>
              </w:tc>
              <w:tc>
                <w:tcPr>
                  <w:tcW w:w="763" w:type="dxa"/>
                  <w:vAlign w:val="center"/>
                </w:tcPr>
                <w:p w14:paraId="55F9BF81">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0.047~0.111mg/m</w:t>
                  </w:r>
                  <w:r>
                    <w:rPr>
                      <w:rFonts w:ascii="Times New Roman" w:hAnsi="Times New Roman" w:eastAsia="宋体" w:cs="Times New Roman"/>
                      <w:color w:val="000000" w:themeColor="text1"/>
                      <w:szCs w:val="21"/>
                      <w:vertAlign w:val="superscript"/>
                      <w14:textFill>
                        <w14:solidFill>
                          <w14:schemeClr w14:val="tx1"/>
                        </w14:solidFill>
                      </w14:textFill>
                    </w:rPr>
                    <w:t>3</w:t>
                  </w:r>
                </w:p>
              </w:tc>
              <w:tc>
                <w:tcPr>
                  <w:tcW w:w="763" w:type="dxa"/>
                  <w:vAlign w:val="center"/>
                </w:tcPr>
                <w:p w14:paraId="69349333">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7%</w:t>
                  </w:r>
                </w:p>
              </w:tc>
              <w:tc>
                <w:tcPr>
                  <w:tcW w:w="764" w:type="dxa"/>
                  <w:vAlign w:val="center"/>
                </w:tcPr>
                <w:p w14:paraId="20FFF57A">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p>
              </w:tc>
              <w:tc>
                <w:tcPr>
                  <w:tcW w:w="764" w:type="dxa"/>
                  <w:vAlign w:val="center"/>
                </w:tcPr>
                <w:p w14:paraId="16791D05">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达标</w:t>
                  </w:r>
                </w:p>
              </w:tc>
            </w:tr>
          </w:tbl>
          <w:p w14:paraId="41E9BFF7">
            <w:pPr>
              <w:adjustRightInd w:val="0"/>
              <w:snapToGri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根据《乐昌产业转移工业园</w:t>
            </w:r>
            <w:r>
              <w:rPr>
                <w:rFonts w:hint="eastAsia" w:ascii="Times New Roman" w:hAnsi="Times New Roman" w:eastAsia="宋体" w:cs="Times New Roman"/>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023年度环境管理状况评估报告》监测结果可见：评价区域总悬浮颗粒物日均浓度范围在</w:t>
            </w:r>
            <w:r>
              <w:rPr>
                <w:rFonts w:hint="eastAsia" w:ascii="Times New Roman" w:hAnsi="Times New Roman" w:eastAsia="宋体" w:cs="Times New Roman"/>
                <w:color w:val="000000" w:themeColor="text1"/>
                <w:sz w:val="24"/>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.047~0.111mg/m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之间，最大浓度占标率为</w:t>
            </w:r>
            <w:r>
              <w:rPr>
                <w:rFonts w:hint="eastAsia" w:ascii="Times New Roman" w:hAnsi="Times New Roman" w:eastAsia="宋体" w:cs="Times New Roman"/>
                <w:color w:val="000000" w:themeColor="text1"/>
                <w:sz w:val="24"/>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7%，超标率为</w:t>
            </w:r>
            <w:r>
              <w:rPr>
                <w:rFonts w:hint="eastAsia" w:ascii="Times New Roman" w:hAnsi="Times New Roman" w:eastAsia="宋体" w:cs="Times New Roman"/>
                <w:color w:val="000000" w:themeColor="text1"/>
                <w:sz w:val="24"/>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。目前评价区域的总悬浮颗粒物浓度可满足评价标准要求。（详见附件</w:t>
            </w:r>
            <w:r>
              <w:rPr>
                <w:rFonts w:hint="eastAsia" w:ascii="Times New Roman" w:hAnsi="Times New Roman" w:eastAsia="宋体" w:cs="Times New Roman"/>
                <w:color w:val="000000" w:themeColor="text1"/>
                <w:sz w:val="24"/>
                <w14:textFill>
                  <w14:solidFill>
                    <w14:schemeClr w14:val="tx1"/>
                  </w14:solidFill>
                </w14:textFill>
              </w:rPr>
              <w:t>1</w:t>
            </w:r>
            <w:r>
              <w:rPr>
                <w:rFonts w:ascii="Times New Roman" w:hAnsi="Times New Roman" w:eastAsia="宋体" w:cs="Times New Roman"/>
                <w:color w:val="000000" w:themeColor="text1"/>
                <w:sz w:val="24"/>
                <w14:textFill>
                  <w14:solidFill>
                    <w14:schemeClr w14:val="tx1"/>
                  </w14:solidFill>
                </w14:textFill>
              </w:rPr>
              <w:t>）</w:t>
            </w:r>
          </w:p>
          <w:p w14:paraId="39692AD2">
            <w:pPr>
              <w:spacing w:line="360" w:lineRule="auto"/>
              <w:ind w:firstLine="480"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二、地表水环境质量现状</w:t>
            </w:r>
          </w:p>
          <w:p w14:paraId="7A8E2AE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根据《广东省地表水环境功能区划》（粤环</w:t>
            </w:r>
            <w:r>
              <w:rPr>
                <w:rFonts w:hint="default" w:ascii="Times New Roman" w:hAnsi="Times New Roman" w:cs="Times New Roman"/>
                <w:color w:val="auto"/>
                <w:kern w:val="0"/>
                <w:sz w:val="24"/>
                <w:szCs w:val="24"/>
                <w:highlight w:val="none"/>
              </w:rPr>
              <w:t>〔201</w:t>
            </w: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sz w:val="24"/>
                <w:szCs w:val="24"/>
                <w:highlight w:val="none"/>
              </w:rPr>
              <w:t>14号）</w:t>
            </w:r>
            <w:r>
              <w:rPr>
                <w:rFonts w:hint="default" w:ascii="Times New Roman" w:hAnsi="Times New Roman" w:cs="Times New Roman"/>
                <w:color w:val="auto"/>
                <w:sz w:val="24"/>
                <w:szCs w:val="24"/>
                <w:highlight w:val="none"/>
                <w:lang w:eastAsia="zh-CN"/>
              </w:rPr>
              <w:t>和《广东省水利厅关于印发&lt;韶关市部分饮用水水源保护区调整方案&gt;的通知》（粤环函</w:t>
            </w:r>
            <w:r>
              <w:rPr>
                <w:rFonts w:hint="default" w:ascii="Times New Roman" w:hAnsi="Times New Roman" w:cs="Times New Roman"/>
                <w:color w:val="auto"/>
                <w:kern w:val="0"/>
                <w:sz w:val="24"/>
                <w:szCs w:val="24"/>
                <w:highlight w:val="none"/>
              </w:rPr>
              <w:t>〔20</w:t>
            </w:r>
            <w:r>
              <w:rPr>
                <w:rFonts w:hint="default" w:ascii="Times New Roman" w:hAnsi="Times New Roman" w:cs="Times New Roman"/>
                <w:color w:val="auto"/>
                <w:kern w:val="0"/>
                <w:sz w:val="24"/>
                <w:szCs w:val="24"/>
                <w:highlight w:val="none"/>
                <w:lang w:val="en-US" w:eastAsia="zh-CN"/>
              </w:rPr>
              <w:t>24</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sz w:val="24"/>
                <w:szCs w:val="24"/>
                <w:highlight w:val="none"/>
                <w:lang w:eastAsia="zh-CN"/>
              </w:rPr>
              <w:t>146号）</w:t>
            </w:r>
            <w:r>
              <w:rPr>
                <w:rFonts w:hint="default" w:ascii="Times New Roman" w:hAnsi="Times New Roman" w:cs="Times New Roman"/>
                <w:color w:val="auto"/>
                <w:sz w:val="24"/>
                <w:szCs w:val="24"/>
                <w:highlight w:val="none"/>
              </w:rPr>
              <w:t>，本项目所在区域主要地表水及纳污水体为武江（乐昌城-犁市），为III类水质功能区，执行《地表水环境质量标准》（GB3838-2002）中的III类标准。根据《202</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年韶关市生态环境状况公报》，2024 年，韶关市11条主要江河</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北江、武江、浈江、南水河、墨江、锦江、马坝河、滃江、新丰江、横石水和大潭河</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34个市考以上手工监测断面水质优良率为100%，故项目所在地地表水环境质量现状良好。</w:t>
            </w:r>
          </w:p>
          <w:p w14:paraId="174E1698">
            <w:pPr>
              <w:spacing w:line="360" w:lineRule="auto"/>
              <w:ind w:firstLine="480"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三、声环境质量现状</w:t>
            </w:r>
          </w:p>
          <w:p w14:paraId="784A4AE2">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根据《建设项目环境影响报告表编制技术指南（污染影响类）（试行）》——厂界外周边50m范围内存在声环境保护目标的建设项目，应监测保护目标声环境质量现状并评价达标情况。本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厂界外50m无声环境保护目标，因此，项目无需调查声环境质量现状。</w:t>
            </w:r>
          </w:p>
          <w:p w14:paraId="602E2138">
            <w:pPr>
              <w:spacing w:line="360" w:lineRule="auto"/>
              <w:ind w:firstLine="480"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四、地下水、土壤环境质量现状</w:t>
            </w:r>
          </w:p>
          <w:p w14:paraId="57209F9C">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根据《建设项目环境影响报告表编制技术指南（污染影响类）（试行）》，原则上不开展地下水、土壤环境质量现状调查，本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正常情况下不存在地下水、土壤环境污染途径，因此，不开展地下水、土壤环境质量现状调查。</w:t>
            </w:r>
          </w:p>
          <w:p w14:paraId="6EDB8B4F">
            <w:pPr>
              <w:spacing w:line="360" w:lineRule="auto"/>
              <w:ind w:firstLine="480"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五、生态环境质量现状</w:t>
            </w:r>
          </w:p>
          <w:p w14:paraId="7EE59F2A">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已建有厂房（广东省韶关乐昌市乐昌产业转移工业园环园东路19号（厂房）），</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未在产业园区外新增用地，且用地范围内不含有生态环境保护目标，根据《建设项目环境影响报告表编制技术指南（污染影响类）（试行）》，本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无需进行生态现状调查。</w:t>
            </w:r>
          </w:p>
        </w:tc>
      </w:tr>
      <w:tr w14:paraId="367E52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445" w:type="pct"/>
            <w:vAlign w:val="center"/>
          </w:tcPr>
          <w:p w14:paraId="171AE030">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环境</w:t>
            </w:r>
          </w:p>
          <w:p w14:paraId="7D17497B">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保护</w:t>
            </w:r>
          </w:p>
          <w:p w14:paraId="016AEECC">
            <w:pPr>
              <w:adjustRightInd w:val="0"/>
              <w:snapToGrid w:val="0"/>
              <w:jc w:val="center"/>
              <w:rPr>
                <w:color w:val="000000" w:themeColor="text1"/>
                <w:kern w:val="0"/>
                <w:szCs w:val="21"/>
                <w14:textFill>
                  <w14:solidFill>
                    <w14:schemeClr w14:val="tx1"/>
                  </w14:solidFill>
                </w14:textFill>
              </w:rPr>
            </w:pPr>
            <w:r>
              <w:rPr>
                <w:color w:val="000000" w:themeColor="text1"/>
                <w:kern w:val="0"/>
                <w:sz w:val="24"/>
                <w14:textFill>
                  <w14:solidFill>
                    <w14:schemeClr w14:val="tx1"/>
                  </w14:solidFill>
                </w14:textFill>
              </w:rPr>
              <w:t>目标</w:t>
            </w:r>
          </w:p>
        </w:tc>
        <w:tc>
          <w:tcPr>
            <w:tcW w:w="4555" w:type="pct"/>
          </w:tcPr>
          <w:p w14:paraId="7E57A601">
            <w:pPr>
              <w:spacing w:line="360" w:lineRule="auto"/>
              <w:ind w:firstLine="480"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1、大气环境保护目标</w:t>
            </w:r>
          </w:p>
          <w:p w14:paraId="03E9197A">
            <w:pPr>
              <w:ind w:firstLine="420" w:firstLineChars="200"/>
              <w:jc w:val="center"/>
              <w:rPr>
                <w:rStyle w:val="57"/>
                <w:rFonts w:ascii="Times New Roman" w:hAnsi="Times New Roman" w:eastAsia="宋体" w:cs="Times New Roman"/>
                <w:b/>
                <w:color w:val="000000" w:themeColor="text1"/>
                <w14:textFill>
                  <w14:solidFill>
                    <w14:schemeClr w14:val="tx1"/>
                  </w14:solidFill>
                </w14:textFill>
              </w:rPr>
            </w:pPr>
            <w:r>
              <w:rPr>
                <w:rStyle w:val="57"/>
                <w:rFonts w:hint="eastAsia" w:ascii="Times New Roman" w:hAnsi="Times New Roman" w:eastAsia="宋体" w:cs="Times New Roman"/>
                <w:b/>
                <w:color w:val="000000" w:themeColor="text1"/>
                <w14:textFill>
                  <w14:solidFill>
                    <w14:schemeClr w14:val="tx1"/>
                  </w14:solidFill>
                </w14:textFill>
              </w:rPr>
              <w:t>表</w:t>
            </w:r>
            <w:r>
              <w:rPr>
                <w:rStyle w:val="57"/>
                <w:rFonts w:ascii="Times New Roman" w:hAnsi="Times New Roman" w:eastAsia="宋体" w:cs="Times New Roman"/>
                <w:b/>
                <w:color w:val="000000" w:themeColor="text1"/>
                <w14:textFill>
                  <w14:solidFill>
                    <w14:schemeClr w14:val="tx1"/>
                  </w14:solidFill>
                </w14:textFill>
              </w:rPr>
              <w:t>3-</w:t>
            </w:r>
            <w:r>
              <w:rPr>
                <w:rStyle w:val="57"/>
                <w:rFonts w:hint="eastAsia" w:ascii="Times New Roman" w:hAnsi="Times New Roman" w:eastAsia="宋体" w:cs="Times New Roman"/>
                <w:b/>
                <w:color w:val="000000" w:themeColor="text1"/>
                <w:lang w:val="en-US" w:eastAsia="zh-CN"/>
                <w14:textFill>
                  <w14:solidFill>
                    <w14:schemeClr w14:val="tx1"/>
                  </w14:solidFill>
                </w14:textFill>
              </w:rPr>
              <w:t>4</w:t>
            </w:r>
            <w:r>
              <w:rPr>
                <w:rStyle w:val="57"/>
                <w:rFonts w:hint="eastAsia" w:ascii="Times New Roman" w:hAnsi="Times New Roman" w:eastAsia="宋体" w:cs="Times New Roman"/>
                <w:b/>
                <w:color w:val="000000" w:themeColor="text1"/>
                <w14:textFill>
                  <w14:solidFill>
                    <w14:schemeClr w14:val="tx1"/>
                  </w14:solidFill>
                </w14:textFill>
              </w:rPr>
              <w:t xml:space="preserve"> 厂界外500m范围内大气环境保护目标</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1155"/>
              <w:gridCol w:w="1592"/>
              <w:gridCol w:w="1592"/>
              <w:gridCol w:w="1592"/>
            </w:tblGrid>
            <w:tr w14:paraId="5AEE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vAlign w:val="center"/>
                </w:tcPr>
                <w:p w14:paraId="3CACC5D8">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敏感点名称</w:t>
                  </w:r>
                </w:p>
              </w:tc>
              <w:tc>
                <w:tcPr>
                  <w:tcW w:w="1107" w:type="dxa"/>
                  <w:vAlign w:val="center"/>
                </w:tcPr>
                <w:p w14:paraId="4B2EC749">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方位</w:t>
                  </w:r>
                </w:p>
              </w:tc>
              <w:tc>
                <w:tcPr>
                  <w:tcW w:w="1526" w:type="dxa"/>
                  <w:vAlign w:val="center"/>
                </w:tcPr>
                <w:p w14:paraId="5CA010DD">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保护对象</w:t>
                  </w:r>
                </w:p>
              </w:tc>
              <w:tc>
                <w:tcPr>
                  <w:tcW w:w="1526" w:type="dxa"/>
                  <w:vAlign w:val="center"/>
                </w:tcPr>
                <w:p w14:paraId="03B3C3DB">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环境功能区</w:t>
                  </w:r>
                </w:p>
              </w:tc>
              <w:tc>
                <w:tcPr>
                  <w:tcW w:w="1526" w:type="dxa"/>
                  <w:vAlign w:val="center"/>
                </w:tcPr>
                <w:p w14:paraId="226D6CAC">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相对厂界距离</w:t>
                  </w:r>
                </w:p>
              </w:tc>
            </w:tr>
            <w:tr w14:paraId="7967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vAlign w:val="center"/>
                </w:tcPr>
                <w:p w14:paraId="136B48AC">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王屋村</w:t>
                  </w:r>
                </w:p>
              </w:tc>
              <w:tc>
                <w:tcPr>
                  <w:tcW w:w="1107" w:type="dxa"/>
                  <w:vAlign w:val="center"/>
                </w:tcPr>
                <w:p w14:paraId="15CF9CCB">
                  <w:pPr>
                    <w:jc w:val="center"/>
                    <w:rPr>
                      <w:rStyle w:val="57"/>
                      <w:rFonts w:ascii="Times New Roman" w:hAnsi="Times New Roman" w:eastAsia="宋体" w:cs="Times New Roman"/>
                      <w:b/>
                      <w:color w:val="000000" w:themeColor="text1"/>
                      <w14:textFill>
                        <w14:solidFill>
                          <w14:schemeClr w14:val="tx1"/>
                        </w14:solidFill>
                      </w14:textFill>
                    </w:rPr>
                  </w:pPr>
                  <w:r>
                    <w:rPr>
                      <w:color w:val="000000" w:themeColor="text1"/>
                      <w14:textFill>
                        <w14:solidFill>
                          <w14:schemeClr w14:val="tx1"/>
                        </w14:solidFill>
                      </w14:textFill>
                    </w:rPr>
                    <w:t>东北</w:t>
                  </w:r>
                </w:p>
              </w:tc>
              <w:tc>
                <w:tcPr>
                  <w:tcW w:w="1526" w:type="dxa"/>
                  <w:vAlign w:val="center"/>
                </w:tcPr>
                <w:p w14:paraId="58BED4F6">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居民</w:t>
                  </w:r>
                </w:p>
              </w:tc>
              <w:tc>
                <w:tcPr>
                  <w:tcW w:w="1526" w:type="dxa"/>
                  <w:vAlign w:val="center"/>
                </w:tcPr>
                <w:p w14:paraId="2BFCCA91">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环境空气二类</w:t>
                  </w:r>
                </w:p>
              </w:tc>
              <w:tc>
                <w:tcPr>
                  <w:tcW w:w="1526" w:type="dxa"/>
                  <w:vAlign w:val="center"/>
                </w:tcPr>
                <w:p w14:paraId="1BF3F76B">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120m</w:t>
                  </w:r>
                </w:p>
              </w:tc>
            </w:tr>
            <w:tr w14:paraId="611A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vAlign w:val="center"/>
                </w:tcPr>
                <w:p w14:paraId="11298535">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牛坪岗</w:t>
                  </w:r>
                </w:p>
              </w:tc>
              <w:tc>
                <w:tcPr>
                  <w:tcW w:w="1107" w:type="dxa"/>
                  <w:vAlign w:val="center"/>
                </w:tcPr>
                <w:p w14:paraId="00E7EEB1">
                  <w:pPr>
                    <w:jc w:val="center"/>
                    <w:rPr>
                      <w:rStyle w:val="57"/>
                      <w:rFonts w:ascii="Times New Roman" w:hAnsi="Times New Roman" w:eastAsia="宋体" w:cs="Times New Roman"/>
                      <w:b/>
                      <w:color w:val="000000" w:themeColor="text1"/>
                      <w14:textFill>
                        <w14:solidFill>
                          <w14:schemeClr w14:val="tx1"/>
                        </w14:solidFill>
                      </w14:textFill>
                    </w:rPr>
                  </w:pPr>
                  <w:r>
                    <w:rPr>
                      <w:color w:val="000000" w:themeColor="text1"/>
                      <w14:textFill>
                        <w14:solidFill>
                          <w14:schemeClr w14:val="tx1"/>
                        </w14:solidFill>
                      </w14:textFill>
                    </w:rPr>
                    <w:t>北</w:t>
                  </w:r>
                </w:p>
              </w:tc>
              <w:tc>
                <w:tcPr>
                  <w:tcW w:w="1526" w:type="dxa"/>
                  <w:vAlign w:val="center"/>
                </w:tcPr>
                <w:p w14:paraId="5CBCA4C3">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居民</w:t>
                  </w:r>
                </w:p>
              </w:tc>
              <w:tc>
                <w:tcPr>
                  <w:tcW w:w="1526" w:type="dxa"/>
                  <w:vAlign w:val="center"/>
                </w:tcPr>
                <w:p w14:paraId="4C09A9FA">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环境空气二类</w:t>
                  </w:r>
                </w:p>
              </w:tc>
              <w:tc>
                <w:tcPr>
                  <w:tcW w:w="1526" w:type="dxa"/>
                  <w:vAlign w:val="center"/>
                </w:tcPr>
                <w:p w14:paraId="29CAB8A8">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226m</w:t>
                  </w:r>
                </w:p>
              </w:tc>
            </w:tr>
            <w:tr w14:paraId="7593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vAlign w:val="center"/>
                </w:tcPr>
                <w:p w14:paraId="5F327F31">
                  <w:pPr>
                    <w:jc w:val="center"/>
                    <w:rPr>
                      <w:rStyle w:val="57"/>
                      <w:rFonts w:ascii="Times New Roman" w:hAnsi="Times New Roman" w:eastAsia="宋体" w:cs="Times New Roman"/>
                      <w:b/>
                      <w:color w:val="000000" w:themeColor="text1"/>
                      <w14:textFill>
                        <w14:solidFill>
                          <w14:schemeClr w14:val="tx1"/>
                        </w14:solidFill>
                      </w14:textFill>
                    </w:rPr>
                  </w:pPr>
                  <w:r>
                    <w:rPr>
                      <w:color w:val="000000" w:themeColor="text1"/>
                      <w14:textFill>
                        <w14:solidFill>
                          <w14:schemeClr w14:val="tx1"/>
                        </w14:solidFill>
                      </w14:textFill>
                    </w:rPr>
                    <w:t>王屋村村委会</w:t>
                  </w:r>
                </w:p>
              </w:tc>
              <w:tc>
                <w:tcPr>
                  <w:tcW w:w="1107" w:type="dxa"/>
                  <w:vAlign w:val="center"/>
                </w:tcPr>
                <w:p w14:paraId="2F465803">
                  <w:pPr>
                    <w:jc w:val="center"/>
                    <w:rPr>
                      <w:rStyle w:val="57"/>
                      <w:rFonts w:ascii="Times New Roman" w:hAnsi="Times New Roman" w:eastAsia="宋体" w:cs="Times New Roman"/>
                      <w:b/>
                      <w:color w:val="000000" w:themeColor="text1"/>
                      <w14:textFill>
                        <w14:solidFill>
                          <w14:schemeClr w14:val="tx1"/>
                        </w14:solidFill>
                      </w14:textFill>
                    </w:rPr>
                  </w:pPr>
                  <w:r>
                    <w:rPr>
                      <w:color w:val="000000" w:themeColor="text1"/>
                      <w14:textFill>
                        <w14:solidFill>
                          <w14:schemeClr w14:val="tx1"/>
                        </w14:solidFill>
                      </w14:textFill>
                    </w:rPr>
                    <w:t>西</w:t>
                  </w:r>
                </w:p>
              </w:tc>
              <w:tc>
                <w:tcPr>
                  <w:tcW w:w="1526" w:type="dxa"/>
                  <w:vAlign w:val="center"/>
                </w:tcPr>
                <w:p w14:paraId="38AB436E">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居民</w:t>
                  </w:r>
                </w:p>
              </w:tc>
              <w:tc>
                <w:tcPr>
                  <w:tcW w:w="1526" w:type="dxa"/>
                  <w:vAlign w:val="center"/>
                </w:tcPr>
                <w:p w14:paraId="1D46B2B9">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环境空气二类</w:t>
                  </w:r>
                </w:p>
              </w:tc>
              <w:tc>
                <w:tcPr>
                  <w:tcW w:w="1526" w:type="dxa"/>
                  <w:vAlign w:val="center"/>
                </w:tcPr>
                <w:p w14:paraId="3C431BEE">
                  <w:pPr>
                    <w:jc w:val="center"/>
                    <w:rPr>
                      <w:rStyle w:val="57"/>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356m</w:t>
                  </w:r>
                </w:p>
              </w:tc>
            </w:tr>
          </w:tbl>
          <w:p w14:paraId="4E79DA08">
            <w:pPr>
              <w:ind w:firstLine="420" w:firstLineChars="200"/>
              <w:jc w:val="center"/>
              <w:rPr>
                <w:rStyle w:val="57"/>
                <w:rFonts w:ascii="Times New Roman" w:hAnsi="Times New Roman" w:eastAsia="宋体" w:cs="Times New Roman"/>
                <w:b/>
                <w:color w:val="000000" w:themeColor="text1"/>
                <w14:textFill>
                  <w14:solidFill>
                    <w14:schemeClr w14:val="tx1"/>
                  </w14:solidFill>
                </w14:textFill>
              </w:rPr>
            </w:pPr>
          </w:p>
          <w:p w14:paraId="6EAF976A">
            <w:pPr>
              <w:spacing w:line="360" w:lineRule="auto"/>
              <w:ind w:firstLine="480"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2、声环境保护目标</w:t>
            </w:r>
          </w:p>
          <w:p w14:paraId="6150BFCE">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厂界外50米范围内不存在声环境保护目标。</w:t>
            </w:r>
          </w:p>
          <w:p w14:paraId="71DB3D3D">
            <w:pPr>
              <w:spacing w:line="360" w:lineRule="auto"/>
              <w:ind w:firstLine="480"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3、地下水环境保护目标</w:t>
            </w:r>
          </w:p>
          <w:p w14:paraId="02C95396">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厂界外500米范围内不存在地下水集中式饮用水水源和热水、矿泉水、温泉等特殊地下水资源，无地下水环境保护目标。</w:t>
            </w:r>
          </w:p>
          <w:p w14:paraId="00984FE1">
            <w:pPr>
              <w:spacing w:line="360" w:lineRule="auto"/>
              <w:ind w:firstLine="480"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4、生态环境保护目标</w:t>
            </w:r>
          </w:p>
          <w:p w14:paraId="6E3D088F">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位于广东省韶关市乐昌市乐昌产业转移工业园内,未在产业园区外新增用地。无生态环境保护目标。</w:t>
            </w:r>
          </w:p>
        </w:tc>
      </w:tr>
      <w:tr w14:paraId="306B42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445" w:type="pct"/>
            <w:tcMar>
              <w:left w:w="28" w:type="dxa"/>
              <w:right w:w="28" w:type="dxa"/>
            </w:tcMar>
            <w:vAlign w:val="center"/>
          </w:tcPr>
          <w:p w14:paraId="271D958F">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w:t>
            </w:r>
          </w:p>
          <w:p w14:paraId="34FF5F93">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物排</w:t>
            </w:r>
          </w:p>
          <w:p w14:paraId="44024EF6">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放控</w:t>
            </w:r>
          </w:p>
          <w:p w14:paraId="279C14ED">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制标</w:t>
            </w:r>
          </w:p>
          <w:p w14:paraId="29DB8E9B">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准</w:t>
            </w:r>
          </w:p>
        </w:tc>
        <w:tc>
          <w:tcPr>
            <w:tcW w:w="4555" w:type="pct"/>
            <w:vAlign w:val="center"/>
          </w:tcPr>
          <w:p w14:paraId="66FAA739">
            <w:pPr>
              <w:adjustRightInd w:val="0"/>
              <w:snapToGrid w:val="0"/>
              <w:spacing w:line="360" w:lineRule="auto"/>
              <w:rPr>
                <w:rFonts w:ascii="Times New Roman" w:hAnsi="Times New Roman" w:cs="Times New Roman"/>
                <w:b/>
                <w:bCs/>
                <w:color w:val="000000" w:themeColor="text1"/>
                <w:kern w:val="0"/>
                <w:sz w:val="24"/>
                <w14:textFill>
                  <w14:solidFill>
                    <w14:schemeClr w14:val="tx1"/>
                  </w14:solidFill>
                </w14:textFill>
              </w:rPr>
            </w:pPr>
            <w:r>
              <w:rPr>
                <w:rFonts w:ascii="Times New Roman" w:hAnsi="Times New Roman" w:cs="Times New Roman"/>
                <w:b/>
                <w:bCs/>
                <w:color w:val="000000" w:themeColor="text1"/>
                <w:kern w:val="0"/>
                <w:sz w:val="24"/>
                <w14:textFill>
                  <w14:solidFill>
                    <w14:schemeClr w14:val="tx1"/>
                  </w14:solidFill>
                </w14:textFill>
              </w:rPr>
              <w:t>营运期污染物排放控制标准：</w:t>
            </w:r>
          </w:p>
          <w:p w14:paraId="38EE2A85">
            <w:pPr>
              <w:adjustRightInd w:val="0"/>
              <w:snapToGri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kern w:val="0"/>
                <w:sz w:val="24"/>
                <w:szCs w:val="21"/>
                <w14:textFill>
                  <w14:solidFill>
                    <w14:schemeClr w14:val="tx1"/>
                  </w14:solidFill>
                </w14:textFill>
              </w:rPr>
              <w:t>1、废水排放标准</w:t>
            </w:r>
          </w:p>
          <w:p w14:paraId="36284173">
            <w:pPr>
              <w:pStyle w:val="301"/>
              <w:jc w:val="left"/>
              <w:rPr>
                <w:rFonts w:cs="Times New Roman"/>
                <w:color w:val="000000" w:themeColor="text1"/>
                <w:szCs w:val="21"/>
                <w14:textFill>
                  <w14:solidFill>
                    <w14:schemeClr w14:val="tx1"/>
                  </w14:solidFill>
                </w14:textFill>
              </w:rPr>
            </w:pPr>
            <w:r>
              <w:rPr>
                <w:rFonts w:hint="eastAsia" w:cs="Times New Roman"/>
                <w:color w:val="000000" w:themeColor="text1"/>
                <w:szCs w:val="21"/>
                <w14:textFill>
                  <w14:solidFill>
                    <w14:schemeClr w14:val="tx1"/>
                  </w14:solidFill>
                </w14:textFill>
              </w:rPr>
              <w:t>本</w:t>
            </w:r>
            <w:r>
              <w:rPr>
                <w:rFonts w:hint="eastAsia" w:cs="Times New Roman"/>
                <w:color w:val="000000" w:themeColor="text1"/>
                <w:szCs w:val="21"/>
                <w:lang w:eastAsia="zh-CN"/>
                <w14:textFill>
                  <w14:solidFill>
                    <w14:schemeClr w14:val="tx1"/>
                  </w14:solidFill>
                </w14:textFill>
              </w:rPr>
              <w:t>项目</w:t>
            </w:r>
            <w:r>
              <w:rPr>
                <w:rFonts w:hint="eastAsia" w:cs="Times New Roman"/>
                <w:color w:val="000000" w:themeColor="text1"/>
                <w:szCs w:val="21"/>
                <w14:textFill>
                  <w14:solidFill>
                    <w14:schemeClr w14:val="tx1"/>
                  </w14:solidFill>
                </w14:textFill>
              </w:rPr>
              <w:t>废水为办公生活污水及间接冷却水。间接冷却水为清净下水，办公生活污水经三级化粪池处理，达到园区污水处理厂进水水质要求</w:t>
            </w:r>
            <w:bookmarkStart w:id="46" w:name="_GoBack"/>
            <w:bookmarkEnd w:id="46"/>
            <w:r>
              <w:rPr>
                <w:rFonts w:hint="eastAsia" w:cs="Times New Roman"/>
                <w:color w:val="000000" w:themeColor="text1"/>
                <w:szCs w:val="21"/>
                <w14:textFill>
                  <w14:solidFill>
                    <w14:schemeClr w14:val="tx1"/>
                  </w14:solidFill>
                </w14:textFill>
              </w:rPr>
              <w:t>后汇同间接冷却水排入园区污水处理厂进行处理，处理达到《城镇污水处理厂污染物排放标准》（GB18918-2002）及修改单中一级</w:t>
            </w:r>
            <w:r>
              <w:rPr>
                <w:rFonts w:hint="eastAsia" w:cs="Times New Roman"/>
                <w:color w:val="000000" w:themeColor="text1"/>
                <w:szCs w:val="21"/>
                <w:lang w:val="en-US" w:eastAsia="zh-CN"/>
                <w14:textFill>
                  <w14:solidFill>
                    <w14:schemeClr w14:val="tx1"/>
                  </w14:solidFill>
                </w14:textFill>
              </w:rPr>
              <w:t>A</w:t>
            </w:r>
            <w:r>
              <w:rPr>
                <w:rFonts w:hint="eastAsia" w:cs="Times New Roman"/>
                <w:color w:val="000000" w:themeColor="text1"/>
                <w:szCs w:val="21"/>
                <w14:textFill>
                  <w14:solidFill>
                    <w14:schemeClr w14:val="tx1"/>
                  </w14:solidFill>
                </w14:textFill>
              </w:rPr>
              <w:t>标准和广东省《水污染物排放限值》（DB44/26-2001）中的第二时段一级排放标准中较严者后排入武江（乐昌城-犁市）河段。</w:t>
            </w:r>
          </w:p>
          <w:p w14:paraId="32B20670">
            <w:pPr>
              <w:pStyle w:val="301"/>
              <w:spacing w:line="240" w:lineRule="auto"/>
              <w:ind w:firstLine="0" w:firstLineChars="0"/>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表3-</w:t>
            </w:r>
            <w:r>
              <w:rPr>
                <w:rFonts w:hint="eastAsia" w:cs="Times New Roman"/>
                <w:b/>
                <w:color w:val="000000" w:themeColor="text1"/>
                <w:sz w:val="21"/>
                <w:szCs w:val="21"/>
                <w:lang w:val="en-US" w:eastAsia="zh-CN"/>
                <w14:textFill>
                  <w14:solidFill>
                    <w14:schemeClr w14:val="tx1"/>
                  </w14:solidFill>
                </w14:textFill>
              </w:rPr>
              <w:t>5</w:t>
            </w:r>
            <w:r>
              <w:rPr>
                <w:rFonts w:cs="Times New Roman"/>
                <w:b/>
                <w:color w:val="000000" w:themeColor="text1"/>
                <w:sz w:val="21"/>
                <w:szCs w:val="21"/>
                <w14:textFill>
                  <w14:solidFill>
                    <w14:schemeClr w14:val="tx1"/>
                  </w14:solidFill>
                </w14:textFill>
              </w:rPr>
              <w:t xml:space="preserve"> </w:t>
            </w:r>
            <w:r>
              <w:rPr>
                <w:rFonts w:hint="eastAsia" w:cs="Times New Roman"/>
                <w:b/>
                <w:color w:val="000000" w:themeColor="text1"/>
                <w:sz w:val="21"/>
                <w:szCs w:val="21"/>
                <w14:textFill>
                  <w14:solidFill>
                    <w14:schemeClr w14:val="tx1"/>
                  </w14:solidFill>
                </w14:textFill>
              </w:rPr>
              <w:t>项目水污染物排放标准（单位为 mg/L（pH 为无量纲））</w:t>
            </w:r>
          </w:p>
          <w:tbl>
            <w:tblPr>
              <w:tblStyle w:val="187"/>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9"/>
              <w:gridCol w:w="1697"/>
              <w:gridCol w:w="1554"/>
              <w:gridCol w:w="3187"/>
            </w:tblGrid>
            <w:tr w14:paraId="12E29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jc w:val="center"/>
              </w:trPr>
              <w:tc>
                <w:tcPr>
                  <w:tcW w:w="1530" w:type="dxa"/>
                  <w:tcBorders>
                    <w:left w:val="single" w:color="auto" w:sz="4" w:space="0"/>
                    <w:bottom w:val="nil"/>
                  </w:tcBorders>
                  <w:vAlign w:val="center"/>
                </w:tcPr>
                <w:p w14:paraId="593C4914">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废水类型</w:t>
                  </w:r>
                </w:p>
              </w:tc>
              <w:tc>
                <w:tcPr>
                  <w:tcW w:w="1699" w:type="dxa"/>
                  <w:vAlign w:val="center"/>
                </w:tcPr>
                <w:p w14:paraId="78CC6059">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污染因子</w:t>
                  </w:r>
                </w:p>
              </w:tc>
              <w:tc>
                <w:tcPr>
                  <w:tcW w:w="1556" w:type="dxa"/>
                  <w:vAlign w:val="center"/>
                </w:tcPr>
                <w:p w14:paraId="53993F9A">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排放限值</w:t>
                  </w:r>
                </w:p>
              </w:tc>
              <w:tc>
                <w:tcPr>
                  <w:tcW w:w="3190" w:type="dxa"/>
                  <w:vAlign w:val="center"/>
                </w:tcPr>
                <w:p w14:paraId="3929C7CB">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排放标准</w:t>
                  </w:r>
                </w:p>
              </w:tc>
            </w:tr>
            <w:tr w14:paraId="2D3EA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1530" w:type="dxa"/>
                  <w:vMerge w:val="restart"/>
                  <w:tcBorders>
                    <w:left w:val="single" w:color="auto" w:sz="4" w:space="0"/>
                    <w:bottom w:val="nil"/>
                  </w:tcBorders>
                  <w:vAlign w:val="center"/>
                </w:tcPr>
                <w:p w14:paraId="18C33CD0">
                  <w:pPr>
                    <w:pStyle w:val="315"/>
                    <w:spacing w:before="65" w:line="228"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办公生活污水</w:t>
                  </w:r>
                </w:p>
              </w:tc>
              <w:tc>
                <w:tcPr>
                  <w:tcW w:w="1699" w:type="dxa"/>
                  <w:vAlign w:val="center"/>
                </w:tcPr>
                <w:p w14:paraId="1500BF32">
                  <w:pPr>
                    <w:pStyle w:val="315"/>
                    <w:spacing w:before="31" w:line="217"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pH值</w:t>
                  </w:r>
                </w:p>
              </w:tc>
              <w:tc>
                <w:tcPr>
                  <w:tcW w:w="1556" w:type="dxa"/>
                  <w:vAlign w:val="center"/>
                </w:tcPr>
                <w:p w14:paraId="58B3AD84">
                  <w:pPr>
                    <w:autoSpaceDE w:val="0"/>
                    <w:autoSpaceDN w:val="0"/>
                    <w:spacing w:before="67" w:line="195"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6-9</w:t>
                  </w:r>
                </w:p>
              </w:tc>
              <w:tc>
                <w:tcPr>
                  <w:tcW w:w="3190" w:type="dxa"/>
                  <w:vMerge w:val="restart"/>
                  <w:tcBorders>
                    <w:bottom w:val="nil"/>
                  </w:tcBorders>
                  <w:vAlign w:val="center"/>
                </w:tcPr>
                <w:p w14:paraId="00147E51">
                  <w:pPr>
                    <w:pStyle w:val="315"/>
                    <w:spacing w:before="65" w:line="228"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园区污水处理厂进水水质要求</w:t>
                  </w:r>
                </w:p>
              </w:tc>
            </w:tr>
            <w:tr w14:paraId="521F4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jc w:val="center"/>
              </w:trPr>
              <w:tc>
                <w:tcPr>
                  <w:tcW w:w="1530" w:type="dxa"/>
                  <w:vMerge w:val="continue"/>
                  <w:tcBorders>
                    <w:top w:val="nil"/>
                    <w:left w:val="single" w:color="auto" w:sz="4" w:space="0"/>
                    <w:bottom w:val="nil"/>
                  </w:tcBorders>
                  <w:vAlign w:val="center"/>
                </w:tcPr>
                <w:p w14:paraId="57F3461F">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p>
              </w:tc>
              <w:tc>
                <w:tcPr>
                  <w:tcW w:w="1699" w:type="dxa"/>
                  <w:vAlign w:val="center"/>
                </w:tcPr>
                <w:p w14:paraId="2AD600BC">
                  <w:pPr>
                    <w:autoSpaceDE w:val="0"/>
                    <w:autoSpaceDN w:val="0"/>
                    <w:spacing w:before="52" w:line="193"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SS</w:t>
                  </w:r>
                </w:p>
              </w:tc>
              <w:tc>
                <w:tcPr>
                  <w:tcW w:w="1556" w:type="dxa"/>
                  <w:vAlign w:val="center"/>
                </w:tcPr>
                <w:p w14:paraId="6EE6EE3B">
                  <w:pPr>
                    <w:autoSpaceDE w:val="0"/>
                    <w:autoSpaceDN w:val="0"/>
                    <w:spacing w:before="52" w:line="193"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250</w:t>
                  </w:r>
                </w:p>
              </w:tc>
              <w:tc>
                <w:tcPr>
                  <w:tcW w:w="3190" w:type="dxa"/>
                  <w:vMerge w:val="continue"/>
                  <w:tcBorders>
                    <w:top w:val="nil"/>
                    <w:bottom w:val="nil"/>
                  </w:tcBorders>
                  <w:vAlign w:val="center"/>
                </w:tcPr>
                <w:p w14:paraId="2C4E47A5">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p>
              </w:tc>
            </w:tr>
            <w:tr w14:paraId="2A264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jc w:val="center"/>
              </w:trPr>
              <w:tc>
                <w:tcPr>
                  <w:tcW w:w="1530" w:type="dxa"/>
                  <w:vMerge w:val="continue"/>
                  <w:tcBorders>
                    <w:top w:val="nil"/>
                    <w:left w:val="single" w:color="auto" w:sz="4" w:space="0"/>
                    <w:bottom w:val="nil"/>
                  </w:tcBorders>
                  <w:vAlign w:val="center"/>
                </w:tcPr>
                <w:p w14:paraId="143FA17A">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p>
              </w:tc>
              <w:tc>
                <w:tcPr>
                  <w:tcW w:w="1699" w:type="dxa"/>
                  <w:vAlign w:val="center"/>
                </w:tcPr>
                <w:p w14:paraId="68227173">
                  <w:pPr>
                    <w:autoSpaceDE w:val="0"/>
                    <w:autoSpaceDN w:val="0"/>
                    <w:spacing w:before="52" w:line="192"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COD</w:t>
                  </w:r>
                  <w:r>
                    <w:rPr>
                      <w:rFonts w:hint="eastAsia" w:ascii="Times New Roman" w:hAnsi="Times New Roman" w:eastAsia="宋体" w:cs="Times New Roman"/>
                      <w:color w:val="000000" w:themeColor="text1"/>
                      <w:szCs w:val="21"/>
                      <w:vertAlign w:val="subscript"/>
                      <w:lang w:eastAsia="zh-CN"/>
                      <w14:textFill>
                        <w14:solidFill>
                          <w14:schemeClr w14:val="tx1"/>
                        </w14:solidFill>
                      </w14:textFill>
                    </w:rPr>
                    <w:t>Cr</w:t>
                  </w:r>
                </w:p>
              </w:tc>
              <w:tc>
                <w:tcPr>
                  <w:tcW w:w="1556" w:type="dxa"/>
                  <w:vAlign w:val="center"/>
                </w:tcPr>
                <w:p w14:paraId="0C674875">
                  <w:pPr>
                    <w:autoSpaceDE w:val="0"/>
                    <w:autoSpaceDN w:val="0"/>
                    <w:spacing w:before="52" w:line="192"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300</w:t>
                  </w:r>
                </w:p>
              </w:tc>
              <w:tc>
                <w:tcPr>
                  <w:tcW w:w="3190" w:type="dxa"/>
                  <w:vMerge w:val="continue"/>
                  <w:tcBorders>
                    <w:top w:val="nil"/>
                    <w:bottom w:val="nil"/>
                  </w:tcBorders>
                  <w:vAlign w:val="center"/>
                </w:tcPr>
                <w:p w14:paraId="715377C2">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p>
              </w:tc>
            </w:tr>
            <w:tr w14:paraId="6E429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jc w:val="center"/>
              </w:trPr>
              <w:tc>
                <w:tcPr>
                  <w:tcW w:w="1530" w:type="dxa"/>
                  <w:vMerge w:val="continue"/>
                  <w:tcBorders>
                    <w:top w:val="nil"/>
                    <w:left w:val="single" w:color="auto" w:sz="4" w:space="0"/>
                    <w:bottom w:val="nil"/>
                  </w:tcBorders>
                  <w:vAlign w:val="center"/>
                </w:tcPr>
                <w:p w14:paraId="19008F3C">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p>
              </w:tc>
              <w:tc>
                <w:tcPr>
                  <w:tcW w:w="1699" w:type="dxa"/>
                  <w:vAlign w:val="center"/>
                </w:tcPr>
                <w:p w14:paraId="4583BCC6">
                  <w:pPr>
                    <w:autoSpaceDE w:val="0"/>
                    <w:autoSpaceDN w:val="0"/>
                    <w:spacing w:before="53" w:line="192"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BOD</w:t>
                  </w:r>
                  <w:r>
                    <w:rPr>
                      <w:rFonts w:hint="eastAsia" w:ascii="Times New Roman" w:hAnsi="Times New Roman" w:eastAsia="宋体" w:cs="Times New Roman"/>
                      <w:color w:val="000000" w:themeColor="text1"/>
                      <w:szCs w:val="21"/>
                      <w:vertAlign w:val="subscript"/>
                      <w:lang w:eastAsia="zh-CN"/>
                      <w14:textFill>
                        <w14:solidFill>
                          <w14:schemeClr w14:val="tx1"/>
                        </w14:solidFill>
                      </w14:textFill>
                    </w:rPr>
                    <w:t>5</w:t>
                  </w:r>
                </w:p>
              </w:tc>
              <w:tc>
                <w:tcPr>
                  <w:tcW w:w="1556" w:type="dxa"/>
                  <w:vAlign w:val="center"/>
                </w:tcPr>
                <w:p w14:paraId="69EDD8CF">
                  <w:pPr>
                    <w:autoSpaceDE w:val="0"/>
                    <w:autoSpaceDN w:val="0"/>
                    <w:spacing w:before="53" w:line="192"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150</w:t>
                  </w:r>
                </w:p>
              </w:tc>
              <w:tc>
                <w:tcPr>
                  <w:tcW w:w="3190" w:type="dxa"/>
                  <w:vMerge w:val="continue"/>
                  <w:tcBorders>
                    <w:top w:val="nil"/>
                    <w:bottom w:val="nil"/>
                  </w:tcBorders>
                  <w:vAlign w:val="center"/>
                </w:tcPr>
                <w:p w14:paraId="64A37814">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p>
              </w:tc>
            </w:tr>
            <w:tr w14:paraId="74084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7" w:hRule="atLeast"/>
                <w:jc w:val="center"/>
              </w:trPr>
              <w:tc>
                <w:tcPr>
                  <w:tcW w:w="1530" w:type="dxa"/>
                  <w:vMerge w:val="continue"/>
                  <w:tcBorders>
                    <w:top w:val="nil"/>
                    <w:left w:val="single" w:color="auto" w:sz="4" w:space="0"/>
                    <w:bottom w:val="single" w:color="auto" w:sz="4" w:space="0"/>
                  </w:tcBorders>
                  <w:vAlign w:val="center"/>
                </w:tcPr>
                <w:p w14:paraId="0B18AF83">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p>
              </w:tc>
              <w:tc>
                <w:tcPr>
                  <w:tcW w:w="1699" w:type="dxa"/>
                  <w:vAlign w:val="center"/>
                </w:tcPr>
                <w:p w14:paraId="4D11E85D">
                  <w:pPr>
                    <w:pStyle w:val="315"/>
                    <w:spacing w:before="31" w:line="217"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氨氮</w:t>
                  </w:r>
                </w:p>
              </w:tc>
              <w:tc>
                <w:tcPr>
                  <w:tcW w:w="1556" w:type="dxa"/>
                  <w:vAlign w:val="center"/>
                </w:tcPr>
                <w:p w14:paraId="430C2555">
                  <w:pPr>
                    <w:autoSpaceDE w:val="0"/>
                    <w:autoSpaceDN w:val="0"/>
                    <w:spacing w:before="67" w:line="195"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40</w:t>
                  </w:r>
                </w:p>
              </w:tc>
              <w:tc>
                <w:tcPr>
                  <w:tcW w:w="3190" w:type="dxa"/>
                  <w:vMerge w:val="continue"/>
                  <w:tcBorders>
                    <w:top w:val="nil"/>
                  </w:tcBorders>
                  <w:vAlign w:val="center"/>
                </w:tcPr>
                <w:p w14:paraId="4400F6C9">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p>
              </w:tc>
            </w:tr>
            <w:tr w14:paraId="120B6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1530" w:type="dxa"/>
                  <w:vMerge w:val="restart"/>
                  <w:tcBorders>
                    <w:top w:val="single" w:color="auto" w:sz="4" w:space="0"/>
                    <w:left w:val="single" w:color="auto" w:sz="4" w:space="0"/>
                    <w:bottom w:val="single" w:color="auto" w:sz="4" w:space="0"/>
                    <w:right w:val="single" w:color="auto" w:sz="4" w:space="0"/>
                  </w:tcBorders>
                  <w:vAlign w:val="center"/>
                </w:tcPr>
                <w:p w14:paraId="7D74F90D">
                  <w:pPr>
                    <w:pStyle w:val="315"/>
                    <w:spacing w:before="65"/>
                    <w:ind w:right="135"/>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园区污水处理厂出水</w:t>
                  </w:r>
                </w:p>
              </w:tc>
              <w:tc>
                <w:tcPr>
                  <w:tcW w:w="1699" w:type="dxa"/>
                  <w:tcBorders>
                    <w:left w:val="single" w:color="auto" w:sz="4" w:space="0"/>
                  </w:tcBorders>
                  <w:vAlign w:val="center"/>
                </w:tcPr>
                <w:p w14:paraId="0B835472">
                  <w:pPr>
                    <w:pStyle w:val="315"/>
                    <w:spacing w:before="59"/>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pH值</w:t>
                  </w:r>
                </w:p>
              </w:tc>
              <w:tc>
                <w:tcPr>
                  <w:tcW w:w="1556" w:type="dxa"/>
                  <w:vAlign w:val="center"/>
                </w:tcPr>
                <w:p w14:paraId="484B6278">
                  <w:pPr>
                    <w:autoSpaceDE w:val="0"/>
                    <w:autoSpaceDN w:val="0"/>
                    <w:spacing w:before="95"/>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6-9</w:t>
                  </w:r>
                </w:p>
              </w:tc>
              <w:tc>
                <w:tcPr>
                  <w:tcW w:w="3190" w:type="dxa"/>
                  <w:vMerge w:val="restart"/>
                  <w:tcBorders>
                    <w:bottom w:val="nil"/>
                  </w:tcBorders>
                  <w:vAlign w:val="center"/>
                </w:tcPr>
                <w:p w14:paraId="0F0D7342">
                  <w:pPr>
                    <w:pStyle w:val="315"/>
                    <w:spacing w:before="34"/>
                    <w:ind w:right="107"/>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《城镇污水处理厂污染物排放标准》（GB18918-2002）及修改单中一级</w:t>
                  </w:r>
                  <w:r>
                    <w:rPr>
                      <w:rFonts w:hint="eastAsia" w:ascii="Times New Roman" w:hAnsi="Times New Roman" w:cs="Times New Roman"/>
                      <w:snapToGrid/>
                      <w:color w:val="000000" w:themeColor="text1"/>
                      <w:kern w:val="2"/>
                      <w:sz w:val="21"/>
                      <w:szCs w:val="21"/>
                      <w:lang w:val="en-US" w:eastAsia="zh-CN"/>
                      <w14:textFill>
                        <w14:solidFill>
                          <w14:schemeClr w14:val="tx1"/>
                        </w14:solidFill>
                      </w14:textFill>
                    </w:rPr>
                    <w:t>A</w:t>
                  </w:r>
                  <w:r>
                    <w:rPr>
                      <w:rFonts w:hint="eastAsia" w:ascii="Times New Roman" w:hAnsi="Times New Roman" w:cs="Times New Roman"/>
                      <w:snapToGrid/>
                      <w:color w:val="000000" w:themeColor="text1"/>
                      <w:kern w:val="2"/>
                      <w:sz w:val="21"/>
                      <w:szCs w:val="21"/>
                      <w:lang w:eastAsia="zh-CN"/>
                      <w14:textFill>
                        <w14:solidFill>
                          <w14:schemeClr w14:val="tx1"/>
                        </w14:solidFill>
                      </w14:textFill>
                    </w:rPr>
                    <w:t>标准和广东省《水污染物排放限值》（DB44/26-2001）中的第二时段一级排放标准中较严者</w:t>
                  </w:r>
                </w:p>
              </w:tc>
            </w:tr>
            <w:tr w14:paraId="6C7A6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jc w:val="center"/>
              </w:trPr>
              <w:tc>
                <w:tcPr>
                  <w:tcW w:w="1530" w:type="dxa"/>
                  <w:vMerge w:val="continue"/>
                  <w:tcBorders>
                    <w:top w:val="single" w:color="auto" w:sz="4" w:space="0"/>
                    <w:left w:val="single" w:color="auto" w:sz="4" w:space="0"/>
                    <w:bottom w:val="single" w:color="auto" w:sz="4" w:space="0"/>
                    <w:right w:val="single" w:color="auto" w:sz="4" w:space="0"/>
                  </w:tcBorders>
                  <w:vAlign w:val="center"/>
                </w:tcPr>
                <w:p w14:paraId="597E1673">
                  <w:pPr>
                    <w:autoSpaceDE w:val="0"/>
                    <w:autoSpaceDN w:val="0"/>
                    <w:rPr>
                      <w:rFonts w:hint="default"/>
                      <w:color w:val="000000" w:themeColor="text1"/>
                      <w:lang w:eastAsia="zh-CN"/>
                      <w14:textFill>
                        <w14:solidFill>
                          <w14:schemeClr w14:val="tx1"/>
                        </w14:solidFill>
                      </w14:textFill>
                    </w:rPr>
                  </w:pPr>
                </w:p>
              </w:tc>
              <w:tc>
                <w:tcPr>
                  <w:tcW w:w="1699" w:type="dxa"/>
                  <w:tcBorders>
                    <w:left w:val="single" w:color="auto" w:sz="4" w:space="0"/>
                  </w:tcBorders>
                  <w:vAlign w:val="center"/>
                </w:tcPr>
                <w:p w14:paraId="55301B1C">
                  <w:pPr>
                    <w:pStyle w:val="315"/>
                    <w:spacing w:before="31" w:line="217"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SS</w:t>
                  </w:r>
                </w:p>
              </w:tc>
              <w:tc>
                <w:tcPr>
                  <w:tcW w:w="1556" w:type="dxa"/>
                  <w:vAlign w:val="center"/>
                </w:tcPr>
                <w:p w14:paraId="318CD924">
                  <w:pPr>
                    <w:pStyle w:val="315"/>
                    <w:spacing w:before="31" w:line="217"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20</w:t>
                  </w:r>
                </w:p>
              </w:tc>
              <w:tc>
                <w:tcPr>
                  <w:tcW w:w="3190" w:type="dxa"/>
                  <w:vMerge w:val="continue"/>
                  <w:tcBorders>
                    <w:top w:val="nil"/>
                    <w:bottom w:val="nil"/>
                  </w:tcBorders>
                  <w:vAlign w:val="center"/>
                </w:tcPr>
                <w:p w14:paraId="0372F700">
                  <w:pPr>
                    <w:autoSpaceDE w:val="0"/>
                    <w:autoSpaceDN w:val="0"/>
                    <w:rPr>
                      <w:rFonts w:hint="default"/>
                      <w:color w:val="000000" w:themeColor="text1"/>
                      <w:lang w:eastAsia="zh-CN"/>
                      <w14:textFill>
                        <w14:solidFill>
                          <w14:schemeClr w14:val="tx1"/>
                        </w14:solidFill>
                      </w14:textFill>
                    </w:rPr>
                  </w:pPr>
                </w:p>
              </w:tc>
            </w:tr>
            <w:tr w14:paraId="0D587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jc w:val="center"/>
              </w:trPr>
              <w:tc>
                <w:tcPr>
                  <w:tcW w:w="1530" w:type="dxa"/>
                  <w:vMerge w:val="continue"/>
                  <w:tcBorders>
                    <w:top w:val="single" w:color="auto" w:sz="4" w:space="0"/>
                    <w:left w:val="single" w:color="auto" w:sz="4" w:space="0"/>
                    <w:bottom w:val="single" w:color="auto" w:sz="4" w:space="0"/>
                    <w:right w:val="single" w:color="auto" w:sz="4" w:space="0"/>
                  </w:tcBorders>
                  <w:vAlign w:val="center"/>
                </w:tcPr>
                <w:p w14:paraId="2E0D0597">
                  <w:pPr>
                    <w:autoSpaceDE w:val="0"/>
                    <w:autoSpaceDN w:val="0"/>
                    <w:rPr>
                      <w:rFonts w:hint="default"/>
                      <w:color w:val="000000" w:themeColor="text1"/>
                      <w:lang w:eastAsia="zh-CN"/>
                      <w14:textFill>
                        <w14:solidFill>
                          <w14:schemeClr w14:val="tx1"/>
                        </w14:solidFill>
                      </w14:textFill>
                    </w:rPr>
                  </w:pPr>
                </w:p>
              </w:tc>
              <w:tc>
                <w:tcPr>
                  <w:tcW w:w="1699" w:type="dxa"/>
                  <w:tcBorders>
                    <w:left w:val="single" w:color="auto" w:sz="4" w:space="0"/>
                  </w:tcBorders>
                  <w:vAlign w:val="center"/>
                </w:tcPr>
                <w:p w14:paraId="449C48FF">
                  <w:pPr>
                    <w:pStyle w:val="315"/>
                    <w:spacing w:before="31" w:line="217"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COD</w:t>
                  </w:r>
                  <w:r>
                    <w:rPr>
                      <w:rFonts w:hint="eastAsia" w:ascii="Times New Roman" w:hAnsi="Times New Roman" w:cs="Times New Roman"/>
                      <w:snapToGrid/>
                      <w:color w:val="000000" w:themeColor="text1"/>
                      <w:kern w:val="2"/>
                      <w:sz w:val="21"/>
                      <w:szCs w:val="21"/>
                      <w:vertAlign w:val="subscript"/>
                      <w:lang w:eastAsia="zh-CN"/>
                      <w14:textFill>
                        <w14:solidFill>
                          <w14:schemeClr w14:val="tx1"/>
                        </w14:solidFill>
                      </w14:textFill>
                    </w:rPr>
                    <w:t>Cr</w:t>
                  </w:r>
                </w:p>
              </w:tc>
              <w:tc>
                <w:tcPr>
                  <w:tcW w:w="1556" w:type="dxa"/>
                  <w:vAlign w:val="center"/>
                </w:tcPr>
                <w:p w14:paraId="3AA941FE">
                  <w:pPr>
                    <w:pStyle w:val="315"/>
                    <w:spacing w:before="31" w:line="217"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40</w:t>
                  </w:r>
                </w:p>
              </w:tc>
              <w:tc>
                <w:tcPr>
                  <w:tcW w:w="3190" w:type="dxa"/>
                  <w:vMerge w:val="continue"/>
                  <w:tcBorders>
                    <w:top w:val="nil"/>
                    <w:bottom w:val="nil"/>
                  </w:tcBorders>
                  <w:vAlign w:val="center"/>
                </w:tcPr>
                <w:p w14:paraId="0A558192">
                  <w:pPr>
                    <w:autoSpaceDE w:val="0"/>
                    <w:autoSpaceDN w:val="0"/>
                    <w:rPr>
                      <w:rFonts w:hint="default"/>
                      <w:color w:val="000000" w:themeColor="text1"/>
                      <w:lang w:eastAsia="zh-CN"/>
                      <w14:textFill>
                        <w14:solidFill>
                          <w14:schemeClr w14:val="tx1"/>
                        </w14:solidFill>
                      </w14:textFill>
                    </w:rPr>
                  </w:pPr>
                </w:p>
              </w:tc>
            </w:tr>
            <w:tr w14:paraId="66063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jc w:val="center"/>
              </w:trPr>
              <w:tc>
                <w:tcPr>
                  <w:tcW w:w="1530" w:type="dxa"/>
                  <w:vMerge w:val="continue"/>
                  <w:tcBorders>
                    <w:top w:val="single" w:color="auto" w:sz="4" w:space="0"/>
                    <w:left w:val="single" w:color="auto" w:sz="4" w:space="0"/>
                    <w:bottom w:val="single" w:color="auto" w:sz="4" w:space="0"/>
                    <w:right w:val="single" w:color="auto" w:sz="4" w:space="0"/>
                  </w:tcBorders>
                  <w:vAlign w:val="center"/>
                </w:tcPr>
                <w:p w14:paraId="17046FBD">
                  <w:pPr>
                    <w:autoSpaceDE w:val="0"/>
                    <w:autoSpaceDN w:val="0"/>
                    <w:rPr>
                      <w:rFonts w:hint="default"/>
                      <w:color w:val="000000" w:themeColor="text1"/>
                      <w:lang w:eastAsia="zh-CN"/>
                      <w14:textFill>
                        <w14:solidFill>
                          <w14:schemeClr w14:val="tx1"/>
                        </w14:solidFill>
                      </w14:textFill>
                    </w:rPr>
                  </w:pPr>
                </w:p>
              </w:tc>
              <w:tc>
                <w:tcPr>
                  <w:tcW w:w="1699" w:type="dxa"/>
                  <w:tcBorders>
                    <w:left w:val="single" w:color="auto" w:sz="4" w:space="0"/>
                  </w:tcBorders>
                  <w:vAlign w:val="center"/>
                </w:tcPr>
                <w:p w14:paraId="203F582A">
                  <w:pPr>
                    <w:pStyle w:val="315"/>
                    <w:spacing w:before="31" w:line="217"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BOD</w:t>
                  </w:r>
                  <w:r>
                    <w:rPr>
                      <w:rFonts w:hint="eastAsia" w:ascii="Times New Roman" w:hAnsi="Times New Roman" w:cs="Times New Roman"/>
                      <w:snapToGrid/>
                      <w:color w:val="000000" w:themeColor="text1"/>
                      <w:kern w:val="2"/>
                      <w:sz w:val="21"/>
                      <w:szCs w:val="21"/>
                      <w:vertAlign w:val="subscript"/>
                      <w:lang w:eastAsia="zh-CN"/>
                      <w14:textFill>
                        <w14:solidFill>
                          <w14:schemeClr w14:val="tx1"/>
                        </w14:solidFill>
                      </w14:textFill>
                    </w:rPr>
                    <w:t>5</w:t>
                  </w:r>
                </w:p>
              </w:tc>
              <w:tc>
                <w:tcPr>
                  <w:tcW w:w="1556" w:type="dxa"/>
                  <w:vAlign w:val="center"/>
                </w:tcPr>
                <w:p w14:paraId="39260712">
                  <w:pPr>
                    <w:pStyle w:val="315"/>
                    <w:spacing w:before="31" w:line="217"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20</w:t>
                  </w:r>
                </w:p>
              </w:tc>
              <w:tc>
                <w:tcPr>
                  <w:tcW w:w="3190" w:type="dxa"/>
                  <w:vMerge w:val="continue"/>
                  <w:tcBorders>
                    <w:top w:val="nil"/>
                    <w:bottom w:val="nil"/>
                  </w:tcBorders>
                  <w:vAlign w:val="center"/>
                </w:tcPr>
                <w:p w14:paraId="02E9FFC8">
                  <w:pPr>
                    <w:autoSpaceDE w:val="0"/>
                    <w:autoSpaceDN w:val="0"/>
                    <w:rPr>
                      <w:rFonts w:hint="default"/>
                      <w:color w:val="000000" w:themeColor="text1"/>
                      <w:lang w:eastAsia="zh-CN"/>
                      <w14:textFill>
                        <w14:solidFill>
                          <w14:schemeClr w14:val="tx1"/>
                        </w14:solidFill>
                      </w14:textFill>
                    </w:rPr>
                  </w:pPr>
                </w:p>
              </w:tc>
            </w:tr>
            <w:tr w14:paraId="1B0ED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530" w:type="dxa"/>
                  <w:vMerge w:val="continue"/>
                  <w:tcBorders>
                    <w:top w:val="single" w:color="auto" w:sz="4" w:space="0"/>
                    <w:left w:val="single" w:color="auto" w:sz="4" w:space="0"/>
                    <w:bottom w:val="single" w:color="auto" w:sz="4" w:space="0"/>
                    <w:right w:val="single" w:color="auto" w:sz="4" w:space="0"/>
                  </w:tcBorders>
                  <w:vAlign w:val="center"/>
                </w:tcPr>
                <w:p w14:paraId="189E397B">
                  <w:pPr>
                    <w:autoSpaceDE w:val="0"/>
                    <w:autoSpaceDN w:val="0"/>
                    <w:rPr>
                      <w:rFonts w:hint="default"/>
                      <w:color w:val="000000" w:themeColor="text1"/>
                      <w:lang w:eastAsia="zh-CN"/>
                      <w14:textFill>
                        <w14:solidFill>
                          <w14:schemeClr w14:val="tx1"/>
                        </w14:solidFill>
                      </w14:textFill>
                    </w:rPr>
                  </w:pPr>
                </w:p>
              </w:tc>
              <w:tc>
                <w:tcPr>
                  <w:tcW w:w="1699" w:type="dxa"/>
                  <w:tcBorders>
                    <w:left w:val="single" w:color="auto" w:sz="4" w:space="0"/>
                  </w:tcBorders>
                  <w:vAlign w:val="center"/>
                </w:tcPr>
                <w:p w14:paraId="090FDFA1">
                  <w:pPr>
                    <w:pStyle w:val="315"/>
                    <w:spacing w:before="31" w:line="217" w:lineRule="auto"/>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氨氮</w:t>
                  </w:r>
                </w:p>
              </w:tc>
              <w:tc>
                <w:tcPr>
                  <w:tcW w:w="1556" w:type="dxa"/>
                  <w:vAlign w:val="center"/>
                </w:tcPr>
                <w:p w14:paraId="4102E2F4">
                  <w:pPr>
                    <w:autoSpaceDE w:val="0"/>
                    <w:autoSpaceDN w:val="0"/>
                    <w:spacing w:before="31" w:line="195"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8</w:t>
                  </w:r>
                </w:p>
              </w:tc>
              <w:tc>
                <w:tcPr>
                  <w:tcW w:w="3190" w:type="dxa"/>
                  <w:vMerge w:val="continue"/>
                  <w:tcBorders>
                    <w:top w:val="nil"/>
                  </w:tcBorders>
                  <w:vAlign w:val="center"/>
                </w:tcPr>
                <w:p w14:paraId="26C97EB6">
                  <w:pPr>
                    <w:autoSpaceDE w:val="0"/>
                    <w:autoSpaceDN w:val="0"/>
                    <w:rPr>
                      <w:rFonts w:hint="default"/>
                      <w:color w:val="000000" w:themeColor="text1"/>
                      <w:lang w:eastAsia="zh-CN"/>
                      <w14:textFill>
                        <w14:solidFill>
                          <w14:schemeClr w14:val="tx1"/>
                        </w14:solidFill>
                      </w14:textFill>
                    </w:rPr>
                  </w:pPr>
                </w:p>
              </w:tc>
            </w:tr>
          </w:tbl>
          <w:p w14:paraId="4922655A">
            <w:pPr>
              <w:pStyle w:val="301"/>
              <w:ind w:firstLine="0" w:firstLineChars="0"/>
              <w:rPr>
                <w:rFonts w:eastAsiaTheme="minorEastAsia"/>
                <w:color w:val="000000" w:themeColor="text1"/>
                <w14:textFill>
                  <w14:solidFill>
                    <w14:schemeClr w14:val="tx1"/>
                  </w14:solidFill>
                </w14:textFill>
              </w:rPr>
            </w:pPr>
          </w:p>
          <w:p w14:paraId="47970C1B">
            <w:pPr>
              <w:pStyle w:val="301"/>
              <w:ind w:firstLine="482"/>
              <w:rPr>
                <w:rFonts w:cs="Times New Roman"/>
                <w:b/>
                <w:color w:val="000000" w:themeColor="text1"/>
                <w14:textFill>
                  <w14:solidFill>
                    <w14:schemeClr w14:val="tx1"/>
                  </w14:solidFill>
                </w14:textFill>
              </w:rPr>
            </w:pPr>
            <w:r>
              <w:rPr>
                <w:rFonts w:hint="eastAsia" w:cs="Times New Roman"/>
                <w:b/>
                <w:bCs/>
                <w:color w:val="000000" w:themeColor="text1"/>
                <w:kern w:val="0"/>
                <w:szCs w:val="21"/>
                <w14:textFill>
                  <w14:solidFill>
                    <w14:schemeClr w14:val="tx1"/>
                  </w14:solidFill>
                </w14:textFill>
              </w:rPr>
              <w:t>2、</w:t>
            </w:r>
            <w:r>
              <w:rPr>
                <w:rFonts w:hint="eastAsia" w:cs="Times New Roman"/>
                <w:b/>
                <w:color w:val="000000" w:themeColor="text1"/>
                <w14:textFill>
                  <w14:solidFill>
                    <w14:schemeClr w14:val="tx1"/>
                  </w14:solidFill>
                </w14:textFill>
              </w:rPr>
              <w:t>噪声排放标准</w:t>
            </w:r>
          </w:p>
          <w:p w14:paraId="541CF44D">
            <w:pPr>
              <w:pStyle w:val="30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项目运营期周边厂界噪声执行《工业企业厂界环境噪声排放标准》（GB12348-2008）3类标准。</w:t>
            </w:r>
          </w:p>
          <w:p w14:paraId="31C10DC4">
            <w:pPr>
              <w:pStyle w:val="301"/>
              <w:spacing w:line="240" w:lineRule="auto"/>
              <w:ind w:firstLine="422"/>
              <w:jc w:val="center"/>
              <w:rPr>
                <w:rFonts w:cs="Times New Roman"/>
                <w:b/>
                <w:color w:val="000000" w:themeColor="text1"/>
                <w:sz w:val="21"/>
                <w:szCs w:val="21"/>
                <w14:textFill>
                  <w14:solidFill>
                    <w14:schemeClr w14:val="tx1"/>
                  </w14:solidFill>
                </w14:textFill>
              </w:rPr>
            </w:pPr>
            <w:r>
              <w:rPr>
                <w:rFonts w:hint="eastAsia" w:cs="Times New Roman"/>
                <w:b/>
                <w:color w:val="000000" w:themeColor="text1"/>
                <w:sz w:val="21"/>
                <w:szCs w:val="21"/>
                <w14:textFill>
                  <w14:solidFill>
                    <w14:schemeClr w14:val="tx1"/>
                  </w14:solidFill>
                </w14:textFill>
              </w:rPr>
              <w:t>表</w:t>
            </w:r>
            <w:r>
              <w:rPr>
                <w:rFonts w:cs="Times New Roman"/>
                <w:b/>
                <w:color w:val="000000" w:themeColor="text1"/>
                <w:sz w:val="21"/>
                <w:szCs w:val="21"/>
                <w14:textFill>
                  <w14:solidFill>
                    <w14:schemeClr w14:val="tx1"/>
                  </w14:solidFill>
                </w14:textFill>
              </w:rPr>
              <w:t>3-</w:t>
            </w:r>
            <w:r>
              <w:rPr>
                <w:rFonts w:hint="eastAsia" w:cs="Times New Roman"/>
                <w:b/>
                <w:color w:val="000000" w:themeColor="text1"/>
                <w:sz w:val="21"/>
                <w:szCs w:val="21"/>
                <w:lang w:val="en-US" w:eastAsia="zh-CN"/>
                <w14:textFill>
                  <w14:solidFill>
                    <w14:schemeClr w14:val="tx1"/>
                  </w14:solidFill>
                </w14:textFill>
              </w:rPr>
              <w:t>6</w:t>
            </w:r>
            <w:r>
              <w:rPr>
                <w:rFonts w:cs="Times New Roman"/>
                <w:b/>
                <w:color w:val="000000" w:themeColor="text1"/>
                <w:sz w:val="21"/>
                <w:szCs w:val="21"/>
                <w14:textFill>
                  <w14:solidFill>
                    <w14:schemeClr w14:val="tx1"/>
                  </w14:solidFill>
                </w14:textFill>
              </w:rPr>
              <w:t xml:space="preserve"> </w:t>
            </w:r>
            <w:r>
              <w:rPr>
                <w:rFonts w:hint="eastAsia" w:cs="Times New Roman"/>
                <w:b/>
                <w:color w:val="000000" w:themeColor="text1"/>
                <w:sz w:val="21"/>
                <w:szCs w:val="21"/>
                <w14:textFill>
                  <w14:solidFill>
                    <w14:schemeClr w14:val="tx1"/>
                  </w14:solidFill>
                </w14:textFill>
              </w:rPr>
              <w:t>工业企业厂界环境噪声排放限值</w:t>
            </w:r>
          </w:p>
          <w:tbl>
            <w:tblPr>
              <w:tblStyle w:val="187"/>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58"/>
              <w:gridCol w:w="2654"/>
              <w:gridCol w:w="2657"/>
            </w:tblGrid>
            <w:tr w14:paraId="2DC2F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2661" w:type="dxa"/>
                  <w:vMerge w:val="restart"/>
                  <w:tcBorders>
                    <w:top w:val="single" w:color="auto" w:sz="4" w:space="0"/>
                    <w:left w:val="single" w:color="auto" w:sz="4" w:space="0"/>
                    <w:bottom w:val="single" w:color="auto" w:sz="4" w:space="0"/>
                    <w:right w:val="single" w:color="auto" w:sz="4" w:space="0"/>
                  </w:tcBorders>
                  <w:vAlign w:val="center"/>
                </w:tcPr>
                <w:p w14:paraId="024828B0">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厂界外声环境功能区类别</w:t>
                  </w:r>
                </w:p>
              </w:tc>
              <w:tc>
                <w:tcPr>
                  <w:tcW w:w="5317" w:type="dxa"/>
                  <w:gridSpan w:val="2"/>
                  <w:tcBorders>
                    <w:left w:val="single" w:color="auto" w:sz="4" w:space="0"/>
                  </w:tcBorders>
                </w:tcPr>
                <w:p w14:paraId="254D9E6A">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时段</w:t>
                  </w:r>
                </w:p>
              </w:tc>
            </w:tr>
            <w:tr w14:paraId="34E15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jc w:val="center"/>
              </w:trPr>
              <w:tc>
                <w:tcPr>
                  <w:tcW w:w="2661" w:type="dxa"/>
                  <w:vMerge w:val="continue"/>
                  <w:tcBorders>
                    <w:top w:val="single" w:color="auto" w:sz="4" w:space="0"/>
                    <w:left w:val="single" w:color="auto" w:sz="4" w:space="0"/>
                    <w:bottom w:val="single" w:color="auto" w:sz="4" w:space="0"/>
                    <w:right w:val="single" w:color="auto" w:sz="4" w:space="0"/>
                  </w:tcBorders>
                </w:tcPr>
                <w:p w14:paraId="2C9777BB">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p>
              </w:tc>
              <w:tc>
                <w:tcPr>
                  <w:tcW w:w="2657" w:type="dxa"/>
                  <w:tcBorders>
                    <w:left w:val="single" w:color="auto" w:sz="4" w:space="0"/>
                  </w:tcBorders>
                </w:tcPr>
                <w:p w14:paraId="49D91514">
                  <w:pPr>
                    <w:pStyle w:val="315"/>
                    <w:spacing w:before="34" w:line="214" w:lineRule="auto"/>
                    <w:ind w:firstLine="442"/>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昼间 dB(A)</w:t>
                  </w:r>
                </w:p>
              </w:tc>
              <w:tc>
                <w:tcPr>
                  <w:tcW w:w="2660" w:type="dxa"/>
                </w:tcPr>
                <w:p w14:paraId="280A796F">
                  <w:pPr>
                    <w:pStyle w:val="315"/>
                    <w:spacing w:before="34" w:line="214" w:lineRule="auto"/>
                    <w:ind w:firstLine="438"/>
                    <w:jc w:val="center"/>
                    <w:rPr>
                      <w:rFonts w:hint="default" w:ascii="Times New Roman" w:hAnsi="Times New Roman" w:cs="Times New Roman"/>
                      <w:snapToGrid/>
                      <w:color w:val="000000" w:themeColor="text1"/>
                      <w:kern w:val="2"/>
                      <w:sz w:val="21"/>
                      <w:szCs w:val="21"/>
                      <w:lang w:eastAsia="zh-CN"/>
                      <w14:textFill>
                        <w14:solidFill>
                          <w14:schemeClr w14:val="tx1"/>
                        </w14:solidFill>
                      </w14:textFill>
                    </w:rPr>
                  </w:pPr>
                  <w:r>
                    <w:rPr>
                      <w:rFonts w:hint="eastAsia" w:ascii="Times New Roman" w:hAnsi="Times New Roman" w:cs="Times New Roman"/>
                      <w:snapToGrid/>
                      <w:color w:val="000000" w:themeColor="text1"/>
                      <w:kern w:val="2"/>
                      <w:sz w:val="21"/>
                      <w:szCs w:val="21"/>
                      <w:lang w:eastAsia="zh-CN"/>
                      <w14:textFill>
                        <w14:solidFill>
                          <w14:schemeClr w14:val="tx1"/>
                        </w14:solidFill>
                      </w14:textFill>
                    </w:rPr>
                    <w:t>夜间 dB(A)</w:t>
                  </w:r>
                </w:p>
              </w:tc>
            </w:tr>
            <w:tr w14:paraId="6E7C7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jc w:val="center"/>
              </w:trPr>
              <w:tc>
                <w:tcPr>
                  <w:tcW w:w="2661" w:type="dxa"/>
                  <w:tcBorders>
                    <w:top w:val="single" w:color="auto" w:sz="4" w:space="0"/>
                  </w:tcBorders>
                </w:tcPr>
                <w:p w14:paraId="42DFA20F">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3类</w:t>
                  </w:r>
                </w:p>
              </w:tc>
              <w:tc>
                <w:tcPr>
                  <w:tcW w:w="2657" w:type="dxa"/>
                </w:tcPr>
                <w:p w14:paraId="1858E44E">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65</w:t>
                  </w:r>
                </w:p>
              </w:tc>
              <w:tc>
                <w:tcPr>
                  <w:tcW w:w="2660" w:type="dxa"/>
                </w:tcPr>
                <w:p w14:paraId="253B496C">
                  <w:pPr>
                    <w:autoSpaceDE w:val="0"/>
                    <w:autoSpaceDN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55</w:t>
                  </w:r>
                </w:p>
              </w:tc>
            </w:tr>
          </w:tbl>
          <w:p w14:paraId="544B85A6">
            <w:pPr>
              <w:pStyle w:val="301"/>
              <w:ind w:firstLine="422"/>
              <w:jc w:val="center"/>
              <w:rPr>
                <w:rFonts w:cs="Times New Roman"/>
                <w:b/>
                <w:color w:val="000000" w:themeColor="text1"/>
                <w:sz w:val="21"/>
                <w:szCs w:val="21"/>
                <w14:textFill>
                  <w14:solidFill>
                    <w14:schemeClr w14:val="tx1"/>
                  </w14:solidFill>
                </w14:textFill>
              </w:rPr>
            </w:pPr>
          </w:p>
          <w:p w14:paraId="278A5398">
            <w:pPr>
              <w:pStyle w:val="301"/>
              <w:ind w:firstLine="482"/>
              <w:jc w:val="left"/>
              <w:rPr>
                <w:rFonts w:cs="Times New Roman"/>
                <w:b/>
                <w:color w:val="000000" w:themeColor="text1"/>
                <w14:textFill>
                  <w14:solidFill>
                    <w14:schemeClr w14:val="tx1"/>
                  </w14:solidFill>
                </w14:textFill>
              </w:rPr>
            </w:pPr>
            <w:r>
              <w:rPr>
                <w:rFonts w:hint="eastAsia" w:cs="Times New Roman"/>
                <w:b/>
                <w:color w:val="000000" w:themeColor="text1"/>
                <w14:textFill>
                  <w14:solidFill>
                    <w14:schemeClr w14:val="tx1"/>
                  </w14:solidFill>
                </w14:textFill>
              </w:rPr>
              <w:t>3</w:t>
            </w:r>
            <w:r>
              <w:rPr>
                <w:rFonts w:hint="eastAsia" w:cs="Times New Roman"/>
                <w:b/>
                <w:color w:val="000000" w:themeColor="text1"/>
                <w:sz w:val="21"/>
                <w:szCs w:val="21"/>
                <w14:textFill>
                  <w14:solidFill>
                    <w14:schemeClr w14:val="tx1"/>
                  </w14:solidFill>
                </w14:textFill>
              </w:rPr>
              <w:t>、</w:t>
            </w:r>
            <w:r>
              <w:rPr>
                <w:rFonts w:hint="eastAsia" w:cs="Times New Roman"/>
                <w:b/>
                <w:color w:val="000000" w:themeColor="text1"/>
                <w14:textFill>
                  <w14:solidFill>
                    <w14:schemeClr w14:val="tx1"/>
                  </w14:solidFill>
                </w14:textFill>
              </w:rPr>
              <w:t>固体废物控制标准</w:t>
            </w:r>
          </w:p>
          <w:p w14:paraId="6101B099">
            <w:pPr>
              <w:pStyle w:val="301"/>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一般工业固体废物暂存应满足《中华人民共和国固体废物污染环境防治法》相关要求，采取防扬散、防流失、防渗漏或者其他防止污染环境的措施，不得擅自倾倒、堆放、丢弃、遗撒固体废物；危险废物在厂内贮存须符合《危险废物贮存污染控制标准》（GB18597-2023）相关要求。</w:t>
            </w:r>
          </w:p>
          <w:p w14:paraId="020E3DF4">
            <w:pPr>
              <w:pStyle w:val="301"/>
              <w:ind w:firstLine="482"/>
              <w:jc w:val="left"/>
              <w:rPr>
                <w:rFonts w:cs="Times New Roman"/>
                <w:b/>
                <w:color w:val="000000" w:themeColor="text1"/>
                <w14:textFill>
                  <w14:solidFill>
                    <w14:schemeClr w14:val="tx1"/>
                  </w14:solidFill>
                </w14:textFill>
              </w:rPr>
            </w:pPr>
            <w:r>
              <w:rPr>
                <w:rFonts w:hint="eastAsia" w:cs="Times New Roman"/>
                <w:b/>
                <w:color w:val="000000" w:themeColor="text1"/>
                <w14:textFill>
                  <w14:solidFill>
                    <w14:schemeClr w14:val="tx1"/>
                  </w14:solidFill>
                </w14:textFill>
              </w:rPr>
              <w:t>4、大气污染物排放标准</w:t>
            </w:r>
          </w:p>
          <w:p w14:paraId="4B45DA47">
            <w:pPr>
              <w:pStyle w:val="30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w:t>
            </w:r>
            <w:r>
              <w:rPr>
                <w:rFonts w:hint="eastAsia" w:cs="Times New Roman"/>
                <w:color w:val="000000" w:themeColor="text1"/>
                <w:lang w:eastAsia="zh-CN"/>
                <w14:textFill>
                  <w14:solidFill>
                    <w14:schemeClr w14:val="tx1"/>
                  </w14:solidFill>
                </w14:textFill>
              </w:rPr>
              <w:t>项目</w:t>
            </w:r>
            <w:r>
              <w:rPr>
                <w:rFonts w:hint="eastAsia" w:cs="Times New Roman"/>
                <w:color w:val="000000" w:themeColor="text1"/>
                <w14:textFill>
                  <w14:solidFill>
                    <w14:schemeClr w14:val="tx1"/>
                  </w14:solidFill>
                </w14:textFill>
              </w:rPr>
              <w:t>废气排放污染物：有机废气（非甲烷总烃、苯系物）和颗粒物。</w:t>
            </w:r>
          </w:p>
          <w:p w14:paraId="1D0F8862">
            <w:pPr>
              <w:pStyle w:val="30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营运期有组织排放（D</w:t>
            </w:r>
            <w:r>
              <w:rPr>
                <w:rFonts w:cs="Times New Roman"/>
                <w:color w:val="000000" w:themeColor="text1"/>
                <w14:textFill>
                  <w14:solidFill>
                    <w14:schemeClr w14:val="tx1"/>
                  </w14:solidFill>
                </w14:textFill>
              </w:rPr>
              <w:t>A001</w:t>
            </w:r>
            <w:r>
              <w:rPr>
                <w:rFonts w:hint="eastAsia" w:cs="Times New Roman"/>
                <w:color w:val="000000" w:themeColor="text1"/>
                <w14:textFill>
                  <w14:solidFill>
                    <w14:schemeClr w14:val="tx1"/>
                  </w14:solidFill>
                </w14:textFill>
              </w:rPr>
              <w:t>）的颗粒物执行广东省《大气污染物排放限值》（DB44/27-2001）第二时段二级标准；运营期有组织排放（D</w:t>
            </w:r>
            <w:r>
              <w:rPr>
                <w:rFonts w:cs="Times New Roman"/>
                <w:color w:val="000000" w:themeColor="text1"/>
                <w14:textFill>
                  <w14:solidFill>
                    <w14:schemeClr w14:val="tx1"/>
                  </w14:solidFill>
                </w14:textFill>
              </w:rPr>
              <w:t>A005</w:t>
            </w:r>
            <w:r>
              <w:rPr>
                <w:rFonts w:hint="eastAsia" w:cs="Times New Roman"/>
                <w:color w:val="000000" w:themeColor="text1"/>
                <w14:textFill>
                  <w14:solidFill>
                    <w14:schemeClr w14:val="tx1"/>
                  </w14:solidFill>
                </w14:textFill>
              </w:rPr>
              <w:t>）的TVOC、非甲烷总烃、苯系物排放执行广东省《固定污染源挥发性有机物综合排放标准》（DB44/2367－2022）表1挥发性有机物排放限值，颗粒物有组织排放执行广东省《大气污染物排放限值》（DB44/27-2001）第二时段二级标准；厂界无组织颗粒物、苯系物、非甲烷总烃执行广东省《大气污染物排放限值》（DB 44/27－2001）第二时段无组织排放监控浓度限值；厂区内无组织排放执行广东省《固定污染源挥发性有机物综合排放标准》（DB44/2367-2022）表3限值中厂区内VOCs无组织排放限值要求。臭气浓度有组织排放执行《恶臭污染物排放标准》（GB14554-93）表2恶臭污染物排放标准值，无组织排放执行《恶臭污染物排放标准》（GB14554-93）表1恶臭污染物厂界二级新扩改建标准值。</w:t>
            </w:r>
          </w:p>
          <w:p w14:paraId="6F42C768">
            <w:pPr>
              <w:pStyle w:val="30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具体见下表</w:t>
            </w:r>
          </w:p>
          <w:p w14:paraId="5BC70239">
            <w:pPr>
              <w:pStyle w:val="301"/>
              <w:spacing w:line="240" w:lineRule="auto"/>
              <w:ind w:firstLine="422"/>
              <w:jc w:val="center"/>
              <w:rPr>
                <w:rFonts w:cs="Times New Roman"/>
                <w:b/>
                <w:color w:val="000000" w:themeColor="text1"/>
                <w:sz w:val="21"/>
                <w:szCs w:val="21"/>
                <w14:textFill>
                  <w14:solidFill>
                    <w14:schemeClr w14:val="tx1"/>
                  </w14:solidFill>
                </w14:textFill>
              </w:rPr>
            </w:pPr>
            <w:r>
              <w:rPr>
                <w:rFonts w:cs="Times New Roman"/>
                <w:b/>
                <w:color w:val="000000" w:themeColor="text1"/>
                <w:sz w:val="21"/>
                <w:szCs w:val="21"/>
                <w14:textFill>
                  <w14:solidFill>
                    <w14:schemeClr w14:val="tx1"/>
                  </w14:solidFill>
                </w14:textFill>
              </w:rPr>
              <w:t>表3-</w:t>
            </w:r>
            <w:r>
              <w:rPr>
                <w:rFonts w:hint="eastAsia" w:cs="Times New Roman"/>
                <w:b/>
                <w:color w:val="000000" w:themeColor="text1"/>
                <w:sz w:val="21"/>
                <w:szCs w:val="21"/>
                <w:lang w:val="en-US" w:eastAsia="zh-CN"/>
                <w14:textFill>
                  <w14:solidFill>
                    <w14:schemeClr w14:val="tx1"/>
                  </w14:solidFill>
                </w14:textFill>
              </w:rPr>
              <w:t>7</w:t>
            </w:r>
            <w:r>
              <w:rPr>
                <w:rFonts w:cs="Times New Roman"/>
                <w:b/>
                <w:color w:val="000000" w:themeColor="text1"/>
                <w:sz w:val="21"/>
                <w:szCs w:val="21"/>
                <w14:textFill>
                  <w14:solidFill>
                    <w14:schemeClr w14:val="tx1"/>
                  </w14:solidFill>
                </w14:textFill>
              </w:rPr>
              <w:t xml:space="preserve"> </w:t>
            </w:r>
            <w:r>
              <w:rPr>
                <w:rFonts w:hint="eastAsia" w:cs="Times New Roman"/>
                <w:b/>
                <w:color w:val="000000" w:themeColor="text1"/>
                <w:sz w:val="21"/>
                <w:szCs w:val="21"/>
                <w:lang w:eastAsia="zh-CN"/>
                <w14:textFill>
                  <w14:solidFill>
                    <w14:schemeClr w14:val="tx1"/>
                  </w14:solidFill>
                </w14:textFill>
              </w:rPr>
              <w:t>项目</w:t>
            </w:r>
            <w:r>
              <w:rPr>
                <w:rFonts w:cs="Times New Roman"/>
                <w:b/>
                <w:color w:val="000000" w:themeColor="text1"/>
                <w:sz w:val="21"/>
                <w:szCs w:val="21"/>
                <w14:textFill>
                  <w14:solidFill>
                    <w14:schemeClr w14:val="tx1"/>
                  </w14:solidFill>
                </w14:textFill>
              </w:rPr>
              <w:t>大气污染物排放标准</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238"/>
              <w:gridCol w:w="1254"/>
              <w:gridCol w:w="2386"/>
              <w:gridCol w:w="2388"/>
            </w:tblGrid>
            <w:tr w14:paraId="13CD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 w:hRule="atLeast"/>
                <w:jc w:val="center"/>
              </w:trPr>
              <w:tc>
                <w:tcPr>
                  <w:tcW w:w="439" w:type="pct"/>
                  <w:vAlign w:val="center"/>
                </w:tcPr>
                <w:p w14:paraId="2BB4CADF">
                  <w:pPr>
                    <w:pStyle w:val="66"/>
                    <w:rPr>
                      <w:color w:val="000000" w:themeColor="text1"/>
                      <w14:textFill>
                        <w14:solidFill>
                          <w14:schemeClr w14:val="tx1"/>
                        </w14:solidFill>
                      </w14:textFill>
                    </w:rPr>
                  </w:pPr>
                  <w:r>
                    <w:rPr>
                      <w:color w:val="000000" w:themeColor="text1"/>
                      <w14:textFill>
                        <w14:solidFill>
                          <w14:schemeClr w14:val="tx1"/>
                        </w14:solidFill>
                      </w14:textFill>
                    </w:rPr>
                    <w:t>废气种类</w:t>
                  </w:r>
                </w:p>
              </w:tc>
              <w:tc>
                <w:tcPr>
                  <w:tcW w:w="777" w:type="pct"/>
                  <w:vAlign w:val="center"/>
                </w:tcPr>
                <w:p w14:paraId="51D797DD">
                  <w:pPr>
                    <w:pStyle w:val="66"/>
                    <w:rPr>
                      <w:color w:val="000000" w:themeColor="text1"/>
                      <w14:textFill>
                        <w14:solidFill>
                          <w14:schemeClr w14:val="tx1"/>
                        </w14:solidFill>
                      </w14:textFill>
                    </w:rPr>
                  </w:pPr>
                  <w:r>
                    <w:rPr>
                      <w:color w:val="000000" w:themeColor="text1"/>
                      <w14:textFill>
                        <w14:solidFill>
                          <w14:schemeClr w14:val="tx1"/>
                        </w14:solidFill>
                      </w14:textFill>
                    </w:rPr>
                    <w:t>污染物</w:t>
                  </w:r>
                </w:p>
              </w:tc>
              <w:tc>
                <w:tcPr>
                  <w:tcW w:w="787" w:type="pct"/>
                  <w:vAlign w:val="center"/>
                </w:tcPr>
                <w:p w14:paraId="56E9E4BB">
                  <w:pPr>
                    <w:pStyle w:val="66"/>
                    <w:rPr>
                      <w:color w:val="000000" w:themeColor="text1"/>
                      <w14:textFill>
                        <w14:solidFill>
                          <w14:schemeClr w14:val="tx1"/>
                        </w14:solidFill>
                      </w14:textFill>
                    </w:rPr>
                  </w:pPr>
                  <w:r>
                    <w:rPr>
                      <w:color w:val="000000" w:themeColor="text1"/>
                      <w14:textFill>
                        <w14:solidFill>
                          <w14:schemeClr w14:val="tx1"/>
                        </w14:solidFill>
                      </w14:textFill>
                    </w:rPr>
                    <w:t>最高允许排放浓度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p>
              </w:tc>
              <w:tc>
                <w:tcPr>
                  <w:tcW w:w="1498" w:type="pct"/>
                  <w:vAlign w:val="center"/>
                </w:tcPr>
                <w:p w14:paraId="2462DF8C">
                  <w:pPr>
                    <w:pStyle w:val="66"/>
                    <w:rPr>
                      <w:color w:val="000000" w:themeColor="text1"/>
                      <w14:textFill>
                        <w14:solidFill>
                          <w14:schemeClr w14:val="tx1"/>
                        </w14:solidFill>
                      </w14:textFill>
                    </w:rPr>
                  </w:pPr>
                  <w:r>
                    <w:rPr>
                      <w:color w:val="000000" w:themeColor="text1"/>
                      <w14:textFill>
                        <w14:solidFill>
                          <w14:schemeClr w14:val="tx1"/>
                        </w14:solidFill>
                      </w14:textFill>
                    </w:rPr>
                    <w:t>最高允许排放速率kg/h</w:t>
                  </w:r>
                </w:p>
              </w:tc>
              <w:tc>
                <w:tcPr>
                  <w:tcW w:w="1498" w:type="pct"/>
                  <w:vAlign w:val="center"/>
                </w:tcPr>
                <w:p w14:paraId="65F8C5E7">
                  <w:pPr>
                    <w:pStyle w:val="66"/>
                    <w:rPr>
                      <w:color w:val="000000" w:themeColor="text1"/>
                      <w14:textFill>
                        <w14:solidFill>
                          <w14:schemeClr w14:val="tx1"/>
                        </w14:solidFill>
                      </w14:textFill>
                    </w:rPr>
                  </w:pPr>
                  <w:r>
                    <w:rPr>
                      <w:color w:val="000000" w:themeColor="text1"/>
                      <w14:textFill>
                        <w14:solidFill>
                          <w14:schemeClr w14:val="tx1"/>
                        </w14:solidFill>
                      </w14:textFill>
                    </w:rPr>
                    <w:t>标准来源</w:t>
                  </w:r>
                </w:p>
              </w:tc>
            </w:tr>
            <w:tr w14:paraId="450D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39" w:type="pct"/>
                  <w:vAlign w:val="center"/>
                </w:tcPr>
                <w:p w14:paraId="39EF1E8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D</w:t>
                  </w:r>
                  <w:r>
                    <w:rPr>
                      <w:color w:val="000000" w:themeColor="text1"/>
                      <w14:textFill>
                        <w14:solidFill>
                          <w14:schemeClr w14:val="tx1"/>
                        </w14:solidFill>
                      </w14:textFill>
                    </w:rPr>
                    <w:t>A001</w:t>
                  </w:r>
                </w:p>
              </w:tc>
              <w:tc>
                <w:tcPr>
                  <w:tcW w:w="777" w:type="pct"/>
                  <w:vAlign w:val="center"/>
                </w:tcPr>
                <w:p w14:paraId="25724F4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颗粒物</w:t>
                  </w:r>
                </w:p>
              </w:tc>
              <w:tc>
                <w:tcPr>
                  <w:tcW w:w="787" w:type="pct"/>
                  <w:vAlign w:val="center"/>
                </w:tcPr>
                <w:p w14:paraId="2D58E9E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20</w:t>
                  </w:r>
                </w:p>
              </w:tc>
              <w:tc>
                <w:tcPr>
                  <w:tcW w:w="1498" w:type="pct"/>
                  <w:vAlign w:val="center"/>
                </w:tcPr>
                <w:p w14:paraId="691D2E8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.45）</w:t>
                  </w:r>
                </w:p>
              </w:tc>
              <w:tc>
                <w:tcPr>
                  <w:tcW w:w="1498" w:type="pct"/>
                  <w:vAlign w:val="center"/>
                </w:tcPr>
                <w:p w14:paraId="471328B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广东省《大气污染物排放限值》（DB44/27-2001）第二时段二级标准</w:t>
                  </w:r>
                </w:p>
              </w:tc>
            </w:tr>
            <w:tr w14:paraId="3AA9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39" w:type="pct"/>
                  <w:vMerge w:val="restart"/>
                  <w:vAlign w:val="center"/>
                </w:tcPr>
                <w:p w14:paraId="401CFAE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DA00</w:t>
                  </w:r>
                  <w:r>
                    <w:rPr>
                      <w:color w:val="000000" w:themeColor="text1"/>
                      <w14:textFill>
                        <w14:solidFill>
                          <w14:schemeClr w14:val="tx1"/>
                        </w14:solidFill>
                      </w14:textFill>
                    </w:rPr>
                    <w:t>5</w:t>
                  </w:r>
                </w:p>
              </w:tc>
              <w:tc>
                <w:tcPr>
                  <w:tcW w:w="777" w:type="pct"/>
                  <w:vAlign w:val="center"/>
                </w:tcPr>
                <w:p w14:paraId="32D13F8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N</w:t>
                  </w:r>
                  <w:r>
                    <w:rPr>
                      <w:color w:val="000000" w:themeColor="text1"/>
                      <w14:textFill>
                        <w14:solidFill>
                          <w14:schemeClr w14:val="tx1"/>
                        </w14:solidFill>
                      </w14:textFill>
                    </w:rPr>
                    <w:t>MHC</w:t>
                  </w:r>
                </w:p>
              </w:tc>
              <w:tc>
                <w:tcPr>
                  <w:tcW w:w="787" w:type="pct"/>
                  <w:vAlign w:val="center"/>
                </w:tcPr>
                <w:p w14:paraId="207F54A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80</w:t>
                  </w:r>
                </w:p>
              </w:tc>
              <w:tc>
                <w:tcPr>
                  <w:tcW w:w="1498" w:type="pct"/>
                  <w:vAlign w:val="center"/>
                </w:tcPr>
                <w:p w14:paraId="3212EF1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pct"/>
                  <w:vMerge w:val="restart"/>
                  <w:vAlign w:val="center"/>
                </w:tcPr>
                <w:p w14:paraId="4FDF0AA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《固定污染源挥发性有机物综合排放标准》（DB44/2367-2022）表1排放限值要求</w:t>
                  </w:r>
                </w:p>
              </w:tc>
            </w:tr>
            <w:tr w14:paraId="53A7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9" w:type="pct"/>
                  <w:vMerge w:val="continue"/>
                  <w:vAlign w:val="center"/>
                </w:tcPr>
                <w:p w14:paraId="04A27E0B">
                  <w:pPr>
                    <w:pStyle w:val="66"/>
                    <w:rPr>
                      <w:color w:val="000000" w:themeColor="text1"/>
                      <w14:textFill>
                        <w14:solidFill>
                          <w14:schemeClr w14:val="tx1"/>
                        </w14:solidFill>
                      </w14:textFill>
                    </w:rPr>
                  </w:pPr>
                </w:p>
              </w:tc>
              <w:tc>
                <w:tcPr>
                  <w:tcW w:w="777" w:type="pct"/>
                  <w:vAlign w:val="center"/>
                </w:tcPr>
                <w:p w14:paraId="68CA1F0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苯系物</w:t>
                  </w:r>
                </w:p>
              </w:tc>
              <w:tc>
                <w:tcPr>
                  <w:tcW w:w="787" w:type="pct"/>
                  <w:vAlign w:val="center"/>
                </w:tcPr>
                <w:p w14:paraId="2D14F76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0</w:t>
                  </w:r>
                </w:p>
              </w:tc>
              <w:tc>
                <w:tcPr>
                  <w:tcW w:w="1498" w:type="pct"/>
                  <w:vAlign w:val="center"/>
                </w:tcPr>
                <w:p w14:paraId="6A97E89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pct"/>
                  <w:vMerge w:val="continue"/>
                  <w:vAlign w:val="center"/>
                </w:tcPr>
                <w:p w14:paraId="18641C89">
                  <w:pPr>
                    <w:pStyle w:val="66"/>
                    <w:rPr>
                      <w:color w:val="000000" w:themeColor="text1"/>
                      <w14:textFill>
                        <w14:solidFill>
                          <w14:schemeClr w14:val="tx1"/>
                        </w14:solidFill>
                      </w14:textFill>
                    </w:rPr>
                  </w:pPr>
                </w:p>
              </w:tc>
            </w:tr>
            <w:tr w14:paraId="659A4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9" w:type="pct"/>
                  <w:vMerge w:val="continue"/>
                  <w:vAlign w:val="center"/>
                </w:tcPr>
                <w:p w14:paraId="5BDCA345">
                  <w:pPr>
                    <w:pStyle w:val="66"/>
                    <w:rPr>
                      <w:color w:val="000000" w:themeColor="text1"/>
                      <w14:textFill>
                        <w14:solidFill>
                          <w14:schemeClr w14:val="tx1"/>
                        </w14:solidFill>
                      </w14:textFill>
                    </w:rPr>
                  </w:pPr>
                </w:p>
              </w:tc>
              <w:tc>
                <w:tcPr>
                  <w:tcW w:w="777" w:type="pct"/>
                  <w:vAlign w:val="center"/>
                </w:tcPr>
                <w:p w14:paraId="3A70629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T</w:t>
                  </w:r>
                  <w:r>
                    <w:rPr>
                      <w:color w:val="000000" w:themeColor="text1"/>
                      <w14:textFill>
                        <w14:solidFill>
                          <w14:schemeClr w14:val="tx1"/>
                        </w14:solidFill>
                      </w14:textFill>
                    </w:rPr>
                    <w:t>VOC</w:t>
                  </w:r>
                </w:p>
              </w:tc>
              <w:tc>
                <w:tcPr>
                  <w:tcW w:w="787" w:type="pct"/>
                  <w:vAlign w:val="center"/>
                </w:tcPr>
                <w:p w14:paraId="0482EA2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00</w:t>
                  </w:r>
                </w:p>
              </w:tc>
              <w:tc>
                <w:tcPr>
                  <w:tcW w:w="1498" w:type="pct"/>
                  <w:vAlign w:val="center"/>
                </w:tcPr>
                <w:p w14:paraId="32A71CC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pct"/>
                  <w:vMerge w:val="continue"/>
                  <w:vAlign w:val="center"/>
                </w:tcPr>
                <w:p w14:paraId="2D5D0BCB">
                  <w:pPr>
                    <w:pStyle w:val="66"/>
                    <w:rPr>
                      <w:color w:val="000000" w:themeColor="text1"/>
                      <w14:textFill>
                        <w14:solidFill>
                          <w14:schemeClr w14:val="tx1"/>
                        </w14:solidFill>
                      </w14:textFill>
                    </w:rPr>
                  </w:pPr>
                </w:p>
              </w:tc>
            </w:tr>
            <w:tr w14:paraId="6491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9" w:type="pct"/>
                  <w:vMerge w:val="continue"/>
                  <w:vAlign w:val="center"/>
                </w:tcPr>
                <w:p w14:paraId="464A6A0A">
                  <w:pPr>
                    <w:pStyle w:val="66"/>
                    <w:rPr>
                      <w:color w:val="000000" w:themeColor="text1"/>
                      <w14:textFill>
                        <w14:solidFill>
                          <w14:schemeClr w14:val="tx1"/>
                        </w14:solidFill>
                      </w14:textFill>
                    </w:rPr>
                  </w:pPr>
                </w:p>
              </w:tc>
              <w:tc>
                <w:tcPr>
                  <w:tcW w:w="777" w:type="pct"/>
                  <w:vAlign w:val="center"/>
                </w:tcPr>
                <w:p w14:paraId="2FD2E04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颗粒物</w:t>
                  </w:r>
                </w:p>
              </w:tc>
              <w:tc>
                <w:tcPr>
                  <w:tcW w:w="787" w:type="pct"/>
                  <w:vAlign w:val="center"/>
                </w:tcPr>
                <w:p w14:paraId="47F27A5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20</w:t>
                  </w:r>
                </w:p>
              </w:tc>
              <w:tc>
                <w:tcPr>
                  <w:tcW w:w="1498" w:type="pct"/>
                  <w:vAlign w:val="center"/>
                </w:tcPr>
                <w:p w14:paraId="51D9E8A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.45）</w:t>
                  </w:r>
                </w:p>
              </w:tc>
              <w:tc>
                <w:tcPr>
                  <w:tcW w:w="1498" w:type="pct"/>
                  <w:vAlign w:val="center"/>
                </w:tcPr>
                <w:p w14:paraId="3C4CACE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广东省《大气污染物排放限值》（DB44/27-2001）第二时段二级标准</w:t>
                  </w:r>
                </w:p>
              </w:tc>
            </w:tr>
            <w:tr w14:paraId="788C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9" w:type="pct"/>
                  <w:vMerge w:val="continue"/>
                  <w:vAlign w:val="center"/>
                </w:tcPr>
                <w:p w14:paraId="1D20E614">
                  <w:pPr>
                    <w:pStyle w:val="66"/>
                    <w:rPr>
                      <w:color w:val="000000" w:themeColor="text1"/>
                      <w14:textFill>
                        <w14:solidFill>
                          <w14:schemeClr w14:val="tx1"/>
                        </w14:solidFill>
                      </w14:textFill>
                    </w:rPr>
                  </w:pPr>
                </w:p>
              </w:tc>
              <w:tc>
                <w:tcPr>
                  <w:tcW w:w="777" w:type="pct"/>
                  <w:vAlign w:val="center"/>
                </w:tcPr>
                <w:p w14:paraId="12273FD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臭气浓度</w:t>
                  </w:r>
                </w:p>
              </w:tc>
              <w:tc>
                <w:tcPr>
                  <w:tcW w:w="787" w:type="pct"/>
                  <w:vAlign w:val="center"/>
                </w:tcPr>
                <w:p w14:paraId="06C90C4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000（无量纲）</w:t>
                  </w:r>
                </w:p>
              </w:tc>
              <w:tc>
                <w:tcPr>
                  <w:tcW w:w="1498" w:type="pct"/>
                  <w:vAlign w:val="center"/>
                </w:tcPr>
                <w:p w14:paraId="3A71F58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pct"/>
                  <w:vAlign w:val="center"/>
                </w:tcPr>
                <w:p w14:paraId="69E7B15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《恶臭污染物排放标准》（G</w:t>
                  </w:r>
                  <w:r>
                    <w:rPr>
                      <w:color w:val="000000" w:themeColor="text1"/>
                      <w14:textFill>
                        <w14:solidFill>
                          <w14:schemeClr w14:val="tx1"/>
                        </w14:solidFill>
                      </w14:textFill>
                    </w:rPr>
                    <w:t>B14554-93</w:t>
                  </w:r>
                  <w:r>
                    <w:rPr>
                      <w:rFonts w:hint="eastAsia"/>
                      <w:color w:val="000000" w:themeColor="text1"/>
                      <w14:textFill>
                        <w14:solidFill>
                          <w14:schemeClr w14:val="tx1"/>
                        </w14:solidFill>
                      </w14:textFill>
                    </w:rPr>
                    <w:t>）表2恶臭污染物排放标准值</w:t>
                  </w:r>
                </w:p>
              </w:tc>
            </w:tr>
            <w:tr w14:paraId="7C51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jc w:val="center"/>
              </w:trPr>
              <w:tc>
                <w:tcPr>
                  <w:tcW w:w="439" w:type="pct"/>
                  <w:vMerge w:val="restart"/>
                  <w:vAlign w:val="center"/>
                </w:tcPr>
                <w:p w14:paraId="6A4BBFE7">
                  <w:pPr>
                    <w:pStyle w:val="66"/>
                    <w:rPr>
                      <w:color w:val="000000" w:themeColor="text1"/>
                      <w14:textFill>
                        <w14:solidFill>
                          <w14:schemeClr w14:val="tx1"/>
                        </w14:solidFill>
                      </w14:textFill>
                    </w:rPr>
                  </w:pPr>
                  <w:r>
                    <w:rPr>
                      <w:color w:val="000000" w:themeColor="text1"/>
                      <w14:textFill>
                        <w14:solidFill>
                          <w14:schemeClr w14:val="tx1"/>
                        </w14:solidFill>
                      </w14:textFill>
                    </w:rPr>
                    <w:t>厂界无组织废气</w:t>
                  </w:r>
                </w:p>
              </w:tc>
              <w:tc>
                <w:tcPr>
                  <w:tcW w:w="777" w:type="pct"/>
                  <w:vAlign w:val="center"/>
                </w:tcPr>
                <w:p w14:paraId="770DF86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颗粒物</w:t>
                  </w:r>
                </w:p>
              </w:tc>
              <w:tc>
                <w:tcPr>
                  <w:tcW w:w="787" w:type="pct"/>
                  <w:vAlign w:val="center"/>
                </w:tcPr>
                <w:p w14:paraId="6E0062EF">
                  <w:pPr>
                    <w:pStyle w:val="66"/>
                    <w:rPr>
                      <w:color w:val="000000" w:themeColor="text1"/>
                      <w14:textFill>
                        <w14:solidFill>
                          <w14:schemeClr w14:val="tx1"/>
                        </w14:solidFill>
                      </w14:textFill>
                    </w:rPr>
                  </w:pPr>
                  <w:r>
                    <w:rPr>
                      <w:color w:val="000000" w:themeColor="text1"/>
                      <w14:textFill>
                        <w14:solidFill>
                          <w14:schemeClr w14:val="tx1"/>
                        </w14:solidFill>
                      </w14:textFill>
                    </w:rPr>
                    <w:t>1.0</w:t>
                  </w:r>
                </w:p>
              </w:tc>
              <w:tc>
                <w:tcPr>
                  <w:tcW w:w="1498" w:type="pct"/>
                  <w:vAlign w:val="center"/>
                </w:tcPr>
                <w:p w14:paraId="5659519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pct"/>
                  <w:vMerge w:val="restart"/>
                  <w:vAlign w:val="center"/>
                </w:tcPr>
                <w:p w14:paraId="1FE0560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广东省《大气污染物排放限值》（DB 44/27－2001）第二时段无组织排放监控浓度限值</w:t>
                  </w:r>
                </w:p>
              </w:tc>
            </w:tr>
            <w:tr w14:paraId="01AF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jc w:val="center"/>
              </w:trPr>
              <w:tc>
                <w:tcPr>
                  <w:tcW w:w="439" w:type="pct"/>
                  <w:vMerge w:val="continue"/>
                  <w:vAlign w:val="center"/>
                </w:tcPr>
                <w:p w14:paraId="4D5DBA9B">
                  <w:pPr>
                    <w:pStyle w:val="66"/>
                    <w:rPr>
                      <w:color w:val="000000" w:themeColor="text1"/>
                      <w14:textFill>
                        <w14:solidFill>
                          <w14:schemeClr w14:val="tx1"/>
                        </w14:solidFill>
                      </w14:textFill>
                    </w:rPr>
                  </w:pPr>
                </w:p>
              </w:tc>
              <w:tc>
                <w:tcPr>
                  <w:tcW w:w="777" w:type="pct"/>
                  <w:vAlign w:val="center"/>
                </w:tcPr>
                <w:p w14:paraId="1FCCAE8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N</w:t>
                  </w:r>
                  <w:r>
                    <w:rPr>
                      <w:color w:val="000000" w:themeColor="text1"/>
                      <w14:textFill>
                        <w14:solidFill>
                          <w14:schemeClr w14:val="tx1"/>
                        </w14:solidFill>
                      </w14:textFill>
                    </w:rPr>
                    <w:t>MHC</w:t>
                  </w:r>
                </w:p>
              </w:tc>
              <w:tc>
                <w:tcPr>
                  <w:tcW w:w="787" w:type="pct"/>
                  <w:vAlign w:val="center"/>
                </w:tcPr>
                <w:p w14:paraId="0A50C2F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.0</w:t>
                  </w:r>
                </w:p>
              </w:tc>
              <w:tc>
                <w:tcPr>
                  <w:tcW w:w="1498" w:type="pct"/>
                  <w:vAlign w:val="center"/>
                </w:tcPr>
                <w:p w14:paraId="6472F1B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pct"/>
                  <w:vMerge w:val="continue"/>
                  <w:vAlign w:val="center"/>
                </w:tcPr>
                <w:p w14:paraId="57556277">
                  <w:pPr>
                    <w:pStyle w:val="66"/>
                    <w:rPr>
                      <w:color w:val="000000" w:themeColor="text1"/>
                      <w14:textFill>
                        <w14:solidFill>
                          <w14:schemeClr w14:val="tx1"/>
                        </w14:solidFill>
                      </w14:textFill>
                    </w:rPr>
                  </w:pPr>
                </w:p>
              </w:tc>
            </w:tr>
            <w:tr w14:paraId="08DC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 w:hRule="atLeast"/>
                <w:jc w:val="center"/>
              </w:trPr>
              <w:tc>
                <w:tcPr>
                  <w:tcW w:w="439" w:type="pct"/>
                  <w:vMerge w:val="continue"/>
                  <w:vAlign w:val="center"/>
                </w:tcPr>
                <w:p w14:paraId="1239659A">
                  <w:pPr>
                    <w:pStyle w:val="66"/>
                    <w:rPr>
                      <w:color w:val="000000" w:themeColor="text1"/>
                      <w14:textFill>
                        <w14:solidFill>
                          <w14:schemeClr w14:val="tx1"/>
                        </w14:solidFill>
                      </w14:textFill>
                    </w:rPr>
                  </w:pPr>
                </w:p>
              </w:tc>
              <w:tc>
                <w:tcPr>
                  <w:tcW w:w="777" w:type="pct"/>
                  <w:vAlign w:val="center"/>
                </w:tcPr>
                <w:p w14:paraId="3EFB852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臭气浓度</w:t>
                  </w:r>
                </w:p>
              </w:tc>
              <w:tc>
                <w:tcPr>
                  <w:tcW w:w="787" w:type="pct"/>
                  <w:vAlign w:val="center"/>
                </w:tcPr>
                <w:p w14:paraId="523042E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0（无量纲）</w:t>
                  </w:r>
                </w:p>
              </w:tc>
              <w:tc>
                <w:tcPr>
                  <w:tcW w:w="1498" w:type="pct"/>
                  <w:vAlign w:val="center"/>
                </w:tcPr>
                <w:p w14:paraId="6B39870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pct"/>
                  <w:vAlign w:val="center"/>
                </w:tcPr>
                <w:p w14:paraId="20842716">
                  <w:pPr>
                    <w:pStyle w:val="66"/>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恶臭</w:t>
                  </w:r>
                  <w:r>
                    <w:rPr>
                      <w:color w:val="000000" w:themeColor="text1"/>
                      <w14:textFill>
                        <w14:solidFill>
                          <w14:schemeClr w14:val="tx1"/>
                        </w14:solidFill>
                      </w14:textFill>
                    </w:rPr>
                    <w:t>污染物排放标准》</w:t>
                  </w:r>
                  <w:r>
                    <w:rPr>
                      <w:rFonts w:hint="eastAsia"/>
                      <w:color w:val="000000" w:themeColor="text1"/>
                      <w14:textFill>
                        <w14:solidFill>
                          <w14:schemeClr w14:val="tx1"/>
                        </w14:solidFill>
                      </w14:textFill>
                    </w:rPr>
                    <w:t>（GB14554-93）表1恶臭</w:t>
                  </w:r>
                  <w:r>
                    <w:rPr>
                      <w:color w:val="000000" w:themeColor="text1"/>
                      <w14:textFill>
                        <w14:solidFill>
                          <w14:schemeClr w14:val="tx1"/>
                        </w14:solidFill>
                      </w14:textFill>
                    </w:rPr>
                    <w:t>污染物</w:t>
                  </w:r>
                  <w:r>
                    <w:rPr>
                      <w:rFonts w:hint="eastAsia"/>
                      <w:color w:val="000000" w:themeColor="text1"/>
                      <w14:textFill>
                        <w14:solidFill>
                          <w14:schemeClr w14:val="tx1"/>
                        </w14:solidFill>
                      </w14:textFill>
                    </w:rPr>
                    <w:t>厂界</w:t>
                  </w:r>
                  <w:r>
                    <w:rPr>
                      <w:color w:val="000000" w:themeColor="text1"/>
                      <w14:textFill>
                        <w14:solidFill>
                          <w14:schemeClr w14:val="tx1"/>
                        </w14:solidFill>
                      </w14:textFill>
                    </w:rPr>
                    <w:t>二级新</w:t>
                  </w:r>
                  <w:r>
                    <w:rPr>
                      <w:rFonts w:hint="eastAsia"/>
                      <w:color w:val="000000" w:themeColor="text1"/>
                      <w14:textFill>
                        <w14:solidFill>
                          <w14:schemeClr w14:val="tx1"/>
                        </w14:solidFill>
                      </w14:textFill>
                    </w:rPr>
                    <w:t>扩</w:t>
                  </w:r>
                  <w:r>
                    <w:rPr>
                      <w:color w:val="000000" w:themeColor="text1"/>
                      <w14:textFill>
                        <w14:solidFill>
                          <w14:schemeClr w14:val="tx1"/>
                        </w14:solidFill>
                      </w14:textFill>
                    </w:rPr>
                    <w:t>改建标准值</w:t>
                  </w:r>
                </w:p>
              </w:tc>
            </w:tr>
            <w:tr w14:paraId="5E3A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jc w:val="center"/>
              </w:trPr>
              <w:tc>
                <w:tcPr>
                  <w:tcW w:w="439" w:type="pct"/>
                  <w:vMerge w:val="restart"/>
                  <w:vAlign w:val="center"/>
                </w:tcPr>
                <w:p w14:paraId="3B5F770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厂区内</w:t>
                  </w:r>
                </w:p>
              </w:tc>
              <w:tc>
                <w:tcPr>
                  <w:tcW w:w="777" w:type="pct"/>
                  <w:vMerge w:val="restart"/>
                  <w:vAlign w:val="center"/>
                </w:tcPr>
                <w:p w14:paraId="5866F3B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N</w:t>
                  </w:r>
                  <w:r>
                    <w:rPr>
                      <w:color w:val="000000" w:themeColor="text1"/>
                      <w14:textFill>
                        <w14:solidFill>
                          <w14:schemeClr w14:val="tx1"/>
                        </w14:solidFill>
                      </w14:textFill>
                    </w:rPr>
                    <w:t>MHC</w:t>
                  </w:r>
                </w:p>
              </w:tc>
              <w:tc>
                <w:tcPr>
                  <w:tcW w:w="787" w:type="pct"/>
                  <w:vAlign w:val="center"/>
                </w:tcPr>
                <w:p w14:paraId="00A04A4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6（1h平均）</w:t>
                  </w:r>
                </w:p>
              </w:tc>
              <w:tc>
                <w:tcPr>
                  <w:tcW w:w="1498" w:type="pct"/>
                  <w:vAlign w:val="center"/>
                </w:tcPr>
                <w:p w14:paraId="6E2E381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498" w:type="pct"/>
                  <w:vMerge w:val="restart"/>
                  <w:vAlign w:val="center"/>
                </w:tcPr>
                <w:p w14:paraId="204DA83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《固定污染源挥发性有机物综合排放标准》（DB44/2367-2022）表3限值</w:t>
                  </w:r>
                </w:p>
              </w:tc>
            </w:tr>
            <w:tr w14:paraId="0D01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jc w:val="center"/>
              </w:trPr>
              <w:tc>
                <w:tcPr>
                  <w:tcW w:w="439" w:type="pct"/>
                  <w:vMerge w:val="continue"/>
                  <w:vAlign w:val="center"/>
                </w:tcPr>
                <w:p w14:paraId="1281B43B">
                  <w:pPr>
                    <w:jc w:val="center"/>
                    <w:rPr>
                      <w:color w:val="000000" w:themeColor="text1"/>
                      <w14:textFill>
                        <w14:solidFill>
                          <w14:schemeClr w14:val="tx1"/>
                        </w14:solidFill>
                      </w14:textFill>
                    </w:rPr>
                  </w:pPr>
                </w:p>
              </w:tc>
              <w:tc>
                <w:tcPr>
                  <w:tcW w:w="777" w:type="pct"/>
                  <w:vMerge w:val="continue"/>
                  <w:vAlign w:val="center"/>
                </w:tcPr>
                <w:p w14:paraId="14EBF595">
                  <w:pPr>
                    <w:jc w:val="center"/>
                    <w:rPr>
                      <w:color w:val="000000" w:themeColor="text1"/>
                      <w14:textFill>
                        <w14:solidFill>
                          <w14:schemeClr w14:val="tx1"/>
                        </w14:solidFill>
                      </w14:textFill>
                    </w:rPr>
                  </w:pPr>
                </w:p>
              </w:tc>
              <w:tc>
                <w:tcPr>
                  <w:tcW w:w="787" w:type="pct"/>
                  <w:vAlign w:val="center"/>
                </w:tcPr>
                <w:p w14:paraId="3B3906C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20（任意一次）</w:t>
                  </w:r>
                </w:p>
              </w:tc>
              <w:tc>
                <w:tcPr>
                  <w:tcW w:w="1498" w:type="pct"/>
                  <w:vAlign w:val="center"/>
                </w:tcPr>
                <w:p w14:paraId="2A27F805">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w:t>
                  </w:r>
                </w:p>
              </w:tc>
              <w:tc>
                <w:tcPr>
                  <w:tcW w:w="1498" w:type="pct"/>
                  <w:vMerge w:val="continue"/>
                  <w:vAlign w:val="center"/>
                </w:tcPr>
                <w:p w14:paraId="15C6F716">
                  <w:pPr>
                    <w:jc w:val="center"/>
                    <w:rPr>
                      <w:color w:val="000000" w:themeColor="text1"/>
                      <w14:textFill>
                        <w14:solidFill>
                          <w14:schemeClr w14:val="tx1"/>
                        </w14:solidFill>
                      </w14:textFill>
                    </w:rPr>
                  </w:pPr>
                </w:p>
              </w:tc>
            </w:tr>
            <w:tr w14:paraId="6FF7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 w:hRule="atLeast"/>
                <w:jc w:val="center"/>
              </w:trPr>
              <w:tc>
                <w:tcPr>
                  <w:tcW w:w="5000" w:type="pct"/>
                  <w:gridSpan w:val="5"/>
                  <w:vAlign w:val="center"/>
                </w:tcPr>
                <w:p w14:paraId="53FEC5D2">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注：排气筒高度未高出周围200m半径范围的建筑5m以上，排放速率按限值的50%执行</w:t>
                  </w:r>
                </w:p>
              </w:tc>
            </w:tr>
          </w:tbl>
          <w:p w14:paraId="17263927">
            <w:pPr>
              <w:pStyle w:val="301"/>
              <w:ind w:firstLine="0" w:firstLineChars="0"/>
              <w:rPr>
                <w:color w:val="000000" w:themeColor="text1"/>
                <w:szCs w:val="21"/>
                <w14:textFill>
                  <w14:solidFill>
                    <w14:schemeClr w14:val="tx1"/>
                  </w14:solidFill>
                </w14:textFill>
              </w:rPr>
            </w:pPr>
          </w:p>
        </w:tc>
      </w:tr>
      <w:tr w14:paraId="0DE09B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445" w:type="pct"/>
            <w:vAlign w:val="center"/>
          </w:tcPr>
          <w:p w14:paraId="1DE68841">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总量</w:t>
            </w:r>
          </w:p>
          <w:p w14:paraId="3005E095">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控制</w:t>
            </w:r>
          </w:p>
          <w:p w14:paraId="6C858C18">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指标</w:t>
            </w:r>
          </w:p>
        </w:tc>
        <w:tc>
          <w:tcPr>
            <w:tcW w:w="4555" w:type="pct"/>
            <w:vAlign w:val="center"/>
          </w:tcPr>
          <w:p w14:paraId="465C4AA1">
            <w:pPr>
              <w:spacing w:line="360" w:lineRule="auto"/>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根据本</w:t>
            </w:r>
            <w:r>
              <w:rPr>
                <w:rFonts w:hint="eastAsia" w:ascii="Times New Roman" w:hAnsi="Times New Roman" w:eastAsia="宋体" w:cs="Times New Roman"/>
                <w:b/>
                <w:bCs/>
                <w:color w:val="000000" w:themeColor="text1"/>
                <w:sz w:val="24"/>
                <w:lang w:eastAsia="zh-CN"/>
                <w14:textFill>
                  <w14:solidFill>
                    <w14:schemeClr w14:val="tx1"/>
                  </w14:solidFill>
                </w14:textFill>
              </w:rPr>
              <w:t>项目</w:t>
            </w:r>
            <w:r>
              <w:rPr>
                <w:rFonts w:hint="eastAsia" w:ascii="Times New Roman" w:hAnsi="Times New Roman" w:eastAsia="宋体" w:cs="Times New Roman"/>
                <w:b/>
                <w:bCs/>
                <w:color w:val="000000" w:themeColor="text1"/>
                <w:sz w:val="24"/>
                <w14:textFill>
                  <w14:solidFill>
                    <w14:schemeClr w14:val="tx1"/>
                  </w14:solidFill>
                </w14:textFill>
              </w:rPr>
              <w:t>污染物排放总量，建议其总量控制指标按以下执行：</w:t>
            </w:r>
          </w:p>
          <w:p w14:paraId="5A5C57FF">
            <w:pPr>
              <w:spacing w:line="360" w:lineRule="auto"/>
              <w:ind w:firstLine="480"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1、水污染物总量控制指标</w:t>
            </w:r>
          </w:p>
          <w:p w14:paraId="1CA9CC3F">
            <w:pPr>
              <w:snapToGrid w:val="0"/>
              <w:spacing w:line="360" w:lineRule="auto"/>
              <w:ind w:firstLine="480" w:firstLineChars="200"/>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废水排放量为</w:t>
            </w:r>
            <w:r>
              <w:rPr>
                <w:rFonts w:ascii="Times New Roman" w:hAnsi="Times New Roman" w:eastAsia="宋体" w:cs="Times New Roman"/>
                <w:color w:val="000000" w:themeColor="text1"/>
                <w:sz w:val="24"/>
                <w14:textFill>
                  <w14:solidFill>
                    <w14:schemeClr w14:val="tx1"/>
                  </w14:solidFill>
                </w14:textFill>
              </w:rPr>
              <w:t>185</w:t>
            </w:r>
            <w:r>
              <w:rPr>
                <w:rFonts w:hint="eastAsia" w:ascii="Times New Roman" w:hAnsi="Times New Roman" w:eastAsia="宋体" w:cs="Times New Roman"/>
                <w:color w:val="000000" w:themeColor="text1"/>
                <w:sz w:val="24"/>
                <w14:textFill>
                  <w14:solidFill>
                    <w14:schemeClr w14:val="tx1"/>
                  </w14:solidFill>
                </w14:textFill>
              </w:rPr>
              <w:t>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/a，COD</w:t>
            </w:r>
            <w:r>
              <w:rPr>
                <w:rFonts w:hint="eastAsia" w:ascii="Times New Roman" w:hAnsi="Times New Roman" w:eastAsia="宋体" w:cs="Times New Roman"/>
                <w:color w:val="000000" w:themeColor="text1"/>
                <w:sz w:val="24"/>
                <w:vertAlign w:val="subscript"/>
                <w14:textFill>
                  <w14:solidFill>
                    <w14:schemeClr w14:val="tx1"/>
                  </w14:solidFill>
                </w14:textFill>
              </w:rPr>
              <w:t>Cr</w:t>
            </w:r>
            <w:r>
              <w:rPr>
                <w:rFonts w:hint="eastAsia" w:ascii="Times New Roman" w:hAnsi="Times New Roman" w:eastAsia="宋体" w:cs="Times New Roman"/>
                <w:color w:val="000000" w:themeColor="text1"/>
                <w:sz w:val="24"/>
                <w14:textFill>
                  <w14:solidFill>
                    <w14:schemeClr w14:val="tx1"/>
                  </w14:solidFill>
                </w14:textFill>
              </w:rPr>
              <w:t>排放量为0.</w:t>
            </w:r>
            <w:r>
              <w:rPr>
                <w:rFonts w:ascii="Times New Roman" w:hAnsi="Times New Roman" w:eastAsia="宋体" w:cs="Times New Roman"/>
                <w:color w:val="000000" w:themeColor="text1"/>
                <w:sz w:val="24"/>
                <w14:textFill>
                  <w14:solidFill>
                    <w14:schemeClr w14:val="tx1"/>
                  </w14:solidFill>
                </w14:textFill>
              </w:rPr>
              <w:t>038</w:t>
            </w:r>
            <w:r>
              <w:rPr>
                <w:rFonts w:hint="eastAsia" w:ascii="Times New Roman" w:hAnsi="Times New Roman" w:eastAsia="宋体" w:cs="Times New Roman"/>
                <w:color w:val="000000" w:themeColor="text1"/>
                <w:sz w:val="24"/>
                <w14:textFill>
                  <w14:solidFill>
                    <w14:schemeClr w14:val="tx1"/>
                  </w14:solidFill>
                </w14:textFill>
              </w:rPr>
              <w:t>t/a，氨氮排放量为 0.0</w:t>
            </w:r>
            <w:r>
              <w:rPr>
                <w:rFonts w:ascii="Times New Roman" w:hAnsi="Times New Roman" w:eastAsia="宋体" w:cs="Times New Roman"/>
                <w:color w:val="000000" w:themeColor="text1"/>
                <w:sz w:val="24"/>
                <w14:textFill>
                  <w14:solidFill>
                    <w14:schemeClr w14:val="tx1"/>
                  </w14:solidFill>
                </w14:textFill>
              </w:rPr>
              <w:t>04</w:t>
            </w:r>
            <w:r>
              <w:rPr>
                <w:rFonts w:hint="eastAsia" w:ascii="Times New Roman" w:hAnsi="Times New Roman" w:eastAsia="宋体" w:cs="Times New Roman"/>
                <w:color w:val="000000" w:themeColor="text1"/>
                <w:sz w:val="24"/>
                <w14:textFill>
                  <w14:solidFill>
                    <w14:schemeClr w14:val="tx1"/>
                  </w14:solidFill>
                </w14:textFill>
              </w:rPr>
              <w:t>t/a，原项目废水排放量为1</w:t>
            </w:r>
            <w:r>
              <w:rPr>
                <w:rFonts w:ascii="Times New Roman" w:hAnsi="Times New Roman" w:eastAsia="宋体" w:cs="Times New Roman"/>
                <w:color w:val="000000" w:themeColor="text1"/>
                <w:sz w:val="24"/>
                <w14:textFill>
                  <w14:solidFill>
                    <w14:schemeClr w14:val="tx1"/>
                  </w14:solidFill>
                </w14:textFill>
              </w:rPr>
              <w:t>60m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/a，</w:t>
            </w:r>
            <w:r>
              <w:rPr>
                <w:rFonts w:hint="eastAsia" w:ascii="Times New Roman" w:hAnsi="Times New Roman" w:eastAsia="宋体" w:cs="Times New Roman"/>
                <w:color w:val="000000" w:themeColor="text1"/>
                <w:sz w:val="24"/>
                <w14:textFill>
                  <w14:solidFill>
                    <w14:schemeClr w14:val="tx1"/>
                  </w14:solidFill>
                </w14:textFill>
              </w:rPr>
              <w:t>COD</w:t>
            </w:r>
            <w:r>
              <w:rPr>
                <w:rFonts w:hint="eastAsia" w:ascii="Times New Roman" w:hAnsi="Times New Roman" w:eastAsia="宋体" w:cs="Times New Roman"/>
                <w:color w:val="000000" w:themeColor="text1"/>
                <w:sz w:val="24"/>
                <w:vertAlign w:val="subscript"/>
                <w14:textFill>
                  <w14:solidFill>
                    <w14:schemeClr w14:val="tx1"/>
                  </w14:solidFill>
                </w14:textFill>
              </w:rPr>
              <w:t>Cr</w:t>
            </w:r>
            <w:r>
              <w:rPr>
                <w:rFonts w:hint="eastAsia" w:ascii="Times New Roman" w:hAnsi="Times New Roman" w:eastAsia="宋体" w:cs="Times New Roman"/>
                <w:color w:val="000000" w:themeColor="text1"/>
                <w:sz w:val="24"/>
                <w14:textFill>
                  <w14:solidFill>
                    <w14:schemeClr w14:val="tx1"/>
                  </w14:solidFill>
                </w14:textFill>
              </w:rPr>
              <w:t>排放量为0.038t/a，氨氮排放量为 0.004t/a，</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建成后外排废水总量为3</w:t>
            </w:r>
            <w:r>
              <w:rPr>
                <w:rFonts w:ascii="Times New Roman" w:hAnsi="Times New Roman" w:eastAsia="宋体" w:cs="Times New Roman"/>
                <w:color w:val="000000" w:themeColor="text1"/>
                <w:sz w:val="24"/>
                <w14:textFill>
                  <w14:solidFill>
                    <w14:schemeClr w14:val="tx1"/>
                  </w14:solidFill>
                </w14:textFill>
              </w:rPr>
              <w:t>45m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/a，</w:t>
            </w:r>
            <w:r>
              <w:rPr>
                <w:rFonts w:hint="eastAsia" w:ascii="Times New Roman" w:hAnsi="Times New Roman" w:eastAsia="宋体" w:cs="Times New Roman"/>
                <w:color w:val="000000" w:themeColor="text1"/>
                <w:sz w:val="24"/>
                <w14:textFill>
                  <w14:solidFill>
                    <w14:schemeClr w14:val="tx1"/>
                  </w14:solidFill>
                </w14:textFill>
              </w:rPr>
              <w:t>COD</w:t>
            </w:r>
            <w:r>
              <w:rPr>
                <w:rFonts w:hint="eastAsia" w:ascii="Times New Roman" w:hAnsi="Times New Roman" w:eastAsia="宋体" w:cs="Times New Roman"/>
                <w:color w:val="000000" w:themeColor="text1"/>
                <w:sz w:val="24"/>
                <w:vertAlign w:val="subscript"/>
                <w14:textFill>
                  <w14:solidFill>
                    <w14:schemeClr w14:val="tx1"/>
                  </w14:solidFill>
                </w14:textFill>
              </w:rPr>
              <w:t>Cr</w:t>
            </w:r>
            <w:r>
              <w:rPr>
                <w:rFonts w:hint="eastAsia" w:ascii="Times New Roman" w:hAnsi="Times New Roman" w:eastAsia="宋体" w:cs="Times New Roman"/>
                <w:color w:val="000000" w:themeColor="text1"/>
                <w:sz w:val="24"/>
                <w14:textFill>
                  <w14:solidFill>
                    <w14:schemeClr w14:val="tx1"/>
                  </w14:solidFill>
                </w14:textFill>
              </w:rPr>
              <w:t>排放量为0.</w:t>
            </w:r>
            <w:r>
              <w:rPr>
                <w:rFonts w:hint="eastAsia" w:ascii="Times New Roman" w:hAnsi="Times New Roman" w:eastAsia="宋体" w:cs="Times New Roman"/>
                <w:color w:val="000000" w:themeColor="text1"/>
                <w:sz w:val="24"/>
                <w:lang w:val="en-US" w:eastAsia="zh-CN"/>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76</w:t>
            </w:r>
            <w:r>
              <w:rPr>
                <w:rFonts w:hint="eastAsia" w:ascii="Times New Roman" w:hAnsi="Times New Roman" w:eastAsia="宋体" w:cs="Times New Roman"/>
                <w:color w:val="000000" w:themeColor="text1"/>
                <w:sz w:val="24"/>
                <w14:textFill>
                  <w14:solidFill>
                    <w14:schemeClr w14:val="tx1"/>
                  </w14:solidFill>
                </w14:textFill>
              </w:rPr>
              <w:t xml:space="preserve"> t/a，氨氮排放量为 0.0</w:t>
            </w:r>
            <w:r>
              <w:rPr>
                <w:rFonts w:ascii="Times New Roman" w:hAnsi="Times New Roman" w:eastAsia="宋体" w:cs="Times New Roman"/>
                <w:color w:val="000000" w:themeColor="text1"/>
                <w:sz w:val="24"/>
                <w14:textFill>
                  <w14:solidFill>
                    <w14:schemeClr w14:val="tx1"/>
                  </w14:solidFill>
                </w14:textFill>
              </w:rPr>
              <w:t>08</w:t>
            </w:r>
            <w:r>
              <w:rPr>
                <w:rFonts w:hint="eastAsia" w:ascii="Times New Roman" w:hAnsi="Times New Roman" w:eastAsia="宋体" w:cs="Times New Roman"/>
                <w:color w:val="000000" w:themeColor="text1"/>
                <w:sz w:val="24"/>
                <w14:textFill>
                  <w14:solidFill>
                    <w14:schemeClr w14:val="tx1"/>
                  </w14:solidFill>
                </w14:textFill>
              </w:rPr>
              <w:t>t/a废水预处理后排入园区污水处理厂进行处理，COD</w:t>
            </w:r>
            <w:r>
              <w:rPr>
                <w:rFonts w:hint="eastAsia" w:ascii="Times New Roman" w:hAnsi="Times New Roman" w:eastAsia="宋体" w:cs="Times New Roman"/>
                <w:color w:val="000000" w:themeColor="text1"/>
                <w:sz w:val="24"/>
                <w:vertAlign w:val="subscript"/>
                <w14:textFill>
                  <w14:solidFill>
                    <w14:schemeClr w14:val="tx1"/>
                  </w14:solidFill>
                </w14:textFill>
              </w:rPr>
              <w:t>Cr</w:t>
            </w:r>
            <w:r>
              <w:rPr>
                <w:rFonts w:hint="eastAsia" w:ascii="Times New Roman" w:hAnsi="Times New Roman" w:eastAsia="宋体" w:cs="Times New Roman"/>
                <w:color w:val="000000" w:themeColor="text1"/>
                <w:sz w:val="24"/>
                <w14:textFill>
                  <w14:solidFill>
                    <w14:schemeClr w14:val="tx1"/>
                  </w14:solidFill>
                </w14:textFill>
              </w:rPr>
              <w:t>、NH</w:t>
            </w:r>
            <w:r>
              <w:rPr>
                <w:rFonts w:hint="eastAsia" w:ascii="Times New Roman" w:hAnsi="Times New Roman" w:eastAsia="宋体" w:cs="Times New Roman"/>
                <w:color w:val="000000" w:themeColor="text1"/>
                <w:sz w:val="24"/>
                <w:vertAlign w:val="sub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-N 纳入污水处理厂的总量控制指标，由园区污水处理厂总量控制指标分配，本项目不需另外申请总量分配指标。</w:t>
            </w:r>
          </w:p>
          <w:p w14:paraId="390D5FD5">
            <w:pPr>
              <w:spacing w:line="360" w:lineRule="auto"/>
              <w:ind w:firstLine="480"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2．大气污染物总量控制指标</w:t>
            </w:r>
          </w:p>
          <w:p w14:paraId="6C8FF3F9">
            <w:pPr>
              <w:pStyle w:val="30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根据《韶关市人民政府关于印发韶关市“三线一单”生态环境分区管控方案的通知》（韶府〔2021〕10号），“深入实施重点污染物总量控制。”“重点污染物包括化学需氧量、氨氮、氮氧化物及挥发性有机物等。”“新建项目原则上实施氮氧化物（NO</w:t>
            </w:r>
            <w:r>
              <w:rPr>
                <w:rFonts w:hint="eastAsia" w:cs="Times New Roman"/>
                <w:color w:val="000000" w:themeColor="text1"/>
                <w:vertAlign w:val="subscript"/>
                <w14:textFill>
                  <w14:solidFill>
                    <w14:schemeClr w14:val="tx1"/>
                  </w14:solidFill>
                </w14:textFill>
              </w:rPr>
              <w:t>X</w:t>
            </w:r>
            <w:r>
              <w:rPr>
                <w:rFonts w:hint="eastAsia" w:cs="Times New Roman"/>
                <w:color w:val="000000" w:themeColor="text1"/>
                <w14:textFill>
                  <w14:solidFill>
                    <w14:schemeClr w14:val="tx1"/>
                  </w14:solidFill>
                </w14:textFill>
              </w:rPr>
              <w:t>）和挥发性有机物(VOCs)等量替代。”</w:t>
            </w:r>
          </w:p>
          <w:p w14:paraId="698F7D0F">
            <w:pPr>
              <w:pStyle w:val="301"/>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w:t>
            </w:r>
            <w:r>
              <w:rPr>
                <w:rFonts w:hint="eastAsia" w:cs="Times New Roman"/>
                <w:color w:val="000000" w:themeColor="text1"/>
                <w:lang w:eastAsia="zh-CN"/>
                <w14:textFill>
                  <w14:solidFill>
                    <w14:schemeClr w14:val="tx1"/>
                  </w14:solidFill>
                </w14:textFill>
              </w:rPr>
              <w:t>项目</w:t>
            </w:r>
            <w:r>
              <w:rPr>
                <w:rFonts w:hint="eastAsia" w:cs="Times New Roman"/>
                <w:color w:val="000000" w:themeColor="text1"/>
                <w14:textFill>
                  <w14:solidFill>
                    <w14:schemeClr w14:val="tx1"/>
                  </w14:solidFill>
                </w14:textFill>
              </w:rPr>
              <w:t>挥发性有机物VOC</w:t>
            </w:r>
            <w:r>
              <w:rPr>
                <w:rFonts w:cs="Times New Roman"/>
                <w:color w:val="000000" w:themeColor="text1"/>
                <w14:textFill>
                  <w14:solidFill>
                    <w14:schemeClr w14:val="tx1"/>
                  </w14:solidFill>
                </w14:textFill>
              </w:rPr>
              <w:t>s</w:t>
            </w:r>
            <w:r>
              <w:rPr>
                <w:rFonts w:hint="eastAsia" w:cs="Times New Roman"/>
                <w:color w:val="000000" w:themeColor="text1"/>
                <w14:textFill>
                  <w14:solidFill>
                    <w14:schemeClr w14:val="tx1"/>
                  </w14:solidFill>
                </w14:textFill>
              </w:rPr>
              <w:t>排放量为：</w:t>
            </w:r>
            <w:r>
              <w:rPr>
                <w:rFonts w:hint="eastAsia" w:cs="Times New Roman"/>
                <w:color w:val="000000" w:themeColor="text1"/>
                <w:lang w:val="en-US" w:eastAsia="zh-CN"/>
                <w14:textFill>
                  <w14:solidFill>
                    <w14:schemeClr w14:val="tx1"/>
                  </w14:solidFill>
                </w14:textFill>
              </w:rPr>
              <w:t>1.226</w:t>
            </w:r>
            <w:r>
              <w:rPr>
                <w:rFonts w:hint="eastAsia" w:cs="Times New Roman"/>
                <w:color w:val="000000" w:themeColor="text1"/>
                <w14:textFill>
                  <w14:solidFill>
                    <w14:schemeClr w14:val="tx1"/>
                  </w14:solidFill>
                </w14:textFill>
              </w:rPr>
              <w:t xml:space="preserve"> t/a（其中有组织排放</w:t>
            </w:r>
            <w:r>
              <w:rPr>
                <w:rFonts w:hint="eastAsia" w:cs="Times New Roman"/>
                <w:color w:val="000000" w:themeColor="text1"/>
                <w:lang w:val="en-US" w:eastAsia="zh-CN"/>
                <w14:textFill>
                  <w14:solidFill>
                    <w14:schemeClr w14:val="tx1"/>
                  </w14:solidFill>
                </w14:textFill>
              </w:rPr>
              <w:t>0.515</w:t>
            </w:r>
            <w:r>
              <w:rPr>
                <w:rFonts w:hint="eastAsia" w:cs="Times New Roman"/>
                <w:color w:val="000000" w:themeColor="text1"/>
                <w14:textFill>
                  <w14:solidFill>
                    <w14:schemeClr w14:val="tx1"/>
                  </w14:solidFill>
                </w14:textFill>
              </w:rPr>
              <w:t>t/a，无组织排放</w:t>
            </w:r>
            <w:r>
              <w:rPr>
                <w:rFonts w:hint="eastAsia" w:cs="Times New Roman"/>
                <w:color w:val="000000" w:themeColor="text1"/>
                <w:lang w:val="en-US" w:eastAsia="zh-CN"/>
                <w14:textFill>
                  <w14:solidFill>
                    <w14:schemeClr w14:val="tx1"/>
                  </w14:solidFill>
                </w14:textFill>
              </w:rPr>
              <w:t>0.711</w:t>
            </w:r>
            <w:r>
              <w:rPr>
                <w:rFonts w:cs="Times New Roman"/>
                <w:color w:val="000000" w:themeColor="text1"/>
                <w14:textFill>
                  <w14:solidFill>
                    <w14:schemeClr w14:val="tx1"/>
                  </w14:solidFill>
                </w14:textFill>
              </w:rPr>
              <w:t>t</w:t>
            </w:r>
            <w:r>
              <w:rPr>
                <w:rFonts w:hint="eastAsia" w:cs="Times New Roman"/>
                <w:color w:val="000000" w:themeColor="text1"/>
                <w14:textFill>
                  <w14:solidFill>
                    <w14:schemeClr w14:val="tx1"/>
                  </w14:solidFill>
                </w14:textFill>
              </w:rPr>
              <w:t>/a）。</w:t>
            </w:r>
          </w:p>
          <w:p w14:paraId="5C2848A0">
            <w:pPr>
              <w:pStyle w:val="301"/>
              <w:rPr>
                <w:rFonts w:hint="default"/>
                <w:b w:val="0"/>
                <w:sz w:val="24"/>
                <w:szCs w:val="24"/>
                <w:lang w:val="en-US"/>
              </w:rPr>
            </w:pPr>
            <w:r>
              <w:rPr>
                <w:rFonts w:hint="eastAsia"/>
                <w:b w:val="0"/>
                <w:sz w:val="24"/>
                <w:szCs w:val="24"/>
              </w:rPr>
              <w:t>由于本项目为搬迁项目，项目由乐昌市乐昌产业转移工业园金岭一路6号之一搬迁至乐昌市乐昌产业转移工业园环园东路19号，项目原环评批复《乐昌市广东启轮金属制品有限公司年产脚轮100万个新建项目》</w:t>
            </w:r>
            <w:r>
              <w:rPr>
                <w:rFonts w:hint="eastAsia"/>
                <w:b w:val="0"/>
                <w:sz w:val="24"/>
                <w:szCs w:val="24"/>
                <w:lang w:eastAsia="zh-CN"/>
              </w:rPr>
              <w:t>（</w:t>
            </w:r>
            <w:r>
              <w:rPr>
                <w:rFonts w:hint="eastAsia"/>
                <w:b w:val="0"/>
                <w:sz w:val="24"/>
                <w:szCs w:val="24"/>
              </w:rPr>
              <w:t>韶环乐审</w:t>
            </w:r>
            <w:r>
              <w:rPr>
                <w:rFonts w:hint="default" w:ascii="Times New Roman" w:hAnsi="Times New Roman" w:cs="Times New Roman"/>
                <w:color w:val="auto"/>
                <w:sz w:val="24"/>
                <w:szCs w:val="22"/>
                <w:highlight w:val="none"/>
              </w:rPr>
              <w:t>〔202</w:t>
            </w:r>
            <w:r>
              <w:rPr>
                <w:rFonts w:hint="eastAsia" w:ascii="Times New Roman" w:hAnsi="Times New Roman" w:cs="Times New Roman"/>
                <w:color w:val="auto"/>
                <w:sz w:val="24"/>
                <w:szCs w:val="22"/>
                <w:highlight w:val="none"/>
                <w:lang w:val="en-US" w:eastAsia="zh-CN"/>
              </w:rPr>
              <w:t>1</w:t>
            </w:r>
            <w:r>
              <w:rPr>
                <w:rFonts w:hint="default" w:ascii="Times New Roman" w:hAnsi="Times New Roman" w:cs="Times New Roman"/>
                <w:color w:val="auto"/>
                <w:sz w:val="24"/>
                <w:szCs w:val="22"/>
                <w:highlight w:val="none"/>
              </w:rPr>
              <w:t>〕</w:t>
            </w:r>
            <w:r>
              <w:rPr>
                <w:rFonts w:hint="eastAsia"/>
                <w:b w:val="0"/>
                <w:sz w:val="24"/>
                <w:szCs w:val="24"/>
              </w:rPr>
              <w:t>22号</w:t>
            </w:r>
            <w:r>
              <w:rPr>
                <w:rFonts w:hint="eastAsia"/>
                <w:b w:val="0"/>
                <w:sz w:val="24"/>
                <w:szCs w:val="24"/>
                <w:lang w:eastAsia="zh-CN"/>
              </w:rPr>
              <w:t>）</w:t>
            </w:r>
            <w:r>
              <w:rPr>
                <w:rFonts w:hint="eastAsia"/>
                <w:b w:val="0"/>
                <w:sz w:val="24"/>
                <w:szCs w:val="24"/>
                <w:lang w:val="en-US" w:eastAsia="zh-CN"/>
              </w:rPr>
              <w:t>及《广东启轮金属制品有限公司年产脚轮100万个新建项目环境影响补充论证报告》</w:t>
            </w:r>
            <w:r>
              <w:rPr>
                <w:rFonts w:hint="eastAsia"/>
                <w:b w:val="0"/>
                <w:sz w:val="24"/>
                <w:szCs w:val="24"/>
              </w:rPr>
              <w:t>中已有</w:t>
            </w:r>
            <w:r>
              <w:rPr>
                <w:rFonts w:hint="eastAsia"/>
                <w:b w:val="0"/>
                <w:sz w:val="24"/>
                <w:szCs w:val="24"/>
                <w:lang w:val="en-US" w:eastAsia="zh-CN"/>
              </w:rPr>
              <w:t>1.226</w:t>
            </w:r>
            <w:r>
              <w:rPr>
                <w:rFonts w:hint="eastAsia"/>
                <w:b w:val="0"/>
                <w:sz w:val="24"/>
                <w:szCs w:val="24"/>
              </w:rPr>
              <w:t>t/aVOCs控制指标量</w:t>
            </w:r>
            <w:r>
              <w:rPr>
                <w:rFonts w:hint="eastAsia"/>
                <w:b w:val="0"/>
                <w:sz w:val="24"/>
                <w:szCs w:val="24"/>
                <w:lang w:eastAsia="zh-CN"/>
              </w:rPr>
              <w:t>，</w:t>
            </w:r>
            <w:r>
              <w:rPr>
                <w:rFonts w:hint="eastAsia"/>
                <w:b w:val="0"/>
                <w:sz w:val="24"/>
                <w:szCs w:val="24"/>
                <w:lang w:val="en-US" w:eastAsia="zh-CN"/>
              </w:rPr>
              <w:t>用于替代本次VOCs的量。</w:t>
            </w:r>
          </w:p>
          <w:p w14:paraId="6A69C3ED">
            <w:pPr>
              <w:pStyle w:val="301"/>
              <w:rPr>
                <w:rFonts w:hint="eastAsia" w:cs="Times New Roman"/>
                <w:color w:val="000000" w:themeColor="text1"/>
                <w14:textFill>
                  <w14:solidFill>
                    <w14:schemeClr w14:val="tx1"/>
                  </w14:solidFill>
                </w14:textFill>
              </w:rPr>
            </w:pPr>
          </w:p>
          <w:p w14:paraId="209BAF3C">
            <w:pPr>
              <w:pStyle w:val="30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1"/>
                <w:szCs w:val="21"/>
              </w:rPr>
            </w:pPr>
            <w:r>
              <w:rPr>
                <w:rFonts w:hint="eastAsia"/>
                <w:b/>
                <w:bCs/>
                <w:sz w:val="21"/>
                <w:szCs w:val="21"/>
              </w:rPr>
              <w:t>表3</w:t>
            </w:r>
            <w:r>
              <w:rPr>
                <w:b/>
                <w:bCs/>
                <w:sz w:val="21"/>
                <w:szCs w:val="21"/>
              </w:rPr>
              <w:t>-</w:t>
            </w:r>
            <w:r>
              <w:rPr>
                <w:rFonts w:hint="eastAsia"/>
                <w:b/>
                <w:bCs/>
                <w:sz w:val="21"/>
                <w:szCs w:val="21"/>
                <w:lang w:val="en-US" w:eastAsia="zh-CN"/>
              </w:rPr>
              <w:t>8</w:t>
            </w:r>
            <w:r>
              <w:rPr>
                <w:b/>
                <w:bCs/>
                <w:sz w:val="21"/>
                <w:szCs w:val="21"/>
              </w:rPr>
              <w:t xml:space="preserve"> 大气污染物排放总量控制指标</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2"/>
              <w:gridCol w:w="1593"/>
              <w:gridCol w:w="1593"/>
              <w:gridCol w:w="1593"/>
              <w:gridCol w:w="1593"/>
            </w:tblGrid>
            <w:tr w14:paraId="6EFA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0" w:type="dxa"/>
                  <w:noWrap w:val="0"/>
                  <w:vAlign w:val="center"/>
                </w:tcPr>
                <w:p w14:paraId="119489D4">
                  <w:pPr>
                    <w:pStyle w:val="71"/>
                    <w:rPr>
                      <w:rFonts w:hint="eastAsia"/>
                      <w:b w:val="0"/>
                    </w:rPr>
                  </w:pPr>
                  <w:r>
                    <w:rPr>
                      <w:rFonts w:hint="eastAsia"/>
                      <w:b w:val="0"/>
                    </w:rPr>
                    <w:t>总量控制内容</w:t>
                  </w:r>
                </w:p>
              </w:tc>
              <w:tc>
                <w:tcPr>
                  <w:tcW w:w="1991" w:type="dxa"/>
                  <w:noWrap w:val="0"/>
                  <w:vAlign w:val="center"/>
                </w:tcPr>
                <w:p w14:paraId="3924549F">
                  <w:pPr>
                    <w:pStyle w:val="71"/>
                    <w:rPr>
                      <w:rFonts w:hint="eastAsia"/>
                      <w:b w:val="0"/>
                    </w:rPr>
                  </w:pPr>
                  <w:r>
                    <w:rPr>
                      <w:rFonts w:hint="eastAsia"/>
                      <w:b w:val="0"/>
                    </w:rPr>
                    <w:t>污染物</w:t>
                  </w:r>
                </w:p>
              </w:tc>
              <w:tc>
                <w:tcPr>
                  <w:tcW w:w="1991" w:type="dxa"/>
                  <w:noWrap w:val="0"/>
                  <w:vAlign w:val="center"/>
                </w:tcPr>
                <w:p w14:paraId="12008348">
                  <w:pPr>
                    <w:pStyle w:val="71"/>
                    <w:rPr>
                      <w:rFonts w:hint="default" w:eastAsia="宋体"/>
                      <w:b w:val="0"/>
                      <w:lang w:val="en-US" w:eastAsia="zh-CN"/>
                    </w:rPr>
                  </w:pPr>
                  <w:r>
                    <w:rPr>
                      <w:rFonts w:hint="eastAsia"/>
                      <w:b w:val="0"/>
                      <w:lang w:val="en-US" w:eastAsia="zh-CN"/>
                    </w:rPr>
                    <w:t>已有批复量t/a</w:t>
                  </w:r>
                </w:p>
              </w:tc>
              <w:tc>
                <w:tcPr>
                  <w:tcW w:w="1991" w:type="dxa"/>
                  <w:noWrap w:val="0"/>
                  <w:vAlign w:val="center"/>
                </w:tcPr>
                <w:p w14:paraId="1EB348FB">
                  <w:pPr>
                    <w:pStyle w:val="71"/>
                    <w:jc w:val="center"/>
                    <w:rPr>
                      <w:rFonts w:hint="eastAsia"/>
                      <w:b w:val="0"/>
                    </w:rPr>
                  </w:pPr>
                  <w:r>
                    <w:rPr>
                      <w:rFonts w:hint="eastAsia"/>
                      <w:b w:val="0"/>
                      <w:lang w:val="en-US" w:eastAsia="zh-CN"/>
                    </w:rPr>
                    <w:t>本次总量控制申请量</w:t>
                  </w:r>
                  <w:r>
                    <w:rPr>
                      <w:rFonts w:hint="eastAsia"/>
                      <w:b w:val="0"/>
                    </w:rPr>
                    <w:t>t/a</w:t>
                  </w:r>
                </w:p>
              </w:tc>
              <w:tc>
                <w:tcPr>
                  <w:tcW w:w="1991" w:type="dxa"/>
                  <w:noWrap w:val="0"/>
                  <w:vAlign w:val="center"/>
                </w:tcPr>
                <w:p w14:paraId="7813129A">
                  <w:pPr>
                    <w:pStyle w:val="71"/>
                    <w:jc w:val="center"/>
                    <w:rPr>
                      <w:rFonts w:hint="eastAsia" w:eastAsia="宋体"/>
                      <w:b w:val="0"/>
                      <w:lang w:val="en-US" w:eastAsia="zh-CN"/>
                    </w:rPr>
                  </w:pPr>
                  <w:r>
                    <w:rPr>
                      <w:rFonts w:hint="eastAsia"/>
                      <w:b w:val="0"/>
                      <w:lang w:val="en-US" w:eastAsia="zh-CN"/>
                    </w:rPr>
                    <w:t>本次项目年排放量合计t/a</w:t>
                  </w:r>
                </w:p>
              </w:tc>
            </w:tr>
            <w:tr w14:paraId="002A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0" w:type="dxa"/>
                  <w:noWrap w:val="0"/>
                  <w:vAlign w:val="center"/>
                </w:tcPr>
                <w:p w14:paraId="2E1F235E">
                  <w:pPr>
                    <w:pStyle w:val="71"/>
                    <w:rPr>
                      <w:rFonts w:hint="eastAsia"/>
                      <w:b w:val="0"/>
                    </w:rPr>
                  </w:pPr>
                  <w:r>
                    <w:rPr>
                      <w:rFonts w:hint="eastAsia"/>
                      <w:b w:val="0"/>
                    </w:rPr>
                    <w:t>大气</w:t>
                  </w:r>
                </w:p>
              </w:tc>
              <w:tc>
                <w:tcPr>
                  <w:tcW w:w="1991" w:type="dxa"/>
                  <w:noWrap w:val="0"/>
                  <w:vAlign w:val="center"/>
                </w:tcPr>
                <w:p w14:paraId="3F4E2671">
                  <w:pPr>
                    <w:pStyle w:val="71"/>
                    <w:rPr>
                      <w:rFonts w:hint="eastAsia"/>
                      <w:b w:val="0"/>
                    </w:rPr>
                  </w:pPr>
                  <w:r>
                    <w:rPr>
                      <w:rFonts w:hint="eastAsia"/>
                      <w:b w:val="0"/>
                    </w:rPr>
                    <w:t>V</w:t>
                  </w:r>
                  <w:r>
                    <w:rPr>
                      <w:b w:val="0"/>
                    </w:rPr>
                    <w:t>OCs</w:t>
                  </w:r>
                </w:p>
              </w:tc>
              <w:tc>
                <w:tcPr>
                  <w:tcW w:w="1991" w:type="dxa"/>
                  <w:noWrap w:val="0"/>
                  <w:vAlign w:val="center"/>
                </w:tcPr>
                <w:p w14:paraId="4A7E2CDE">
                  <w:pPr>
                    <w:pStyle w:val="71"/>
                    <w:rPr>
                      <w:rFonts w:hint="default" w:eastAsia="宋体"/>
                      <w:b w:val="0"/>
                      <w:lang w:val="en-US" w:eastAsia="zh-CN"/>
                    </w:rPr>
                  </w:pPr>
                  <w:r>
                    <w:rPr>
                      <w:rFonts w:hint="eastAsia"/>
                      <w:b w:val="0"/>
                      <w:lang w:val="en-US" w:eastAsia="zh-CN"/>
                    </w:rPr>
                    <w:t>1.226</w:t>
                  </w:r>
                </w:p>
              </w:tc>
              <w:tc>
                <w:tcPr>
                  <w:tcW w:w="1991" w:type="dxa"/>
                  <w:noWrap w:val="0"/>
                  <w:vAlign w:val="center"/>
                </w:tcPr>
                <w:p w14:paraId="76591969">
                  <w:pPr>
                    <w:pStyle w:val="71"/>
                    <w:rPr>
                      <w:rFonts w:hint="default" w:eastAsia="宋体"/>
                      <w:b w:val="0"/>
                      <w:lang w:val="en-US" w:eastAsia="zh-CN"/>
                    </w:rPr>
                  </w:pPr>
                  <w:r>
                    <w:rPr>
                      <w:rFonts w:hint="eastAsia"/>
                      <w:b w:val="0"/>
                      <w:lang w:val="en-US" w:eastAsia="zh-CN"/>
                    </w:rPr>
                    <w:t>0</w:t>
                  </w:r>
                </w:p>
              </w:tc>
              <w:tc>
                <w:tcPr>
                  <w:tcW w:w="1991" w:type="dxa"/>
                  <w:noWrap w:val="0"/>
                  <w:vAlign w:val="center"/>
                </w:tcPr>
                <w:p w14:paraId="7562BED4">
                  <w:pPr>
                    <w:pStyle w:val="71"/>
                    <w:rPr>
                      <w:rFonts w:hint="default" w:eastAsia="宋体"/>
                      <w:b w:val="0"/>
                      <w:lang w:val="en-US" w:eastAsia="zh-CN"/>
                    </w:rPr>
                  </w:pPr>
                  <w:r>
                    <w:rPr>
                      <w:rFonts w:hint="eastAsia"/>
                      <w:b w:val="0"/>
                      <w:lang w:val="en-US" w:eastAsia="zh-CN"/>
                    </w:rPr>
                    <w:t>1.226</w:t>
                  </w:r>
                </w:p>
              </w:tc>
            </w:tr>
          </w:tbl>
          <w:p w14:paraId="2F27AB8A">
            <w:pPr>
              <w:pStyle w:val="301"/>
              <w:rPr>
                <w:color w:val="000000" w:themeColor="text1"/>
                <w:kern w:val="0"/>
                <w14:textFill>
                  <w14:solidFill>
                    <w14:schemeClr w14:val="tx1"/>
                  </w14:solidFill>
                </w14:textFill>
              </w:rPr>
            </w:pPr>
          </w:p>
          <w:p w14:paraId="2C307634">
            <w:pPr>
              <w:pStyle w:val="301"/>
              <w:rPr>
                <w:color w:val="000000" w:themeColor="text1"/>
                <w:kern w:val="0"/>
                <w14:textFill>
                  <w14:solidFill>
                    <w14:schemeClr w14:val="tx1"/>
                  </w14:solidFill>
                </w14:textFill>
              </w:rPr>
            </w:pPr>
          </w:p>
        </w:tc>
      </w:tr>
    </w:tbl>
    <w:p w14:paraId="68319496">
      <w:pPr>
        <w:pStyle w:val="39"/>
        <w:tabs>
          <w:tab w:val="left" w:pos="225"/>
          <w:tab w:val="left" w:pos="901"/>
          <w:tab w:val="center" w:pos="4535"/>
        </w:tabs>
        <w:spacing w:before="100" w:after="100"/>
        <w:jc w:val="center"/>
        <w:outlineLvl w:val="0"/>
        <w:rPr>
          <w:rFonts w:hint="default" w:ascii="Times New Roman" w:hAnsi="Times New Roman" w:eastAsia="黑体"/>
          <w:snapToGrid w:val="0"/>
          <w:sz w:val="32"/>
          <w:szCs w:val="32"/>
        </w:rPr>
        <w:sectPr>
          <w:pgSz w:w="12240" w:h="15840"/>
          <w:pgMar w:top="1440" w:right="1797" w:bottom="1440" w:left="1797" w:header="720" w:footer="720" w:gutter="0"/>
          <w:cols w:space="425" w:num="1"/>
          <w:docGrid w:type="linesAndChars" w:linePitch="312" w:charSpace="0"/>
        </w:sectPr>
      </w:pPr>
      <w:bookmarkStart w:id="15" w:name="_Toc137826738"/>
    </w:p>
    <w:p w14:paraId="196CBA01">
      <w:pPr>
        <w:pStyle w:val="39"/>
        <w:tabs>
          <w:tab w:val="left" w:pos="225"/>
          <w:tab w:val="left" w:pos="901"/>
          <w:tab w:val="center" w:pos="4535"/>
        </w:tabs>
        <w:spacing w:before="100" w:after="100"/>
        <w:jc w:val="center"/>
        <w:outlineLvl w:val="0"/>
        <w:rPr>
          <w:rFonts w:hint="default" w:ascii="Times New Roman" w:hAnsi="Times New Roman" w:eastAsia="黑体"/>
          <w:snapToGrid w:val="0"/>
          <w:sz w:val="32"/>
          <w:szCs w:val="32"/>
        </w:rPr>
      </w:pPr>
      <w:bookmarkStart w:id="16" w:name="_Toc9186"/>
      <w:r>
        <w:rPr>
          <w:rFonts w:ascii="Times New Roman" w:hAnsi="Times New Roman" w:eastAsia="黑体"/>
          <w:snapToGrid w:val="0"/>
          <w:sz w:val="32"/>
          <w:szCs w:val="32"/>
        </w:rPr>
        <w:t>四、主要环境影响和保护措施</w:t>
      </w:r>
      <w:bookmarkEnd w:id="16"/>
    </w:p>
    <w:tbl>
      <w:tblPr>
        <w:tblStyle w:val="4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7"/>
        <w:gridCol w:w="7899"/>
      </w:tblGrid>
      <w:tr w14:paraId="1052A1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tcMar>
              <w:left w:w="28" w:type="dxa"/>
              <w:right w:w="28" w:type="dxa"/>
            </w:tcMar>
            <w:vAlign w:val="center"/>
          </w:tcPr>
          <w:p w14:paraId="7B2871C1">
            <w:pPr>
              <w:pStyle w:val="39"/>
              <w:adjustRightInd w:val="0"/>
              <w:snapToGrid w:val="0"/>
              <w:spacing w:beforeAutospacing="0" w:afterAutospacing="0"/>
              <w:jc w:val="center"/>
              <w:rPr>
                <w:rFonts w:hint="default" w:cs="宋体"/>
                <w:bCs/>
                <w:color w:val="000000" w:themeColor="text1"/>
                <w:kern w:val="2"/>
                <w:szCs w:val="24"/>
                <w14:textFill>
                  <w14:solidFill>
                    <w14:schemeClr w14:val="tx1"/>
                  </w14:solidFill>
                </w14:textFill>
              </w:rPr>
            </w:pPr>
            <w:r>
              <w:rPr>
                <w:rFonts w:cs="宋体"/>
                <w:color w:val="000000" w:themeColor="text1"/>
                <w:kern w:val="2"/>
                <w:szCs w:val="24"/>
                <w14:textFill>
                  <w14:solidFill>
                    <w14:schemeClr w14:val="tx1"/>
                  </w14:solidFill>
                </w14:textFill>
              </w:rPr>
              <w:t>施工期环境保护措施</w:t>
            </w:r>
          </w:p>
        </w:tc>
        <w:tc>
          <w:tcPr>
            <w:tcW w:w="8290" w:type="dxa"/>
          </w:tcPr>
          <w:p w14:paraId="59EDF5A0">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已建有厂房</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广东省韶关乐昌市乐昌产业转移工业园环园东路19号（厂房）</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进行生产活动，施工期主要涉及生产设备的摆放与安装，无新建厂房，无土木工程建设，且施工期短，约 2 个月。对环境的影响很小。本报告仅简要分析施工期采取的环境保护措施：</w:t>
            </w:r>
          </w:p>
          <w:p w14:paraId="18F4D770">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（1）废水：主要为施工人员的生活污水，本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不为施工人员供应食宿，施工期间产生的生活污水依托所在建筑既有三级化粪池处理。</w:t>
            </w:r>
          </w:p>
          <w:p w14:paraId="03F9B523">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（2）废气：主要为运输车辆扬尘及尾气和装修过程中的废气，施工期拟采取措施 有：①禁止散装类建筑材料进场；②物料运输通道适当洒水抑尘。</w:t>
            </w:r>
          </w:p>
          <w:p w14:paraId="1DA6C434">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（3）固废：施工人员生活垃圾依托厂区内生活垃圾收集桶收集，委托环卫部门清运处理。</w:t>
            </w:r>
          </w:p>
          <w:p w14:paraId="59A0FE8F">
            <w:pPr>
              <w:spacing w:line="360" w:lineRule="auto"/>
              <w:ind w:firstLine="480" w:firstLineChars="200"/>
              <w:rPr>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（4）噪声：合理安排时间，严禁夜间进行设备安装，设备安装过程采取基础减振、隔声等降噪措施。</w:t>
            </w:r>
          </w:p>
        </w:tc>
      </w:tr>
      <w:tr w14:paraId="6A292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 w:type="dxa"/>
            <w:tcMar>
              <w:left w:w="28" w:type="dxa"/>
              <w:right w:w="28" w:type="dxa"/>
            </w:tcMar>
            <w:vAlign w:val="center"/>
          </w:tcPr>
          <w:p w14:paraId="4CFBEEB0">
            <w:pPr>
              <w:adjustRightInd w:val="0"/>
              <w:snapToGrid w:val="0"/>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运营</w:t>
            </w:r>
          </w:p>
          <w:p w14:paraId="7800BA43">
            <w:pPr>
              <w:adjustRightInd w:val="0"/>
              <w:snapToGrid w:val="0"/>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期环</w:t>
            </w:r>
          </w:p>
          <w:p w14:paraId="4EF6A4DC">
            <w:pPr>
              <w:adjustRightInd w:val="0"/>
              <w:snapToGrid w:val="0"/>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境影</w:t>
            </w:r>
          </w:p>
          <w:p w14:paraId="671F63F6">
            <w:pPr>
              <w:adjustRightInd w:val="0"/>
              <w:snapToGrid w:val="0"/>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响和</w:t>
            </w:r>
          </w:p>
          <w:p w14:paraId="3A4ABE9E">
            <w:pPr>
              <w:adjustRightInd w:val="0"/>
              <w:snapToGrid w:val="0"/>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保护</w:t>
            </w:r>
          </w:p>
          <w:p w14:paraId="607F7C9A">
            <w:pPr>
              <w:adjustRightInd w:val="0"/>
              <w:snapToGrid w:val="0"/>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措施</w:t>
            </w:r>
          </w:p>
        </w:tc>
        <w:tc>
          <w:tcPr>
            <w:tcW w:w="8290" w:type="dxa"/>
          </w:tcPr>
          <w:p w14:paraId="5EC44976">
            <w:pPr>
              <w:adjustRightInd w:val="0"/>
              <w:snapToGrid w:val="0"/>
              <w:spacing w:line="360" w:lineRule="auto"/>
              <w:rPr>
                <w:rFonts w:ascii="Times New Roman" w:hAnsi="Times New Roman" w:eastAsia="宋体" w:cs="Times New Roman"/>
                <w:color w:val="000000" w:themeColor="text1"/>
                <w:spacing w:val="-10"/>
                <w:sz w:val="24"/>
                <w:szCs w:val="21"/>
                <w14:textFill>
                  <w14:solidFill>
                    <w14:schemeClr w14:val="tx1"/>
                  </w14:solidFill>
                </w14:textFill>
              </w:rPr>
            </w:pPr>
            <w:r>
              <w:rPr>
                <w:rFonts w:ascii="Times New Roman" w:hAnsi="Times New Roman" w:eastAsia="宋体" w:cs="Times New Roman"/>
                <w:color w:val="000000" w:themeColor="text1"/>
                <w:spacing w:val="-10"/>
                <w:sz w:val="24"/>
                <w:szCs w:val="21"/>
                <w14:textFill>
                  <w14:solidFill>
                    <w14:schemeClr w14:val="tx1"/>
                  </w14:solidFill>
                </w14:textFill>
              </w:rPr>
              <w:t>本报告根据第二次全国污染源普查核算的《排放源统计调查产排污核算方法和系数手册——33金属行业系数手册》，采用物料衡算法、产物系数法及部分工序工艺一致的采用类比法对各工序污染物产排情况进行分析。</w:t>
            </w:r>
          </w:p>
          <w:p w14:paraId="15DC0B8C">
            <w:pPr>
              <w:adjustRightInd w:val="0"/>
              <w:snapToGrid w:val="0"/>
              <w:spacing w:line="360" w:lineRule="auto"/>
              <w:rPr>
                <w:rFonts w:ascii="宋体" w:hAnsi="宋体" w:eastAsia="宋体" w:cs="宋体"/>
                <w:b/>
                <w:color w:val="000000" w:themeColor="text1"/>
                <w:spacing w:val="-10"/>
                <w:sz w:val="24"/>
                <w:szCs w:val="21"/>
                <w14:textFill>
                  <w14:solidFill>
                    <w14:schemeClr w14:val="tx1"/>
                  </w14:solidFill>
                </w14:textFill>
              </w:rPr>
            </w:pPr>
            <w:r>
              <w:rPr>
                <w:rFonts w:hint="eastAsia" w:ascii="宋体" w:hAnsi="宋体" w:eastAsia="宋体" w:cs="宋体"/>
                <w:b/>
                <w:color w:val="000000" w:themeColor="text1"/>
                <w:spacing w:val="-10"/>
                <w:sz w:val="24"/>
                <w:szCs w:val="21"/>
                <w14:textFill>
                  <w14:solidFill>
                    <w14:schemeClr w14:val="tx1"/>
                  </w14:solidFill>
                </w14:textFill>
              </w:rPr>
              <w:t>一、废气</w:t>
            </w:r>
          </w:p>
          <w:p w14:paraId="78EF6494">
            <w:pPr>
              <w:spacing w:line="360" w:lineRule="auto"/>
              <w:ind w:firstLine="480" w:firstLineChars="200"/>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w:t>
            </w:r>
            <w:r>
              <w:rPr>
                <w:rFonts w:hint="eastAsia" w:ascii="Times New Roman" w:hAnsi="Times New Roman" w:eastAsia="宋体" w:cs="Times New Roman"/>
                <w:b/>
                <w:bCs/>
                <w:color w:val="000000" w:themeColor="text1"/>
                <w:sz w:val="24"/>
                <w14:textFill>
                  <w14:solidFill>
                    <w14:schemeClr w14:val="tx1"/>
                  </w14:solidFill>
                </w14:textFill>
              </w:rPr>
              <w:t>、废气产排情况</w:t>
            </w:r>
          </w:p>
          <w:p w14:paraId="61C80552">
            <w:pPr>
              <w:spacing w:line="360" w:lineRule="auto"/>
              <w:ind w:firstLine="480" w:firstLineChars="200"/>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（1）制孔废气</w:t>
            </w:r>
          </w:p>
          <w:p w14:paraId="082F37C7">
            <w:pPr>
              <w:tabs>
                <w:tab w:val="left" w:pos="6260"/>
              </w:tabs>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制孔（如车、铣、钻、打磨）过程会产生少量的金属粉尘，根据第二次全国污染源普查核算的《排放源统计调查产排污核算方法和系数手册——33金属行业系数手册》，制孔工序颗粒物产生系数为2.19kg/t-原料，项目使用金属五金件1000t/a，则制孔工序粉尘的产生量为2.19t/a。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在车床上方设立集气罩收集后通过1套布袋除尘器处理后通过排气筒D</w:t>
            </w:r>
            <w:r>
              <w:rPr>
                <w:rFonts w:ascii="Times New Roman" w:hAnsi="Times New Roman" w:eastAsia="宋体" w:cs="Times New Roman"/>
                <w:bCs/>
                <w:color w:val="000000" w:themeColor="text1"/>
                <w:sz w:val="24"/>
                <w14:textFill>
                  <w14:solidFill>
                    <w14:schemeClr w14:val="tx1"/>
                  </w14:solidFill>
                </w14:textFill>
              </w:rPr>
              <w:t>A00</w:t>
            </w:r>
            <w:r>
              <w:rPr>
                <w:rFonts w:hint="eastAsia" w:ascii="Times New Roman" w:hAnsi="Times New Roman" w:eastAsia="宋体" w:cs="Times New Roman"/>
                <w:bCs/>
                <w:color w:val="000000" w:themeColor="text1"/>
                <w:sz w:val="24"/>
                <w:lang w:val="en-US" w:eastAsia="zh-CN"/>
                <w14:textFill>
                  <w14:solidFill>
                    <w14:schemeClr w14:val="tx1"/>
                  </w14:solidFill>
                </w14:textFill>
              </w:rPr>
              <w:t>4</w:t>
            </w:r>
            <w:r>
              <w:rPr>
                <w:rFonts w:ascii="Times New Roman" w:hAnsi="Times New Roman" w:eastAsia="宋体" w:cs="Times New Roman"/>
                <w:bCs/>
                <w:color w:val="000000" w:themeColor="text1"/>
                <w:sz w:val="24"/>
                <w14:textFill>
                  <w14:solidFill>
                    <w14:schemeClr w14:val="tx1"/>
                  </w14:solidFill>
                </w14:textFill>
              </w:rPr>
              <w:t>排放。</w:t>
            </w:r>
            <w:r>
              <w:rPr>
                <w:rFonts w:hint="eastAsia" w:ascii="Times New Roman" w:hAnsi="Times New Roman" w:eastAsia="宋体" w:cs="Times New Roman"/>
                <w:bCs/>
                <w:color w:val="000000" w:themeColor="text1"/>
                <w:sz w:val="24"/>
                <w14:textFill>
                  <w14:solidFill>
                    <w14:schemeClr w14:val="tx1"/>
                  </w14:solidFill>
                </w14:textFill>
              </w:rPr>
              <w:t>该工序除尘效率按9</w:t>
            </w:r>
            <w:r>
              <w:rPr>
                <w:rFonts w:ascii="Times New Roman" w:hAnsi="Times New Roman" w:eastAsia="宋体" w:cs="Times New Roman"/>
                <w:bCs/>
                <w:color w:val="000000" w:themeColor="text1"/>
                <w:sz w:val="24"/>
                <w14:textFill>
                  <w14:solidFill>
                    <w14:schemeClr w14:val="tx1"/>
                  </w14:solidFill>
                </w14:textFill>
              </w:rPr>
              <w:t>5%计。</w:t>
            </w:r>
          </w:p>
          <w:p w14:paraId="3AB8FC99">
            <w:pPr>
              <w:tabs>
                <w:tab w:val="left" w:pos="6260"/>
              </w:tabs>
              <w:spacing w:line="360" w:lineRule="auto"/>
              <w:ind w:firstLine="480"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w:t>
            </w:r>
            <w:r>
              <w:rPr>
                <w:rFonts w:ascii="Times New Roman" w:hAnsi="Times New Roman" w:eastAsia="宋体" w:cs="Times New Roman"/>
                <w:b/>
                <w:color w:val="000000" w:themeColor="text1"/>
                <w:sz w:val="24"/>
                <w14:textFill>
                  <w14:solidFill>
                    <w14:schemeClr w14:val="tx1"/>
                  </w14:solidFill>
                </w14:textFill>
              </w:rPr>
              <w:t>2</w:t>
            </w:r>
            <w:r>
              <w:rPr>
                <w:rFonts w:hint="eastAsia" w:ascii="Times New Roman" w:hAnsi="Times New Roman" w:eastAsia="宋体" w:cs="Times New Roman"/>
                <w:b/>
                <w:color w:val="000000" w:themeColor="text1"/>
                <w:sz w:val="24"/>
                <w14:textFill>
                  <w14:solidFill>
                    <w14:schemeClr w14:val="tx1"/>
                  </w14:solidFill>
                </w14:textFill>
              </w:rPr>
              <w:t>）抛丸废气</w:t>
            </w:r>
            <w:r>
              <w:rPr>
                <w:rFonts w:ascii="Times New Roman" w:hAnsi="Times New Roman" w:eastAsia="宋体" w:cs="Times New Roman"/>
                <w:b/>
                <w:color w:val="000000" w:themeColor="text1"/>
                <w:sz w:val="24"/>
                <w14:textFill>
                  <w14:solidFill>
                    <w14:schemeClr w14:val="tx1"/>
                  </w14:solidFill>
                </w14:textFill>
              </w:rPr>
              <w:tab/>
            </w:r>
          </w:p>
          <w:p w14:paraId="5A41B08B">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金属五金件需进行抛丸处理表面粘砂、氧化皮。抛丸过程会产生金属粉尘，根据第二次全国污染源普查核算的《排放源统计调查产排污核算方法和系数手册——33金属行业系数手册》，抛丸工序颗粒物产生系数为2.19kg/t-原料，</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使用金属五金件1000t/a，则抛丸工序粉尘的产生量为2.19t/a。抛丸设备自带履带式抛丸清理机，粉尘经由风机吸送到清理机内部的袋式除尘器中过滤后通过15m高排气筒（DA00</w:t>
            </w:r>
            <w:r>
              <w:rPr>
                <w:rFonts w:ascii="Times New Roman" w:hAnsi="Times New Roman" w:eastAsia="宋体" w:cs="Times New Roman"/>
                <w:bCs/>
                <w:color w:val="000000" w:themeColor="text1"/>
                <w:sz w:val="24"/>
                <w14:textFill>
                  <w14:solidFill>
                    <w14:schemeClr w14:val="tx1"/>
                  </w14:solidFill>
                </w14:textFill>
              </w:rPr>
              <w:t>4</w:t>
            </w:r>
            <w:r>
              <w:rPr>
                <w:rFonts w:hint="eastAsia" w:ascii="Times New Roman" w:hAnsi="Times New Roman" w:eastAsia="宋体" w:cs="Times New Roman"/>
                <w:bCs/>
                <w:color w:val="000000" w:themeColor="text1"/>
                <w:sz w:val="24"/>
                <w14:textFill>
                  <w14:solidFill>
                    <w14:schemeClr w14:val="tx1"/>
                  </w14:solidFill>
                </w14:textFill>
              </w:rPr>
              <w:t>）排放。该工序除尘效率按95%计。</w:t>
            </w:r>
          </w:p>
          <w:p w14:paraId="6687DBB2">
            <w:pPr>
              <w:spacing w:line="360" w:lineRule="auto"/>
              <w:ind w:firstLine="480" w:firstLineChars="200"/>
              <w:jc w:val="left"/>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w:t>
            </w:r>
            <w:r>
              <w:rPr>
                <w:rFonts w:ascii="Times New Roman" w:hAnsi="Times New Roman" w:eastAsia="宋体" w:cs="Times New Roman"/>
                <w:b/>
                <w:bCs/>
                <w:color w:val="000000" w:themeColor="text1"/>
                <w:sz w:val="24"/>
                <w14:textFill>
                  <w14:solidFill>
                    <w14:schemeClr w14:val="tx1"/>
                  </w14:solidFill>
                </w14:textFill>
              </w:rPr>
              <w:t>3</w:t>
            </w:r>
            <w:r>
              <w:rPr>
                <w:rFonts w:hint="eastAsia" w:ascii="Times New Roman" w:hAnsi="Times New Roman" w:eastAsia="宋体" w:cs="Times New Roman"/>
                <w:b/>
                <w:bCs/>
                <w:color w:val="000000" w:themeColor="text1"/>
                <w:sz w:val="24"/>
                <w14:textFill>
                  <w14:solidFill>
                    <w14:schemeClr w14:val="tx1"/>
                  </w14:solidFill>
                </w14:textFill>
              </w:rPr>
              <w:t>）有机废气</w:t>
            </w:r>
          </w:p>
          <w:p w14:paraId="7232AF5E">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①刷胶废气</w:t>
            </w:r>
          </w:p>
          <w:p w14:paraId="1D7EA130">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采用刷胶机对金属表面进行刷胶，为增加浇注型聚氨酯的对金属的附着力，首先用异丙醇对对金属表面进行清洗，将异丙醇与水以一定的比例混合，本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异丙醇清洗剂的工艺配比为异丙醇∶水=</w:t>
            </w:r>
            <w:r>
              <w:rPr>
                <w:rFonts w:ascii="Times New Roman" w:hAnsi="Times New Roman" w:eastAsia="宋体" w:cs="Times New Roman"/>
                <w:bCs/>
                <w:color w:val="000000" w:themeColor="text1"/>
                <w:sz w:val="24"/>
                <w14:textFill>
                  <w14:solidFill>
                    <w14:schemeClr w14:val="tx1"/>
                  </w14:solidFill>
                </w14:textFill>
              </w:rPr>
              <w:t>7</w:t>
            </w:r>
            <w:r>
              <w:rPr>
                <w:rFonts w:hint="eastAsia" w:ascii="宋体" w:hAnsi="宋体" w:eastAsia="宋体" w:cs="宋体"/>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3</w:t>
            </w:r>
            <w:r>
              <w:rPr>
                <w:rFonts w:hint="eastAsia" w:ascii="宋体" w:hAnsi="宋体" w:eastAsia="宋体" w:cs="宋体"/>
                <w:bCs/>
                <w:color w:val="000000" w:themeColor="text1"/>
                <w:sz w:val="24"/>
                <w14:textFill>
                  <w14:solidFill>
                    <w14:schemeClr w14:val="tx1"/>
                  </w14:solidFill>
                </w14:textFill>
              </w:rPr>
              <w:t>，将金属表面清洗干净后，</w:t>
            </w:r>
            <w:r>
              <w:rPr>
                <w:rFonts w:hint="eastAsia" w:ascii="Times New Roman" w:hAnsi="Times New Roman" w:eastAsia="宋体" w:cs="Times New Roman"/>
                <w:bCs/>
                <w:color w:val="000000" w:themeColor="text1"/>
                <w:sz w:val="24"/>
                <w14:textFill>
                  <w14:solidFill>
                    <w14:schemeClr w14:val="tx1"/>
                  </w14:solidFill>
                </w14:textFill>
              </w:rPr>
              <w:t>将硅酮胶和异丙醇按照3:1的比例混合后涂刷在金属表面。</w:t>
            </w:r>
            <w:r>
              <w:rPr>
                <w:rFonts w:hint="eastAsia" w:ascii="Times New Roman" w:hAnsi="Times New Roman" w:eastAsia="宋体" w:cs="Times New Roman"/>
                <w:bCs/>
                <w:color w:val="000000" w:themeColor="text1"/>
                <w:sz w:val="24"/>
                <w:lang w:val="en-US" w:eastAsia="zh-CN"/>
                <w14:textFill>
                  <w14:solidFill>
                    <w14:schemeClr w14:val="tx1"/>
                  </w14:solidFill>
                </w14:textFill>
              </w:rPr>
              <w:t>异丙醇与硅酮胶混合的量为0.53t/a，异丙醇清洗剂配比中的异丙醇用量为0.236t/a，水用量为0.101t/a。</w:t>
            </w:r>
            <w:r>
              <w:rPr>
                <w:rFonts w:hint="eastAsia" w:ascii="Times New Roman" w:hAnsi="Times New Roman" w:eastAsia="宋体" w:cs="Times New Roman"/>
                <w:bCs/>
                <w:color w:val="000000" w:themeColor="text1"/>
                <w:sz w:val="24"/>
                <w14:textFill>
                  <w14:solidFill>
                    <w14:schemeClr w14:val="tx1"/>
                  </w14:solidFill>
                </w14:textFill>
              </w:rPr>
              <w:t>上述异丙酮和硅酮胶在使用过程会产生挥发性有机物，污染物以非甲烷总烃为表征。根据企业提供的硅酮胶挥发性有机物监测报告（详见附件9），硅酮胶挥发性有机物含量为42g/kg，异丙醇按其有机组分10</w:t>
            </w:r>
            <w:r>
              <w:rPr>
                <w:rFonts w:ascii="Times New Roman" w:hAnsi="Times New Roman" w:eastAsia="宋体" w:cs="Times New Roman"/>
                <w:bCs/>
                <w:color w:val="000000" w:themeColor="text1"/>
                <w:sz w:val="24"/>
                <w14:textFill>
                  <w14:solidFill>
                    <w14:schemeClr w14:val="tx1"/>
                  </w14:solidFill>
                </w14:textFill>
              </w:rPr>
              <w:t>0%挥发计算</w:t>
            </w:r>
            <w:r>
              <w:rPr>
                <w:rFonts w:hint="eastAsia" w:ascii="Times New Roman" w:hAnsi="Times New Roman" w:eastAsia="宋体" w:cs="Times New Roman"/>
                <w:bCs/>
                <w:color w:val="000000" w:themeColor="text1"/>
                <w:sz w:val="24"/>
                <w:lang w:eastAsia="zh-CN"/>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根据建设单位提供资料，</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刷胶工序硅酮胶年用量胶水用量为1.6t/a，异丙醇年用量为0</w:t>
            </w:r>
            <w:r>
              <w:rPr>
                <w:rFonts w:ascii="Times New Roman" w:hAnsi="Times New Roman" w:eastAsia="宋体" w:cs="Times New Roman"/>
                <w:bCs/>
                <w:color w:val="000000" w:themeColor="text1"/>
                <w:sz w:val="24"/>
                <w14:textFill>
                  <w14:solidFill>
                    <w14:schemeClr w14:val="tx1"/>
                  </w14:solidFill>
                </w14:textFill>
              </w:rPr>
              <w:t>.53t/a，</w:t>
            </w:r>
            <w:r>
              <w:rPr>
                <w:rFonts w:hint="eastAsia" w:ascii="Times New Roman" w:hAnsi="Times New Roman" w:eastAsia="宋体" w:cs="Times New Roman"/>
                <w:bCs/>
                <w:color w:val="000000" w:themeColor="text1"/>
                <w:sz w:val="24"/>
                <w14:textFill>
                  <w14:solidFill>
                    <w14:schemeClr w14:val="tx1"/>
                  </w14:solidFill>
                </w14:textFill>
              </w:rPr>
              <w:t>则硅酮胶挥发性有机废气产生量（以非甲烷总烃计）为</w:t>
            </w:r>
            <w:r>
              <w:rPr>
                <w:rFonts w:ascii="Times New Roman" w:hAnsi="Times New Roman" w:eastAsia="宋体" w:cs="Times New Roman"/>
                <w:bCs/>
                <w:color w:val="000000" w:themeColor="text1"/>
                <w:sz w:val="24"/>
                <w14:textFill>
                  <w14:solidFill>
                    <w14:schemeClr w14:val="tx1"/>
                  </w14:solidFill>
                </w14:textFill>
              </w:rPr>
              <w:t>0.067</w:t>
            </w:r>
            <w:r>
              <w:rPr>
                <w:rFonts w:hint="eastAsia" w:ascii="Times New Roman" w:hAnsi="Times New Roman" w:eastAsia="宋体" w:cs="Times New Roman"/>
                <w:bCs/>
                <w:color w:val="000000" w:themeColor="text1"/>
                <w:sz w:val="24"/>
                <w14:textFill>
                  <w14:solidFill>
                    <w14:schemeClr w14:val="tx1"/>
                  </w14:solidFill>
                </w14:textFill>
              </w:rPr>
              <w:t>t/a，异丙醇挥发性有机废气产生量</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以</w:t>
            </w:r>
            <w:r>
              <w:rPr>
                <w:rFonts w:ascii="Times New Roman" w:hAnsi="Times New Roman" w:eastAsia="宋体" w:cs="Times New Roman"/>
                <w:bCs/>
                <w:color w:val="000000" w:themeColor="text1"/>
                <w:sz w:val="24"/>
                <w14:textFill>
                  <w14:solidFill>
                    <w14:schemeClr w14:val="tx1"/>
                  </w14:solidFill>
                </w14:textFill>
              </w:rPr>
              <w:t>非甲烷总烃</w:t>
            </w:r>
            <w:r>
              <w:rPr>
                <w:rFonts w:hint="eastAsia" w:ascii="Times New Roman" w:hAnsi="Times New Roman" w:eastAsia="宋体" w:cs="Times New Roman"/>
                <w:bCs/>
                <w:color w:val="000000" w:themeColor="text1"/>
                <w:sz w:val="24"/>
                <w14:textFill>
                  <w14:solidFill>
                    <w14:schemeClr w14:val="tx1"/>
                  </w14:solidFill>
                </w14:textFill>
              </w:rPr>
              <w:t>计</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为0.53</w:t>
            </w:r>
            <w:r>
              <w:rPr>
                <w:rFonts w:ascii="Times New Roman" w:hAnsi="Times New Roman" w:eastAsia="宋体" w:cs="Times New Roman"/>
                <w:bCs/>
                <w:color w:val="000000" w:themeColor="text1"/>
                <w:sz w:val="24"/>
                <w14:textFill>
                  <w14:solidFill>
                    <w14:schemeClr w14:val="tx1"/>
                  </w14:solidFill>
                </w14:textFill>
              </w:rPr>
              <w:t>t/a</w:t>
            </w: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金属量为1000吨，根据建设单位提供资料，需要清洗的金属量为1</w:t>
            </w:r>
            <w:r>
              <w:rPr>
                <w:rFonts w:hint="eastAsia" w:ascii="Times New Roman" w:hAnsi="Times New Roman" w:eastAsia="宋体" w:cs="Times New Roman"/>
                <w:bCs/>
                <w:color w:val="000000" w:themeColor="text1"/>
                <w:sz w:val="24"/>
                <w:lang w:val="en-US" w:eastAsia="zh-CN"/>
                <w14:textFill>
                  <w14:solidFill>
                    <w14:schemeClr w14:val="tx1"/>
                  </w14:solidFill>
                </w14:textFill>
              </w:rPr>
              <w:t>0</w:t>
            </w:r>
            <w:r>
              <w:rPr>
                <w:rFonts w:hint="eastAsia" w:ascii="Times New Roman" w:hAnsi="Times New Roman" w:eastAsia="宋体" w:cs="Times New Roman"/>
                <w:bCs/>
                <w:color w:val="000000" w:themeColor="text1"/>
                <w:sz w:val="24"/>
                <w14:textFill>
                  <w14:solidFill>
                    <w14:schemeClr w14:val="tx1"/>
                  </w14:solidFill>
                </w14:textFill>
              </w:rPr>
              <w:t>0吨，根据以往异丙醇使用量经验，每清洗1吨的金属需要用到</w:t>
            </w:r>
            <w:r>
              <w:rPr>
                <w:rFonts w:hint="eastAsia" w:ascii="Times New Roman" w:hAnsi="Times New Roman" w:eastAsia="宋体" w:cs="Times New Roman"/>
                <w:bCs/>
                <w:color w:val="000000" w:themeColor="text1"/>
                <w:sz w:val="24"/>
                <w:lang w:val="en-US" w:eastAsia="zh-CN"/>
                <w14:textFill>
                  <w14:solidFill>
                    <w14:schemeClr w14:val="tx1"/>
                  </w14:solidFill>
                </w14:textFill>
              </w:rPr>
              <w:t>3</w:t>
            </w:r>
            <w:r>
              <w:rPr>
                <w:rFonts w:hint="eastAsia" w:ascii="Times New Roman" w:hAnsi="Times New Roman" w:eastAsia="宋体" w:cs="Times New Roman"/>
                <w:bCs/>
                <w:color w:val="000000" w:themeColor="text1"/>
                <w:sz w:val="24"/>
                <w14:textFill>
                  <w14:solidFill>
                    <w14:schemeClr w14:val="tx1"/>
                  </w14:solidFill>
                </w14:textFill>
              </w:rPr>
              <w:t>L异丙酮，异丙醇作为清洗剂用量为0.</w:t>
            </w:r>
            <w:r>
              <w:rPr>
                <w:rFonts w:hint="eastAsia" w:ascii="Times New Roman" w:hAnsi="Times New Roman" w:eastAsia="宋体" w:cs="Times New Roman"/>
                <w:bCs/>
                <w:color w:val="000000" w:themeColor="text1"/>
                <w:sz w:val="24"/>
                <w:lang w:val="en-US" w:eastAsia="zh-CN"/>
                <w14:textFill>
                  <w14:solidFill>
                    <w14:schemeClr w14:val="tx1"/>
                  </w14:solidFill>
                </w14:textFill>
              </w:rPr>
              <w:t>236</w:t>
            </w:r>
            <w:r>
              <w:rPr>
                <w:rFonts w:hint="eastAsia" w:ascii="Times New Roman" w:hAnsi="Times New Roman" w:eastAsia="宋体" w:cs="Times New Roman"/>
                <w:bCs/>
                <w:color w:val="000000" w:themeColor="text1"/>
                <w:sz w:val="24"/>
                <w14:textFill>
                  <w14:solidFill>
                    <w14:schemeClr w14:val="tx1"/>
                  </w14:solidFill>
                </w14:textFill>
              </w:rPr>
              <w:t>t/a（约</w:t>
            </w:r>
            <w:r>
              <w:rPr>
                <w:rFonts w:hint="eastAsia" w:ascii="Times New Roman" w:hAnsi="Times New Roman" w:eastAsia="宋体" w:cs="Times New Roman"/>
                <w:bCs/>
                <w:color w:val="000000" w:themeColor="text1"/>
                <w:sz w:val="24"/>
                <w:lang w:val="en-US" w:eastAsia="zh-CN"/>
                <w14:textFill>
                  <w14:solidFill>
                    <w14:schemeClr w14:val="tx1"/>
                  </w14:solidFill>
                </w14:textFill>
              </w:rPr>
              <w:t>300</w:t>
            </w:r>
            <w:r>
              <w:rPr>
                <w:rFonts w:hint="eastAsia" w:ascii="Times New Roman" w:hAnsi="Times New Roman" w:eastAsia="宋体" w:cs="Times New Roman"/>
                <w:bCs/>
                <w:color w:val="000000" w:themeColor="text1"/>
                <w:sz w:val="24"/>
                <w14:textFill>
                  <w14:solidFill>
                    <w14:schemeClr w14:val="tx1"/>
                  </w14:solidFill>
                </w14:textFill>
              </w:rPr>
              <w:t>L/a），则挥发性有机废气产生量（以非甲烷总烃计）为</w:t>
            </w:r>
            <w:r>
              <w:rPr>
                <w:rFonts w:ascii="Times New Roman" w:hAnsi="Times New Roman" w:eastAsia="宋体" w:cs="Times New Roman"/>
                <w:bCs/>
                <w:color w:val="000000" w:themeColor="text1"/>
                <w:sz w:val="24"/>
                <w14:textFill>
                  <w14:solidFill>
                    <w14:schemeClr w14:val="tx1"/>
                  </w14:solidFill>
                </w14:textFill>
              </w:rPr>
              <w:t>0.</w:t>
            </w:r>
            <w:r>
              <w:rPr>
                <w:rFonts w:hint="eastAsia" w:ascii="Times New Roman" w:hAnsi="Times New Roman" w:eastAsia="宋体" w:cs="Times New Roman"/>
                <w:bCs/>
                <w:color w:val="000000" w:themeColor="text1"/>
                <w:sz w:val="24"/>
                <w:lang w:val="en-US" w:eastAsia="zh-CN"/>
                <w14:textFill>
                  <w14:solidFill>
                    <w14:schemeClr w14:val="tx1"/>
                  </w14:solidFill>
                </w14:textFill>
              </w:rPr>
              <w:t>236</w:t>
            </w:r>
            <w:r>
              <w:rPr>
                <w:rFonts w:hint="eastAsia" w:ascii="Times New Roman" w:hAnsi="Times New Roman" w:eastAsia="宋体" w:cs="Times New Roman"/>
                <w:bCs/>
                <w:color w:val="000000" w:themeColor="text1"/>
                <w:sz w:val="24"/>
                <w14:textFill>
                  <w14:solidFill>
                    <w14:schemeClr w14:val="tx1"/>
                  </w14:solidFill>
                </w14:textFill>
              </w:rPr>
              <w:t>t/a，将白电油涂抹于模具金属表面，便于浇注完成后模具脱模，根据建设单位提供材料，白电油年使用量为1</w:t>
            </w:r>
            <w:r>
              <w:rPr>
                <w:rFonts w:ascii="Times New Roman" w:hAnsi="Times New Roman" w:eastAsia="宋体" w:cs="Times New Roman"/>
                <w:bCs/>
                <w:color w:val="000000" w:themeColor="text1"/>
                <w:sz w:val="24"/>
                <w14:textFill>
                  <w14:solidFill>
                    <w14:schemeClr w14:val="tx1"/>
                  </w14:solidFill>
                </w14:textFill>
              </w:rPr>
              <w:t>.5t，涂刷过程以最大挥发量计算（</w:t>
            </w:r>
            <w:r>
              <w:rPr>
                <w:rFonts w:hint="eastAsia" w:ascii="Times New Roman" w:hAnsi="Times New Roman" w:eastAsia="宋体" w:cs="Times New Roman"/>
                <w:bCs/>
                <w:color w:val="000000" w:themeColor="text1"/>
                <w:sz w:val="24"/>
                <w14:textFill>
                  <w14:solidFill>
                    <w14:schemeClr w14:val="tx1"/>
                  </w14:solidFill>
                </w14:textFill>
              </w:rPr>
              <w:t>1</w:t>
            </w:r>
            <w:r>
              <w:rPr>
                <w:rFonts w:ascii="Times New Roman" w:hAnsi="Times New Roman" w:eastAsia="宋体" w:cs="Times New Roman"/>
                <w:bCs/>
                <w:color w:val="000000" w:themeColor="text1"/>
                <w:sz w:val="24"/>
                <w14:textFill>
                  <w14:solidFill>
                    <w14:schemeClr w14:val="tx1"/>
                  </w14:solidFill>
                </w14:textFill>
              </w:rPr>
              <w:t>00%），则挥发性有机废气产生量（以非甲烷总烃计）为</w:t>
            </w:r>
            <w:r>
              <w:rPr>
                <w:rFonts w:hint="eastAsia" w:ascii="Times New Roman" w:hAnsi="Times New Roman" w:eastAsia="宋体" w:cs="Times New Roman"/>
                <w:bCs/>
                <w:color w:val="000000" w:themeColor="text1"/>
                <w:sz w:val="24"/>
                <w14:textFill>
                  <w14:solidFill>
                    <w14:schemeClr w14:val="tx1"/>
                  </w14:solidFill>
                </w14:textFill>
              </w:rPr>
              <w:t>1</w:t>
            </w:r>
            <w:r>
              <w:rPr>
                <w:rFonts w:ascii="Times New Roman" w:hAnsi="Times New Roman" w:eastAsia="宋体" w:cs="Times New Roman"/>
                <w:bCs/>
                <w:color w:val="000000" w:themeColor="text1"/>
                <w:sz w:val="24"/>
                <w14:textFill>
                  <w14:solidFill>
                    <w14:schemeClr w14:val="tx1"/>
                  </w14:solidFill>
                </w14:textFill>
              </w:rPr>
              <w:t>.5t/a，</w:t>
            </w:r>
            <w:r>
              <w:rPr>
                <w:rFonts w:hint="eastAsia" w:ascii="Times New Roman" w:hAnsi="Times New Roman" w:eastAsia="宋体" w:cs="Times New Roman"/>
                <w:bCs/>
                <w:color w:val="000000" w:themeColor="text1"/>
                <w:sz w:val="24"/>
                <w14:textFill>
                  <w14:solidFill>
                    <w14:schemeClr w14:val="tx1"/>
                  </w14:solidFill>
                </w14:textFill>
              </w:rPr>
              <w:t>上述工序挥发性有机废气（以非甲烷总烃计）产生量总量为2</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333</w:t>
            </w:r>
            <w:r>
              <w:rPr>
                <w:rFonts w:hint="eastAsia" w:ascii="Times New Roman" w:hAnsi="Times New Roman" w:eastAsia="宋体" w:cs="Times New Roman"/>
                <w:bCs/>
                <w:color w:val="000000" w:themeColor="text1"/>
                <w:sz w:val="24"/>
                <w14:textFill>
                  <w14:solidFill>
                    <w14:schemeClr w14:val="tx1"/>
                  </w14:solidFill>
                </w14:textFill>
              </w:rPr>
              <w:t>t/a。设集气罩捕集后经至“</w:t>
            </w:r>
            <w:r>
              <w:rPr>
                <w:rFonts w:hint="eastAsia" w:ascii="Times New Roman" w:hAnsi="Times New Roman" w:eastAsia="宋体" w:cs="Times New Roman"/>
                <w:bCs/>
                <w:color w:val="000000" w:themeColor="text1"/>
                <w:sz w:val="24"/>
                <w:lang w:val="en-US" w:eastAsia="zh-CN"/>
                <w14:textFill>
                  <w14:solidFill>
                    <w14:schemeClr w14:val="tx1"/>
                  </w14:solidFill>
                </w14:textFill>
              </w:rPr>
              <w:t>二级活性炭吸附装置</w:t>
            </w:r>
            <w:r>
              <w:rPr>
                <w:rFonts w:hint="eastAsia" w:ascii="Times New Roman" w:hAnsi="Times New Roman" w:eastAsia="宋体" w:cs="Times New Roman"/>
                <w:bCs/>
                <w:color w:val="000000" w:themeColor="text1"/>
                <w:sz w:val="24"/>
                <w14:textFill>
                  <w14:solidFill>
                    <w14:schemeClr w14:val="tx1"/>
                  </w14:solidFill>
                </w14:textFill>
              </w:rPr>
              <w:t>”处理达标后排至15m高排气筒（</w:t>
            </w:r>
            <w:r>
              <w:rPr>
                <w:rFonts w:ascii="Times New Roman" w:hAnsi="Times New Roman" w:eastAsia="宋体" w:cs="Times New Roman"/>
                <w:bCs/>
                <w:color w:val="000000" w:themeColor="text1"/>
                <w:sz w:val="24"/>
                <w14:textFill>
                  <w14:solidFill>
                    <w14:schemeClr w14:val="tx1"/>
                  </w14:solidFill>
                </w14:textFill>
              </w:rPr>
              <w:t>DA005</w:t>
            </w:r>
            <w:r>
              <w:rPr>
                <w:rFonts w:hint="eastAsia" w:ascii="Times New Roman" w:hAnsi="Times New Roman" w:eastAsia="宋体" w:cs="Times New Roman"/>
                <w:bCs/>
                <w:color w:val="000000" w:themeColor="text1"/>
                <w:sz w:val="24"/>
                <w14:textFill>
                  <w14:solidFill>
                    <w14:schemeClr w14:val="tx1"/>
                  </w14:solidFill>
                </w14:textFill>
              </w:rPr>
              <w:t>）排放。</w:t>
            </w:r>
          </w:p>
          <w:p w14:paraId="1DFA619E">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②浇注、烘干、脱模废气</w:t>
            </w:r>
          </w:p>
          <w:p w14:paraId="71E3B1B6">
            <w:pPr>
              <w:spacing w:line="360" w:lineRule="auto"/>
              <w:ind w:firstLine="480" w:firstLineChars="200"/>
              <w:jc w:val="left"/>
              <w:rPr>
                <w:rFonts w:hint="eastAsia"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使用的原材料聚氨酯在浇注成型、烘干固化、脱模的过程中会产生有机废气排放，浇注机加热温度为1</w:t>
            </w:r>
            <w:r>
              <w:rPr>
                <w:rFonts w:ascii="Times New Roman" w:hAnsi="Times New Roman" w:eastAsia="宋体" w:cs="Times New Roman"/>
                <w:bCs/>
                <w:color w:val="000000" w:themeColor="text1"/>
                <w:sz w:val="24"/>
                <w14:textFill>
                  <w14:solidFill>
                    <w14:schemeClr w14:val="tx1"/>
                  </w14:solidFill>
                </w14:textFill>
              </w:rPr>
              <w:t>00℃，烘干机内加热温度</w:t>
            </w:r>
            <w:r>
              <w:rPr>
                <w:rFonts w:hint="eastAsia" w:ascii="Times New Roman" w:hAnsi="Times New Roman" w:eastAsia="宋体" w:cs="Times New Roman"/>
                <w:bCs/>
                <w:color w:val="000000" w:themeColor="text1"/>
                <w:sz w:val="24"/>
                <w14:textFill>
                  <w14:solidFill>
                    <w14:schemeClr w14:val="tx1"/>
                  </w14:solidFill>
                </w14:textFill>
              </w:rPr>
              <w:t>8</w:t>
            </w:r>
            <w:r>
              <w:rPr>
                <w:rFonts w:ascii="Times New Roman" w:hAnsi="Times New Roman" w:eastAsia="宋体" w:cs="Times New Roman"/>
                <w:bCs/>
                <w:color w:val="000000" w:themeColor="text1"/>
                <w:sz w:val="24"/>
                <w14:textFill>
                  <w14:solidFill>
                    <w14:schemeClr w14:val="tx1"/>
                  </w14:solidFill>
                </w14:textFill>
              </w:rPr>
              <w:t>0℃，而聚氨酯的分解温度为</w:t>
            </w:r>
            <w:r>
              <w:rPr>
                <w:rFonts w:hint="eastAsia" w:ascii="Times New Roman" w:hAnsi="Times New Roman" w:eastAsia="宋体" w:cs="Times New Roman"/>
                <w:bCs/>
                <w:color w:val="000000" w:themeColor="text1"/>
                <w:sz w:val="24"/>
                <w14:textFill>
                  <w14:solidFill>
                    <w14:schemeClr w14:val="tx1"/>
                  </w14:solidFill>
                </w14:textFill>
              </w:rPr>
              <w:t>2</w:t>
            </w:r>
            <w:r>
              <w:rPr>
                <w:rFonts w:ascii="Times New Roman" w:hAnsi="Times New Roman" w:eastAsia="宋体" w:cs="Times New Roman"/>
                <w:bCs/>
                <w:color w:val="000000" w:themeColor="text1"/>
                <w:sz w:val="24"/>
                <w14:textFill>
                  <w14:solidFill>
                    <w14:schemeClr w14:val="tx1"/>
                  </w14:solidFill>
                </w14:textFill>
              </w:rPr>
              <w:t>00℃，因此本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ascii="Times New Roman" w:hAnsi="Times New Roman" w:eastAsia="宋体" w:cs="Times New Roman"/>
                <w:bCs/>
                <w:color w:val="000000" w:themeColor="text1"/>
                <w:sz w:val="24"/>
                <w14:textFill>
                  <w14:solidFill>
                    <w14:schemeClr w14:val="tx1"/>
                  </w14:solidFill>
                </w14:textFill>
              </w:rPr>
              <w:t>生产不到原料的分解温度，但仍有少量有机气体在加热过程中产生（以非甲烷总烃计），</w:t>
            </w:r>
            <w:r>
              <w:rPr>
                <w:rFonts w:hint="eastAsia" w:ascii="Times New Roman" w:hAnsi="Times New Roman" w:eastAsia="宋体" w:cs="Times New Roman"/>
                <w:bCs/>
                <w:color w:val="000000" w:themeColor="text1"/>
                <w:sz w:val="24"/>
                <w:lang w:val="en-US" w:eastAsia="zh-CN"/>
                <w14:textFill>
                  <w14:solidFill>
                    <w14:schemeClr w14:val="tx1"/>
                  </w14:solidFill>
                </w14:textFill>
              </w:rPr>
              <w:t>浇注、烘干、脱模</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工序废气一同收集，浇注机上方设置有全密闭集气罩收集废气，烘干设施为密闭设施经管道连接至处理设施处理后排放。浇注、烘干、脱模产生的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VOCs </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由经收集处理后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15m </w:t>
            </w:r>
            <w:r>
              <w:rPr>
                <w:rFonts w:hint="eastAsia" w:ascii="宋体" w:hAnsi="宋体" w:eastAsia="宋体" w:cs="宋体"/>
                <w:color w:val="000000" w:themeColor="text1"/>
                <w:kern w:val="0"/>
                <w:sz w:val="24"/>
                <w:szCs w:val="24"/>
                <w:lang w:val="en-US" w:eastAsia="zh-CN" w:bidi="ar"/>
                <w14:textFill>
                  <w14:solidFill>
                    <w14:schemeClr w14:val="tx1"/>
                  </w14:solidFill>
                </w14:textFill>
              </w:rPr>
              <w:t>排气筒排放。</w:t>
            </w:r>
            <w:r>
              <w:rPr>
                <w:rFonts w:hint="eastAsia" w:ascii="Times New Roman" w:hAnsi="Times New Roman" w:eastAsia="宋体" w:cs="Times New Roman"/>
                <w:bCs/>
                <w:color w:val="000000" w:themeColor="text1"/>
                <w:sz w:val="24"/>
                <w:lang w:val="en-US" w:eastAsia="zh-CN"/>
                <w14:textFill>
                  <w14:solidFill>
                    <w14:schemeClr w14:val="tx1"/>
                  </w14:solidFill>
                </w14:textFill>
              </w:rPr>
              <w:t>项目使用浇注工艺，</w:t>
            </w:r>
            <w:r>
              <w:rPr>
                <w:rFonts w:ascii="Times New Roman" w:hAnsi="Times New Roman" w:eastAsia="宋体" w:cs="Times New Roman"/>
                <w:bCs/>
                <w:color w:val="000000" w:themeColor="text1"/>
                <w:sz w:val="24"/>
                <w14:textFill>
                  <w14:solidFill>
                    <w14:schemeClr w14:val="tx1"/>
                  </w14:solidFill>
                </w14:textFill>
              </w:rPr>
              <w:t>根据参考《排放源统计调查产排污核算方法和系数手册》中</w:t>
            </w:r>
            <w:r>
              <w:rPr>
                <w:rFonts w:hint="eastAsia"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292 塑料制品业系数手册</w:t>
            </w:r>
            <w:r>
              <w:rPr>
                <w:rFonts w:hint="eastAsia"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lang w:eastAsia="zh-CN"/>
                <w14:textFill>
                  <w14:solidFill>
                    <w14:schemeClr w14:val="tx1"/>
                  </w14:solidFill>
                </w14:textFill>
              </w:rPr>
              <w:t>“292 塑料制品的生产过程中，如果包含热固性塑料的浇注工艺，废气指标可参考 2926 塑料包装箱及容器制造行业注塑工段的产污系数。”</w:t>
            </w:r>
            <w:r>
              <w:rPr>
                <w:rFonts w:hint="eastAsia" w:ascii="Times New Roman" w:hAnsi="Times New Roman" w:eastAsia="宋体" w:cs="Times New Roman"/>
                <w:bCs/>
                <w:color w:val="000000" w:themeColor="text1"/>
                <w:sz w:val="24"/>
                <w:lang w:val="en-US" w:eastAsia="zh-CN"/>
                <w14:textFill>
                  <w14:solidFill>
                    <w14:schemeClr w14:val="tx1"/>
                  </w14:solidFill>
                </w14:textFill>
              </w:rPr>
              <w:t>项目使用的聚氨酯属于热固性树脂，项目使用浇注工艺，产物系数根据</w:t>
            </w:r>
            <w:r>
              <w:rPr>
                <w:rFonts w:hint="eastAsia"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2926中塑料包装箱及容器制造行业系数表中注塑-挥发性有机物产污系数2.70kg/t-产品</w:t>
            </w:r>
            <w:r>
              <w:rPr>
                <w:rFonts w:hint="eastAsia"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项目橡胶脚轮橡胶部分产品量为110t/a，</w:t>
            </w:r>
            <w:r>
              <w:rPr>
                <w:rFonts w:hint="eastAsia" w:ascii="Times New Roman" w:hAnsi="Times New Roman" w:eastAsia="宋体" w:cs="Times New Roman"/>
                <w:bCs/>
                <w:color w:val="000000" w:themeColor="text1"/>
                <w:sz w:val="24"/>
                <w14:textFill>
                  <w14:solidFill>
                    <w14:schemeClr w14:val="tx1"/>
                  </w14:solidFill>
                </w14:textFill>
              </w:rPr>
              <w:t>则</w:t>
            </w:r>
            <w:r>
              <w:rPr>
                <w:rFonts w:ascii="Times New Roman" w:hAnsi="Times New Roman" w:eastAsia="宋体" w:cs="Times New Roman"/>
                <w:bCs/>
                <w:color w:val="000000" w:themeColor="text1"/>
                <w:sz w:val="24"/>
                <w14:textFill>
                  <w14:solidFill>
                    <w14:schemeClr w14:val="tx1"/>
                  </w14:solidFill>
                </w14:textFill>
              </w:rPr>
              <w:t>非甲烷总烃产生量为</w:t>
            </w:r>
            <w:r>
              <w:rPr>
                <w:rFonts w:hint="eastAsia" w:ascii="Times New Roman" w:hAnsi="Times New Roman" w:eastAsia="宋体" w:cs="Times New Roman"/>
                <w:bCs/>
                <w:color w:val="000000" w:themeColor="text1"/>
                <w:sz w:val="24"/>
                <w:lang w:val="en-US" w:eastAsia="zh-CN"/>
                <w14:textFill>
                  <w14:solidFill>
                    <w14:schemeClr w14:val="tx1"/>
                  </w14:solidFill>
                </w14:textFill>
              </w:rPr>
              <w:t>0.297</w:t>
            </w:r>
            <w:r>
              <w:rPr>
                <w:rFonts w:ascii="Times New Roman" w:hAnsi="Times New Roman" w:eastAsia="宋体" w:cs="Times New Roman"/>
                <w:bCs/>
                <w:color w:val="000000" w:themeColor="text1"/>
                <w:sz w:val="24"/>
                <w14:textFill>
                  <w14:solidFill>
                    <w14:schemeClr w14:val="tx1"/>
                  </w14:solidFill>
                </w14:textFill>
              </w:rPr>
              <w:t>t/a</w:t>
            </w:r>
            <w:r>
              <w:rPr>
                <w:rFonts w:hint="eastAsia" w:ascii="Times New Roman" w:hAnsi="Times New Roman" w:eastAsia="宋体" w:cs="Times New Roman"/>
                <w:bCs/>
                <w:color w:val="000000" w:themeColor="text1"/>
                <w:sz w:val="24"/>
                <w14:textFill>
                  <w14:solidFill>
                    <w14:schemeClr w14:val="tx1"/>
                  </w14:solidFill>
                </w14:textFill>
              </w:rPr>
              <w:t>。</w:t>
            </w:r>
          </w:p>
          <w:p w14:paraId="64D12E3A">
            <w:pPr>
              <w:spacing w:line="360" w:lineRule="auto"/>
              <w:ind w:firstLine="480" w:firstLineChars="200"/>
              <w:jc w:val="left"/>
              <w:rPr>
                <w:rFonts w:hint="eastAsia" w:ascii="Times New Roman" w:hAnsi="Times New Roman" w:eastAsia="宋体" w:cs="Times New Roman"/>
                <w:bCs/>
                <w:color w:val="000000" w:themeColor="text1"/>
                <w:sz w:val="24"/>
                <w:lang w:eastAsia="zh-CN"/>
                <w14:textFill>
                  <w14:solidFill>
                    <w14:schemeClr w14:val="tx1"/>
                  </w14:solidFill>
                </w14:textFill>
              </w:rPr>
            </w:pPr>
            <w:r>
              <w:rPr>
                <w:rFonts w:hint="eastAsia" w:ascii="Times New Roman" w:hAnsi="Times New Roman" w:eastAsia="宋体" w:cs="Times New Roman"/>
                <w:bCs/>
                <w:color w:val="000000" w:themeColor="text1"/>
                <w:sz w:val="24"/>
                <w:lang w:val="en-US" w:eastAsia="zh-CN"/>
                <w14:textFill>
                  <w14:solidFill>
                    <w14:schemeClr w14:val="tx1"/>
                  </w14:solidFill>
                </w14:textFill>
              </w:rPr>
              <w:t>本项目浇注时将双组分物料通过浇注机混合腔内混合后再浇注到模具中，工作过程中会残留不断熟化的聚氨酯。它对设备内壁附着力很强，如果不及时清除，会影响浇注工作的正常进行。本项目清洗浇注机时采用白电油液体去延缓残留物的反应速度和附着力。然后，让强力的压缩空气迅速吹掉残留物。白电油注入浇注机的密闭清洗罐中。清洗时将清洗通道与注口对位，白电油经压缩空气加压后，通过密闭清洗通道输送到注口流出。该过程会挥发少量非甲烷总烃，并产生清洗废液。根据建设单位提供资料，项目使用白电油清洗浇注机需每小时进行1次，单次白电油用量为180g，则项目白电油用量为0.302t/a，白电油按100%挥发计，</w:t>
            </w:r>
            <w:r>
              <w:rPr>
                <w:rFonts w:hint="eastAsia" w:ascii="Times New Roman" w:hAnsi="Times New Roman" w:eastAsia="宋体" w:cs="Times New Roman"/>
                <w:bCs/>
                <w:color w:val="000000" w:themeColor="text1"/>
                <w:sz w:val="24"/>
                <w14:textFill>
                  <w14:solidFill>
                    <w14:schemeClr w14:val="tx1"/>
                  </w14:solidFill>
                </w14:textFill>
              </w:rPr>
              <w:t>则挥发性有机废气产生量（以非甲烷总烃计）为</w:t>
            </w:r>
            <w:r>
              <w:rPr>
                <w:rFonts w:ascii="Times New Roman" w:hAnsi="Times New Roman" w:eastAsia="宋体" w:cs="Times New Roman"/>
                <w:bCs/>
                <w:color w:val="000000" w:themeColor="text1"/>
                <w:sz w:val="24"/>
                <w14:textFill>
                  <w14:solidFill>
                    <w14:schemeClr w14:val="tx1"/>
                  </w14:solidFill>
                </w14:textFill>
              </w:rPr>
              <w:t>0.</w:t>
            </w:r>
            <w:r>
              <w:rPr>
                <w:rFonts w:hint="eastAsia" w:ascii="Times New Roman" w:hAnsi="Times New Roman" w:eastAsia="宋体" w:cs="Times New Roman"/>
                <w:bCs/>
                <w:color w:val="000000" w:themeColor="text1"/>
                <w:sz w:val="24"/>
                <w:lang w:val="en-US" w:eastAsia="zh-CN"/>
                <w14:textFill>
                  <w14:solidFill>
                    <w14:schemeClr w14:val="tx1"/>
                  </w14:solidFill>
                </w14:textFill>
              </w:rPr>
              <w:t>302</w:t>
            </w:r>
            <w:r>
              <w:rPr>
                <w:rFonts w:hint="eastAsia" w:ascii="Times New Roman" w:hAnsi="Times New Roman" w:eastAsia="宋体" w:cs="Times New Roman"/>
                <w:bCs/>
                <w:color w:val="000000" w:themeColor="text1"/>
                <w:sz w:val="24"/>
                <w14:textFill>
                  <w14:solidFill>
                    <w14:schemeClr w14:val="tx1"/>
                  </w14:solidFill>
                </w14:textFill>
              </w:rPr>
              <w:t>t/a</w:t>
            </w:r>
            <w:r>
              <w:rPr>
                <w:rFonts w:hint="eastAsia" w:ascii="Times New Roman" w:hAnsi="Times New Roman" w:eastAsia="宋体" w:cs="Times New Roman"/>
                <w:bCs/>
                <w:color w:val="000000" w:themeColor="text1"/>
                <w:sz w:val="24"/>
                <w:lang w:eastAsia="zh-CN"/>
                <w14:textFill>
                  <w14:solidFill>
                    <w14:schemeClr w14:val="tx1"/>
                  </w14:solidFill>
                </w14:textFill>
              </w:rPr>
              <w:t>。</w:t>
            </w:r>
          </w:p>
          <w:p w14:paraId="3390BC01">
            <w:pPr>
              <w:spacing w:line="360" w:lineRule="auto"/>
              <w:ind w:firstLine="480" w:firstLineChars="200"/>
              <w:jc w:val="left"/>
              <w:rPr>
                <w:rFonts w:hint="eastAsia"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lang w:val="en-US" w:eastAsia="zh-CN"/>
                <w14:textFill>
                  <w14:solidFill>
                    <w14:schemeClr w14:val="tx1"/>
                  </w14:solidFill>
                </w14:textFill>
              </w:rPr>
              <w:t>项目浇注、烘干、脱模有机废气产生量合计为0.599t/a，</w:t>
            </w:r>
            <w:r>
              <w:rPr>
                <w:rFonts w:hint="eastAsia" w:ascii="Times New Roman" w:hAnsi="Times New Roman" w:eastAsia="宋体" w:cs="Times New Roman"/>
                <w:bCs/>
                <w:color w:val="000000" w:themeColor="text1"/>
                <w:sz w:val="24"/>
                <w14:textFill>
                  <w14:solidFill>
                    <w14:schemeClr w14:val="tx1"/>
                  </w14:solidFill>
                </w14:textFill>
              </w:rPr>
              <w:t>设</w:t>
            </w:r>
            <w:r>
              <w:rPr>
                <w:rFonts w:hint="eastAsia" w:ascii="Times New Roman" w:hAnsi="Times New Roman" w:eastAsia="宋体" w:cs="Times New Roman"/>
                <w:bCs/>
                <w:color w:val="000000" w:themeColor="text1"/>
                <w:sz w:val="24"/>
                <w:lang w:val="en-US" w:eastAsia="zh-CN"/>
                <w14:textFill>
                  <w14:solidFill>
                    <w14:schemeClr w14:val="tx1"/>
                  </w14:solidFill>
                </w14:textFill>
              </w:rPr>
              <w:t>密闭型</w:t>
            </w:r>
            <w:r>
              <w:rPr>
                <w:rFonts w:hint="eastAsia" w:ascii="Times New Roman" w:hAnsi="Times New Roman" w:eastAsia="宋体" w:cs="Times New Roman"/>
                <w:bCs/>
                <w:color w:val="000000" w:themeColor="text1"/>
                <w:sz w:val="24"/>
                <w14:textFill>
                  <w14:solidFill>
                    <w14:schemeClr w14:val="tx1"/>
                  </w14:solidFill>
                </w14:textFill>
              </w:rPr>
              <w:t>集气罩捕集后经至</w:t>
            </w:r>
            <w:r>
              <w:rPr>
                <w:rFonts w:hint="eastAsia" w:ascii="Times New Roman" w:hAnsi="Times New Roman" w:eastAsia="宋体" w:cs="Times New Roman"/>
                <w:bCs/>
                <w:color w:val="000000" w:themeColor="text1"/>
                <w:sz w:val="24"/>
                <w:lang w:val="en-US" w:eastAsia="zh-CN"/>
                <w14:textFill>
                  <w14:solidFill>
                    <w14:schemeClr w14:val="tx1"/>
                  </w14:solidFill>
                </w14:textFill>
              </w:rPr>
              <w:t>二级活性炭吸附装置</w:t>
            </w:r>
            <w:r>
              <w:rPr>
                <w:rFonts w:hint="eastAsia" w:ascii="Times New Roman" w:hAnsi="Times New Roman" w:eastAsia="宋体" w:cs="Times New Roman"/>
                <w:bCs/>
                <w:color w:val="000000" w:themeColor="text1"/>
                <w:sz w:val="24"/>
                <w14:textFill>
                  <w14:solidFill>
                    <w14:schemeClr w14:val="tx1"/>
                  </w14:solidFill>
                </w14:textFill>
              </w:rPr>
              <w:t>处理达标后排至15m高排气筒（DA00</w:t>
            </w:r>
            <w:r>
              <w:rPr>
                <w:rFonts w:ascii="Times New Roman" w:hAnsi="Times New Roman" w:eastAsia="宋体" w:cs="Times New Roman"/>
                <w:bCs/>
                <w:color w:val="000000" w:themeColor="text1"/>
                <w:sz w:val="24"/>
                <w14:textFill>
                  <w14:solidFill>
                    <w14:schemeClr w14:val="tx1"/>
                  </w14:solidFill>
                </w14:textFill>
              </w:rPr>
              <w:t>5</w:t>
            </w:r>
            <w:r>
              <w:rPr>
                <w:rFonts w:hint="eastAsia" w:ascii="Times New Roman" w:hAnsi="Times New Roman" w:eastAsia="宋体" w:cs="Times New Roman"/>
                <w:bCs/>
                <w:color w:val="000000" w:themeColor="text1"/>
                <w:sz w:val="24"/>
                <w14:textFill>
                  <w14:solidFill>
                    <w14:schemeClr w14:val="tx1"/>
                  </w14:solidFill>
                </w14:textFill>
              </w:rPr>
              <w:t>）排放。</w:t>
            </w:r>
          </w:p>
          <w:p w14:paraId="2031880A">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③喷漆废气</w:t>
            </w:r>
          </w:p>
          <w:p w14:paraId="7EBC1143">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喷漆属于表面涂装行业，在调漆、喷漆、喷枪清洗、烘干过程中产生有机废气和漆雾。本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喷漆过程中油漆附着率以3</w:t>
            </w:r>
            <w:r>
              <w:rPr>
                <w:rFonts w:ascii="Times New Roman" w:hAnsi="Times New Roman" w:eastAsia="宋体" w:cs="Times New Roman"/>
                <w:bCs/>
                <w:color w:val="000000" w:themeColor="text1"/>
                <w:sz w:val="24"/>
                <w14:textFill>
                  <w14:solidFill>
                    <w14:schemeClr w14:val="tx1"/>
                  </w14:solidFill>
                </w14:textFill>
              </w:rPr>
              <w:t>0%计，另外</w:t>
            </w:r>
            <w:r>
              <w:rPr>
                <w:rFonts w:hint="eastAsia" w:ascii="Times New Roman" w:hAnsi="Times New Roman" w:eastAsia="宋体" w:cs="Times New Roman"/>
                <w:bCs/>
                <w:color w:val="000000" w:themeColor="text1"/>
                <w:sz w:val="24"/>
                <w14:textFill>
                  <w14:solidFill>
                    <w14:schemeClr w14:val="tx1"/>
                  </w14:solidFill>
                </w14:textFill>
              </w:rPr>
              <w:t>7</w:t>
            </w:r>
            <w:r>
              <w:rPr>
                <w:rFonts w:ascii="Times New Roman" w:hAnsi="Times New Roman" w:eastAsia="宋体" w:cs="Times New Roman"/>
                <w:bCs/>
                <w:color w:val="000000" w:themeColor="text1"/>
                <w:sz w:val="24"/>
                <w14:textFill>
                  <w14:solidFill>
                    <w14:schemeClr w14:val="tx1"/>
                  </w14:solidFill>
                </w14:textFill>
              </w:rPr>
              <w:t>0%油漆在喷漆过程中不能附着在工件上变成漆雾，</w:t>
            </w:r>
            <w:r>
              <w:rPr>
                <w:rFonts w:hint="eastAsia" w:ascii="Times New Roman" w:hAnsi="Times New Roman" w:eastAsia="宋体" w:cs="Times New Roman"/>
                <w:bCs/>
                <w:color w:val="000000" w:themeColor="text1"/>
                <w:sz w:val="24"/>
                <w14:textFill>
                  <w14:solidFill>
                    <w14:schemeClr w14:val="tx1"/>
                  </w14:solidFill>
                </w14:textFill>
              </w:rPr>
              <w:t>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喷漆使用油性面漆和面漆稀释剂配比，再在配比调和后的面漆中加入的银粉，配比为面漆∶银粉=3∶1，根据油漆检测报告（附件7），本</w:t>
            </w:r>
            <w:r>
              <w:rPr>
                <w:rFonts w:hint="eastAsia" w:ascii="Times New Roman" w:hAnsi="Times New Roman" w:eastAsia="宋体" w:cs="Times New Roman"/>
                <w:bCs/>
                <w:color w:val="000000" w:themeColor="text1"/>
                <w:sz w:val="24"/>
                <w:lang w:eastAsia="zh-CN"/>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已知在工况下油漆挥发性有机化合物含量，面漆的挥发性有机化合物334g/L，挥发份含量为32.08%，则固体份含量为67.92%，面漆配比A：灰色液体（面漆），B：无色透明液体（稀释剂） A∶B=12.1∶1（m/m）；根据</w:t>
            </w:r>
            <w:r>
              <w:rPr>
                <w:rFonts w:hint="eastAsia" w:ascii="Times New Roman" w:hAnsi="Times New Roman" w:eastAsia="宋体" w:cs="Times New Roman"/>
                <w:bCs/>
                <w:color w:val="000000" w:themeColor="text1"/>
                <w:sz w:val="24"/>
                <w:lang w:val="en-US" w:eastAsia="zh-CN"/>
                <w14:textFill>
                  <w14:solidFill>
                    <w14:schemeClr w14:val="tx1"/>
                  </w14:solidFill>
                </w14:textFill>
              </w:rPr>
              <w:t>上文核算</w:t>
            </w:r>
            <w:r>
              <w:rPr>
                <w:rFonts w:hint="eastAsia" w:ascii="Times New Roman" w:hAnsi="Times New Roman" w:eastAsia="宋体" w:cs="Times New Roman"/>
                <w:bCs/>
                <w:color w:val="000000" w:themeColor="text1"/>
                <w:sz w:val="24"/>
                <w14:textFill>
                  <w14:solidFill>
                    <w14:schemeClr w14:val="tx1"/>
                  </w14:solidFill>
                </w14:textFill>
              </w:rPr>
              <w:t>，面漆的使用量为0</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991</w:t>
            </w:r>
            <w:r>
              <w:rPr>
                <w:rFonts w:ascii="Times New Roman" w:hAnsi="Times New Roman" w:eastAsia="宋体" w:cs="Times New Roman"/>
                <w:bCs/>
                <w:color w:val="000000" w:themeColor="text1"/>
                <w:sz w:val="24"/>
                <w14:textFill>
                  <w14:solidFill>
                    <w14:schemeClr w14:val="tx1"/>
                  </w14:solidFill>
                </w14:textFill>
              </w:rPr>
              <w:t>t/a，面漆稀释剂年用量</w:t>
            </w:r>
            <w:r>
              <w:rPr>
                <w:rFonts w:hint="eastAsia" w:ascii="Times New Roman" w:hAnsi="Times New Roman" w:eastAsia="宋体" w:cs="Times New Roman"/>
                <w:bCs/>
                <w:color w:val="000000" w:themeColor="text1"/>
                <w:sz w:val="24"/>
                <w:lang w:val="en-US" w:eastAsia="zh-CN"/>
                <w14:textFill>
                  <w14:solidFill>
                    <w14:schemeClr w14:val="tx1"/>
                  </w14:solidFill>
                </w14:textFill>
              </w:rPr>
              <w:t>0.082</w:t>
            </w:r>
            <w:r>
              <w:rPr>
                <w:rFonts w:ascii="Times New Roman" w:hAnsi="Times New Roman" w:eastAsia="宋体" w:cs="Times New Roman"/>
                <w:bCs/>
                <w:color w:val="000000" w:themeColor="text1"/>
                <w:sz w:val="24"/>
                <w14:textFill>
                  <w14:solidFill>
                    <w14:schemeClr w14:val="tx1"/>
                  </w14:solidFill>
                </w14:textFill>
              </w:rPr>
              <w:t>t/a。喷漆工序产生的有机废气以非甲烷总烃和苯系物为表征。</w:t>
            </w:r>
          </w:p>
          <w:p w14:paraId="67917CE6">
            <w:pPr>
              <w:ind w:firstLine="420" w:firstLineChars="200"/>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表4</w:t>
            </w:r>
            <w:r>
              <w:rPr>
                <w:rFonts w:ascii="Times New Roman" w:hAnsi="Times New Roman" w:eastAsia="宋体" w:cs="Times New Roman"/>
                <w:b/>
                <w:bCs/>
                <w:color w:val="000000" w:themeColor="text1"/>
                <w:szCs w:val="21"/>
                <w14:textFill>
                  <w14:solidFill>
                    <w14:schemeClr w14:val="tx1"/>
                  </w14:solidFill>
                </w14:textFill>
              </w:rPr>
              <w:t>-1</w:t>
            </w:r>
            <w:r>
              <w:rPr>
                <w:rFonts w:hint="eastAsia" w:ascii="Times New Roman" w:hAnsi="Times New Roman" w:eastAsia="宋体" w:cs="Times New Roman"/>
                <w:b/>
                <w:bCs/>
                <w:color w:val="000000" w:themeColor="text1"/>
                <w:szCs w:val="21"/>
                <w14:textFill>
                  <w14:solidFill>
                    <w14:schemeClr w14:val="tx1"/>
                  </w14:solidFill>
                </w14:textFill>
              </w:rPr>
              <w:t xml:space="preserve"> 本项目苯系物源强一览表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697"/>
              <w:gridCol w:w="697"/>
              <w:gridCol w:w="697"/>
              <w:gridCol w:w="698"/>
              <w:gridCol w:w="698"/>
              <w:gridCol w:w="698"/>
              <w:gridCol w:w="698"/>
              <w:gridCol w:w="698"/>
              <w:gridCol w:w="698"/>
              <w:gridCol w:w="698"/>
            </w:tblGrid>
            <w:tr w14:paraId="6FF7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45D98880">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序号</w:t>
                  </w:r>
                </w:p>
              </w:tc>
              <w:tc>
                <w:tcPr>
                  <w:tcW w:w="697" w:type="dxa"/>
                  <w:vAlign w:val="center"/>
                </w:tcPr>
                <w:p w14:paraId="45566181">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涉VOCs生产车间</w:t>
                  </w:r>
                </w:p>
              </w:tc>
              <w:tc>
                <w:tcPr>
                  <w:tcW w:w="697" w:type="dxa"/>
                  <w:vAlign w:val="center"/>
                </w:tcPr>
                <w:p w14:paraId="1DE764E3">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原辅材料名称</w:t>
                  </w:r>
                </w:p>
              </w:tc>
              <w:tc>
                <w:tcPr>
                  <w:tcW w:w="697" w:type="dxa"/>
                  <w:vAlign w:val="center"/>
                </w:tcPr>
                <w:p w14:paraId="511615D5">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甲苯组分%</w:t>
                  </w:r>
                </w:p>
              </w:tc>
              <w:tc>
                <w:tcPr>
                  <w:tcW w:w="698" w:type="dxa"/>
                  <w:vAlign w:val="center"/>
                </w:tcPr>
                <w:p w14:paraId="57505D27">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甲苯含量t/a</w:t>
                  </w:r>
                </w:p>
              </w:tc>
              <w:tc>
                <w:tcPr>
                  <w:tcW w:w="698" w:type="dxa"/>
                  <w:vAlign w:val="center"/>
                </w:tcPr>
                <w:p w14:paraId="411273AA">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二甲苯组分%</w:t>
                  </w:r>
                </w:p>
              </w:tc>
              <w:tc>
                <w:tcPr>
                  <w:tcW w:w="698" w:type="dxa"/>
                  <w:vAlign w:val="center"/>
                </w:tcPr>
                <w:p w14:paraId="7BEC1A12">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二甲苯含量t/a</w:t>
                  </w:r>
                </w:p>
              </w:tc>
              <w:tc>
                <w:tcPr>
                  <w:tcW w:w="698" w:type="dxa"/>
                  <w:vAlign w:val="center"/>
                </w:tcPr>
                <w:p w14:paraId="2BB11229">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乙苯组分%</w:t>
                  </w:r>
                </w:p>
              </w:tc>
              <w:tc>
                <w:tcPr>
                  <w:tcW w:w="698" w:type="dxa"/>
                  <w:vAlign w:val="center"/>
                </w:tcPr>
                <w:p w14:paraId="43127ED8">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乙苯含量t/a</w:t>
                  </w:r>
                </w:p>
              </w:tc>
              <w:tc>
                <w:tcPr>
                  <w:tcW w:w="698" w:type="dxa"/>
                  <w:vAlign w:val="center"/>
                </w:tcPr>
                <w:p w14:paraId="3798F70A">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苯系物组分%</w:t>
                  </w:r>
                </w:p>
              </w:tc>
              <w:tc>
                <w:tcPr>
                  <w:tcW w:w="698" w:type="dxa"/>
                  <w:vAlign w:val="center"/>
                </w:tcPr>
                <w:p w14:paraId="024A1AEB">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苯系物含量t/a</w:t>
                  </w:r>
                </w:p>
              </w:tc>
            </w:tr>
            <w:tr w14:paraId="4DA4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0A890A6C">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w:t>
                  </w:r>
                </w:p>
              </w:tc>
              <w:tc>
                <w:tcPr>
                  <w:tcW w:w="697" w:type="dxa"/>
                  <w:vMerge w:val="restart"/>
                  <w:vAlign w:val="center"/>
                </w:tcPr>
                <w:p w14:paraId="46618157">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喷漆柜</w:t>
                  </w:r>
                </w:p>
              </w:tc>
              <w:tc>
                <w:tcPr>
                  <w:tcW w:w="697" w:type="dxa"/>
                  <w:vAlign w:val="center"/>
                </w:tcPr>
                <w:p w14:paraId="25ABB19C">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面漆</w:t>
                  </w:r>
                </w:p>
              </w:tc>
              <w:tc>
                <w:tcPr>
                  <w:tcW w:w="697" w:type="dxa"/>
                  <w:vAlign w:val="center"/>
                </w:tcPr>
                <w:p w14:paraId="46C980B1">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698" w:type="dxa"/>
                  <w:vAlign w:val="center"/>
                </w:tcPr>
                <w:p w14:paraId="3B5AEA0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698" w:type="dxa"/>
                  <w:vAlign w:val="center"/>
                </w:tcPr>
                <w:p w14:paraId="29D105AE">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13</w:t>
                  </w:r>
                </w:p>
              </w:tc>
              <w:tc>
                <w:tcPr>
                  <w:tcW w:w="698" w:type="dxa"/>
                  <w:vAlign w:val="center"/>
                </w:tcPr>
                <w:p w14:paraId="52D3B6B5">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129</w:t>
                  </w:r>
                </w:p>
              </w:tc>
              <w:tc>
                <w:tcPr>
                  <w:tcW w:w="698" w:type="dxa"/>
                  <w:vAlign w:val="center"/>
                </w:tcPr>
                <w:p w14:paraId="1F15171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p>
              </w:tc>
              <w:tc>
                <w:tcPr>
                  <w:tcW w:w="698" w:type="dxa"/>
                  <w:vAlign w:val="center"/>
                </w:tcPr>
                <w:p w14:paraId="0722D4CD">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3</w:t>
                  </w:r>
                </w:p>
              </w:tc>
              <w:tc>
                <w:tcPr>
                  <w:tcW w:w="698" w:type="dxa"/>
                  <w:vAlign w:val="center"/>
                </w:tcPr>
                <w:p w14:paraId="5E4A65FB">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16</w:t>
                  </w:r>
                </w:p>
              </w:tc>
              <w:tc>
                <w:tcPr>
                  <w:tcW w:w="698" w:type="dxa"/>
                  <w:vAlign w:val="center"/>
                </w:tcPr>
                <w:p w14:paraId="67374026">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159</w:t>
                  </w:r>
                </w:p>
              </w:tc>
            </w:tr>
            <w:tr w14:paraId="3859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02324821">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w:t>
                  </w:r>
                </w:p>
              </w:tc>
              <w:tc>
                <w:tcPr>
                  <w:tcW w:w="697" w:type="dxa"/>
                  <w:vMerge w:val="continue"/>
                  <w:vAlign w:val="center"/>
                </w:tcPr>
                <w:p w14:paraId="5E05B93C">
                  <w:pPr>
                    <w:jc w:val="center"/>
                    <w:rPr>
                      <w:rFonts w:ascii="Times New Roman" w:hAnsi="Times New Roman" w:eastAsia="宋体" w:cs="Times New Roman"/>
                      <w:color w:val="000000" w:themeColor="text1"/>
                      <w:szCs w:val="21"/>
                      <w14:textFill>
                        <w14:solidFill>
                          <w14:schemeClr w14:val="tx1"/>
                        </w14:solidFill>
                      </w14:textFill>
                    </w:rPr>
                  </w:pPr>
                </w:p>
              </w:tc>
              <w:tc>
                <w:tcPr>
                  <w:tcW w:w="697" w:type="dxa"/>
                  <w:vAlign w:val="center"/>
                </w:tcPr>
                <w:p w14:paraId="1CA019D2">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面漆稀释剂</w:t>
                  </w:r>
                </w:p>
              </w:tc>
              <w:tc>
                <w:tcPr>
                  <w:tcW w:w="697" w:type="dxa"/>
                  <w:vAlign w:val="center"/>
                </w:tcPr>
                <w:p w14:paraId="450B561F">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0.3</w:t>
                  </w:r>
                </w:p>
              </w:tc>
              <w:tc>
                <w:tcPr>
                  <w:tcW w:w="698" w:type="dxa"/>
                  <w:vAlign w:val="center"/>
                </w:tcPr>
                <w:p w14:paraId="5EF3AC04">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w:t>
                  </w:r>
                  <w:r>
                    <w:rPr>
                      <w:rFonts w:hint="eastAsia" w:ascii="Times New Roman" w:hAnsi="Times New Roman" w:eastAsia="宋体" w:cs="Times New Roman"/>
                      <w:color w:val="000000" w:themeColor="text1"/>
                      <w:szCs w:val="21"/>
                      <w:lang w:val="en-US" w:eastAsia="zh-CN"/>
                      <w14:textFill>
                        <w14:solidFill>
                          <w14:schemeClr w14:val="tx1"/>
                        </w14:solidFill>
                      </w14:textFill>
                    </w:rPr>
                    <w:t>02</w:t>
                  </w:r>
                </w:p>
              </w:tc>
              <w:tc>
                <w:tcPr>
                  <w:tcW w:w="698" w:type="dxa"/>
                  <w:vAlign w:val="center"/>
                </w:tcPr>
                <w:p w14:paraId="451AFD9A">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70</w:t>
                  </w:r>
                </w:p>
              </w:tc>
              <w:tc>
                <w:tcPr>
                  <w:tcW w:w="698" w:type="dxa"/>
                  <w:vAlign w:val="center"/>
                </w:tcPr>
                <w:p w14:paraId="377FE938">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57</w:t>
                  </w:r>
                </w:p>
              </w:tc>
              <w:tc>
                <w:tcPr>
                  <w:tcW w:w="698" w:type="dxa"/>
                  <w:vAlign w:val="center"/>
                </w:tcPr>
                <w:p w14:paraId="4122CEE1">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12</w:t>
                  </w:r>
                </w:p>
              </w:tc>
              <w:tc>
                <w:tcPr>
                  <w:tcW w:w="698" w:type="dxa"/>
                  <w:vAlign w:val="center"/>
                </w:tcPr>
                <w:p w14:paraId="6F6756CA">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1</w:t>
                  </w:r>
                </w:p>
              </w:tc>
              <w:tc>
                <w:tcPr>
                  <w:tcW w:w="698" w:type="dxa"/>
                  <w:vAlign w:val="center"/>
                </w:tcPr>
                <w:p w14:paraId="6A79876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8</w:t>
                  </w:r>
                  <w:r>
                    <w:rPr>
                      <w:rFonts w:ascii="Times New Roman" w:hAnsi="Times New Roman" w:eastAsia="宋体" w:cs="Times New Roman"/>
                      <w:color w:val="000000" w:themeColor="text1"/>
                      <w:szCs w:val="21"/>
                      <w14:textFill>
                        <w14:solidFill>
                          <w14:schemeClr w14:val="tx1"/>
                        </w14:solidFill>
                      </w14:textFill>
                    </w:rPr>
                    <w:t>2.3</w:t>
                  </w:r>
                </w:p>
              </w:tc>
              <w:tc>
                <w:tcPr>
                  <w:tcW w:w="698" w:type="dxa"/>
                  <w:vAlign w:val="center"/>
                </w:tcPr>
                <w:p w14:paraId="534C7CB8">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067</w:t>
                  </w:r>
                </w:p>
              </w:tc>
            </w:tr>
            <w:tr w14:paraId="33C2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0" w:type="dxa"/>
                  <w:gridSpan w:val="3"/>
                  <w:vAlign w:val="center"/>
                </w:tcPr>
                <w:p w14:paraId="5ABCCBA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合计</w:t>
                  </w:r>
                </w:p>
              </w:tc>
              <w:tc>
                <w:tcPr>
                  <w:tcW w:w="697" w:type="dxa"/>
                  <w:vAlign w:val="center"/>
                </w:tcPr>
                <w:p w14:paraId="17DD9E6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698" w:type="dxa"/>
                  <w:vAlign w:val="center"/>
                </w:tcPr>
                <w:p w14:paraId="2C11F1D7">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w:t>
                  </w:r>
                  <w:r>
                    <w:rPr>
                      <w:rFonts w:hint="eastAsia" w:ascii="Times New Roman" w:hAnsi="Times New Roman" w:eastAsia="宋体" w:cs="Times New Roman"/>
                      <w:color w:val="000000" w:themeColor="text1"/>
                      <w:szCs w:val="21"/>
                      <w:lang w:val="en-US" w:eastAsia="zh-CN"/>
                      <w14:textFill>
                        <w14:solidFill>
                          <w14:schemeClr w14:val="tx1"/>
                        </w14:solidFill>
                      </w14:textFill>
                    </w:rPr>
                    <w:t>02</w:t>
                  </w:r>
                </w:p>
              </w:tc>
              <w:tc>
                <w:tcPr>
                  <w:tcW w:w="698" w:type="dxa"/>
                  <w:vAlign w:val="center"/>
                </w:tcPr>
                <w:p w14:paraId="47778F96">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698" w:type="dxa"/>
                  <w:vAlign w:val="center"/>
                </w:tcPr>
                <w:p w14:paraId="50CC3619">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186</w:t>
                  </w:r>
                </w:p>
              </w:tc>
              <w:tc>
                <w:tcPr>
                  <w:tcW w:w="698" w:type="dxa"/>
                  <w:vAlign w:val="center"/>
                </w:tcPr>
                <w:p w14:paraId="4544374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698" w:type="dxa"/>
                  <w:vAlign w:val="center"/>
                </w:tcPr>
                <w:p w14:paraId="650A2CC2">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4</w:t>
                  </w:r>
                </w:p>
              </w:tc>
              <w:tc>
                <w:tcPr>
                  <w:tcW w:w="698" w:type="dxa"/>
                  <w:vAlign w:val="center"/>
                </w:tcPr>
                <w:p w14:paraId="5263F9A0">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698" w:type="dxa"/>
                  <w:vAlign w:val="center"/>
                </w:tcPr>
                <w:p w14:paraId="606C3F39">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226</w:t>
                  </w:r>
                </w:p>
              </w:tc>
            </w:tr>
          </w:tbl>
          <w:p w14:paraId="5F8E872D">
            <w:pPr>
              <w:tabs>
                <w:tab w:val="left" w:pos="1890"/>
                <w:tab w:val="left" w:pos="2940"/>
                <w:tab w:val="center" w:pos="4052"/>
              </w:tabs>
              <w:jc w:val="left"/>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注：苯系物包括甲苯、二甲苯、乙苯</w:t>
            </w:r>
          </w:p>
          <w:p w14:paraId="0EB4DB02">
            <w:pPr>
              <w:tabs>
                <w:tab w:val="left" w:pos="1890"/>
                <w:tab w:val="left" w:pos="2940"/>
                <w:tab w:val="center" w:pos="4052"/>
              </w:tabs>
              <w:ind w:firstLine="420" w:firstLineChars="200"/>
              <w:jc w:val="left"/>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ab/>
            </w:r>
            <w:r>
              <w:rPr>
                <w:rFonts w:ascii="Times New Roman" w:hAnsi="Times New Roman" w:eastAsia="宋体" w:cs="Times New Roman"/>
                <w:b/>
                <w:bCs/>
                <w:color w:val="000000" w:themeColor="text1"/>
                <w:szCs w:val="21"/>
                <w14:textFill>
                  <w14:solidFill>
                    <w14:schemeClr w14:val="tx1"/>
                  </w14:solidFill>
                </w14:textFill>
              </w:rPr>
              <w:t>表</w:t>
            </w:r>
            <w:r>
              <w:rPr>
                <w:rFonts w:hint="eastAsia" w:ascii="Times New Roman" w:hAnsi="Times New Roman" w:eastAsia="宋体" w:cs="Times New Roman"/>
                <w:b/>
                <w:bCs/>
                <w:color w:val="000000" w:themeColor="text1"/>
                <w:szCs w:val="21"/>
                <w14:textFill>
                  <w14:solidFill>
                    <w14:schemeClr w14:val="tx1"/>
                  </w14:solidFill>
                </w14:textFill>
              </w:rPr>
              <w:t>4</w:t>
            </w:r>
            <w:r>
              <w:rPr>
                <w:rFonts w:ascii="Times New Roman" w:hAnsi="Times New Roman" w:eastAsia="宋体" w:cs="Times New Roman"/>
                <w:b/>
                <w:bCs/>
                <w:color w:val="000000" w:themeColor="text1"/>
                <w:szCs w:val="21"/>
                <w14:textFill>
                  <w14:solidFill>
                    <w14:schemeClr w14:val="tx1"/>
                  </w14:solidFill>
                </w14:textFill>
              </w:rPr>
              <w:t>-2</w:t>
            </w:r>
            <w:r>
              <w:rPr>
                <w:rFonts w:hint="eastAsia" w:ascii="Times New Roman" w:hAnsi="Times New Roman" w:eastAsia="宋体" w:cs="Times New Roman"/>
                <w:b/>
                <w:bCs/>
                <w:color w:val="000000" w:themeColor="text1"/>
                <w:szCs w:val="21"/>
                <w14:textFill>
                  <w14:solidFill>
                    <w14:schemeClr w14:val="tx1"/>
                  </w14:solidFill>
                </w14:textFill>
              </w:rPr>
              <w:t xml:space="preserve"> 喷漆工序有机废气非甲烷总烃产生量</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4"/>
              <w:gridCol w:w="2558"/>
              <w:gridCol w:w="2561"/>
            </w:tblGrid>
            <w:tr w14:paraId="42B3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5" w:type="dxa"/>
                  <w:vMerge w:val="restart"/>
                  <w:vAlign w:val="center"/>
                </w:tcPr>
                <w:p w14:paraId="0A76F8BD">
                  <w:pPr>
                    <w:spacing w:line="20" w:lineRule="atLeast"/>
                    <w:jc w:val="center"/>
                    <w:rPr>
                      <w:rFonts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名称</w:t>
                  </w:r>
                </w:p>
              </w:tc>
              <w:tc>
                <w:tcPr>
                  <w:tcW w:w="3838" w:type="dxa"/>
                  <w:gridSpan w:val="2"/>
                  <w:vAlign w:val="center"/>
                </w:tcPr>
                <w:p w14:paraId="22BA4945">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面漆（调和后）</w:t>
                  </w:r>
                </w:p>
              </w:tc>
            </w:tr>
            <w:tr w14:paraId="7AE6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5" w:type="dxa"/>
                  <w:vMerge w:val="continue"/>
                  <w:vAlign w:val="center"/>
                </w:tcPr>
                <w:p w14:paraId="6E6E6710">
                  <w:pPr>
                    <w:spacing w:line="20" w:lineRule="atLeast"/>
                    <w:jc w:val="center"/>
                    <w:rPr>
                      <w:rFonts w:ascii="宋体" w:hAnsi="宋体" w:eastAsia="宋体" w:cs="宋体"/>
                      <w:bCs/>
                      <w:color w:val="000000" w:themeColor="text1"/>
                      <w:szCs w:val="21"/>
                      <w14:textFill>
                        <w14:solidFill>
                          <w14:schemeClr w14:val="tx1"/>
                        </w14:solidFill>
                      </w14:textFill>
                    </w:rPr>
                  </w:pPr>
                </w:p>
              </w:tc>
              <w:tc>
                <w:tcPr>
                  <w:tcW w:w="1918" w:type="dxa"/>
                  <w:vAlign w:val="center"/>
                </w:tcPr>
                <w:p w14:paraId="018F11D4">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占比</w:t>
                  </w:r>
                  <w:r>
                    <w:rPr>
                      <w:rFonts w:ascii="Times New Roman" w:hAnsi="Times New Roman" w:eastAsia="宋体" w:cs="Times New Roman"/>
                      <w:bCs/>
                      <w:color w:val="000000" w:themeColor="text1"/>
                      <w:szCs w:val="21"/>
                      <w14:textFill>
                        <w14:solidFill>
                          <w14:schemeClr w14:val="tx1"/>
                        </w14:solidFill>
                      </w14:textFill>
                    </w:rPr>
                    <w:t>%</w:t>
                  </w:r>
                </w:p>
              </w:tc>
              <w:tc>
                <w:tcPr>
                  <w:tcW w:w="1920" w:type="dxa"/>
                  <w:vAlign w:val="center"/>
                </w:tcPr>
                <w:p w14:paraId="68ABA03F">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用量</w:t>
                  </w:r>
                  <w:r>
                    <w:rPr>
                      <w:rFonts w:ascii="Times New Roman" w:hAnsi="Times New Roman" w:eastAsia="宋体" w:cs="Times New Roman"/>
                      <w:bCs/>
                      <w:color w:val="000000" w:themeColor="text1"/>
                      <w:szCs w:val="21"/>
                      <w14:textFill>
                        <w14:solidFill>
                          <w14:schemeClr w14:val="tx1"/>
                        </w14:solidFill>
                      </w14:textFill>
                    </w:rPr>
                    <w:t>t/a</w:t>
                  </w:r>
                </w:p>
              </w:tc>
            </w:tr>
            <w:tr w14:paraId="77A1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5" w:type="dxa"/>
                  <w:vAlign w:val="center"/>
                </w:tcPr>
                <w:p w14:paraId="78165639">
                  <w:pPr>
                    <w:spacing w:line="20" w:lineRule="atLeast"/>
                    <w:jc w:val="center"/>
                    <w:rPr>
                      <w:rFonts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使用量</w:t>
                  </w:r>
                </w:p>
              </w:tc>
              <w:tc>
                <w:tcPr>
                  <w:tcW w:w="1918" w:type="dxa"/>
                  <w:vAlign w:val="center"/>
                </w:tcPr>
                <w:p w14:paraId="34B77436">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w:t>
                  </w:r>
                </w:p>
              </w:tc>
              <w:tc>
                <w:tcPr>
                  <w:tcW w:w="1920" w:type="dxa"/>
                  <w:vAlign w:val="center"/>
                </w:tcPr>
                <w:p w14:paraId="7CF21D3F">
                  <w:pPr>
                    <w:spacing w:line="20" w:lineRule="atLeast"/>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1.073</w:t>
                  </w:r>
                </w:p>
              </w:tc>
            </w:tr>
            <w:tr w14:paraId="1ECA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5" w:type="dxa"/>
                  <w:vAlign w:val="center"/>
                </w:tcPr>
                <w:p w14:paraId="7A2BF6E2">
                  <w:pPr>
                    <w:spacing w:line="20" w:lineRule="atLeast"/>
                    <w:jc w:val="center"/>
                    <w:rPr>
                      <w:rFonts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固体份</w:t>
                  </w:r>
                </w:p>
              </w:tc>
              <w:tc>
                <w:tcPr>
                  <w:tcW w:w="1918" w:type="dxa"/>
                  <w:vAlign w:val="center"/>
                </w:tcPr>
                <w:p w14:paraId="77A862F4">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67.92</w:t>
                  </w:r>
                </w:p>
              </w:tc>
              <w:tc>
                <w:tcPr>
                  <w:tcW w:w="1920" w:type="dxa"/>
                  <w:vAlign w:val="center"/>
                </w:tcPr>
                <w:p w14:paraId="11E92C58">
                  <w:pPr>
                    <w:spacing w:line="20" w:lineRule="atLeast"/>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729</w:t>
                  </w:r>
                </w:p>
              </w:tc>
            </w:tr>
            <w:tr w14:paraId="6F4C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5" w:type="dxa"/>
                  <w:vAlign w:val="center"/>
                </w:tcPr>
                <w:p w14:paraId="531D5078">
                  <w:pPr>
                    <w:spacing w:line="20" w:lineRule="atLeast"/>
                    <w:jc w:val="center"/>
                    <w:rPr>
                      <w:rFonts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有机挥发份</w:t>
                  </w:r>
                </w:p>
              </w:tc>
              <w:tc>
                <w:tcPr>
                  <w:tcW w:w="1918" w:type="dxa"/>
                  <w:vAlign w:val="center"/>
                </w:tcPr>
                <w:p w14:paraId="2D3E9726">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32.08</w:t>
                  </w:r>
                </w:p>
              </w:tc>
              <w:tc>
                <w:tcPr>
                  <w:tcW w:w="1920" w:type="dxa"/>
                  <w:vAlign w:val="center"/>
                </w:tcPr>
                <w:p w14:paraId="55395F73">
                  <w:pPr>
                    <w:spacing w:line="20" w:lineRule="atLeast"/>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344</w:t>
                  </w:r>
                </w:p>
              </w:tc>
            </w:tr>
            <w:tr w14:paraId="4C5F9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5" w:type="dxa"/>
                  <w:vAlign w:val="center"/>
                </w:tcPr>
                <w:p w14:paraId="6DAE10D0">
                  <w:pPr>
                    <w:spacing w:line="20" w:lineRule="atLeast"/>
                    <w:jc w:val="center"/>
                    <w:rPr>
                      <w:rFonts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苯系物</w:t>
                  </w:r>
                </w:p>
              </w:tc>
              <w:tc>
                <w:tcPr>
                  <w:tcW w:w="1918" w:type="dxa"/>
                  <w:vAlign w:val="center"/>
                </w:tcPr>
                <w:p w14:paraId="6EDBF790">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w:t>
                  </w:r>
                </w:p>
              </w:tc>
              <w:tc>
                <w:tcPr>
                  <w:tcW w:w="1920" w:type="dxa"/>
                  <w:vAlign w:val="center"/>
                </w:tcPr>
                <w:p w14:paraId="07B54F12">
                  <w:pPr>
                    <w:spacing w:line="20" w:lineRule="atLeast"/>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226</w:t>
                  </w:r>
                </w:p>
              </w:tc>
            </w:tr>
            <w:tr w14:paraId="63A3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5" w:type="dxa"/>
                  <w:vAlign w:val="center"/>
                </w:tcPr>
                <w:p w14:paraId="0A8EC824">
                  <w:pPr>
                    <w:spacing w:line="20" w:lineRule="atLeast"/>
                    <w:jc w:val="center"/>
                    <w:rPr>
                      <w:rFonts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szCs w:val="21"/>
                      <w14:textFill>
                        <w14:solidFill>
                          <w14:schemeClr w14:val="tx1"/>
                        </w14:solidFill>
                      </w14:textFill>
                    </w:rPr>
                    <w:t>非甲烷总烃合计</w:t>
                  </w:r>
                </w:p>
              </w:tc>
              <w:tc>
                <w:tcPr>
                  <w:tcW w:w="1918" w:type="dxa"/>
                  <w:vAlign w:val="center"/>
                </w:tcPr>
                <w:p w14:paraId="1BEF7094">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w:t>
                  </w:r>
                </w:p>
              </w:tc>
              <w:tc>
                <w:tcPr>
                  <w:tcW w:w="1920" w:type="dxa"/>
                  <w:vAlign w:val="center"/>
                </w:tcPr>
                <w:p w14:paraId="4BBEA313">
                  <w:pPr>
                    <w:spacing w:line="20" w:lineRule="atLeast"/>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344</w:t>
                  </w:r>
                </w:p>
              </w:tc>
            </w:tr>
          </w:tbl>
          <w:p w14:paraId="3C67CC5C">
            <w:pPr>
              <w:jc w:val="left"/>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注：</w:t>
            </w:r>
            <w:r>
              <w:rPr>
                <w:rFonts w:hint="eastAsia" w:ascii="Times New Roman" w:hAnsi="Times New Roman" w:eastAsia="宋体" w:cs="Times New Roman"/>
                <w:b/>
                <w:bCs/>
                <w:color w:val="000000" w:themeColor="text1"/>
                <w:szCs w:val="21"/>
                <w14:textFill>
                  <w14:solidFill>
                    <w14:schemeClr w14:val="tx1"/>
                  </w14:solidFill>
                </w14:textFill>
              </w:rPr>
              <w:t>面漆的配比A：灰色液体（面漆），B：无色透明液体（稀释剂）；A∶B=12.1∶1（m/m），调配后面漆密度为（12.1+1）/</w:t>
            </w:r>
            <w:r>
              <w:rPr>
                <w:rFonts w:hint="eastAsia" w:ascii="Times New Roman" w:hAnsi="Times New Roman" w:eastAsia="宋体" w:cs="Times New Roman"/>
                <w:b/>
                <w:bCs/>
                <w:color w:val="000000" w:themeColor="text1"/>
                <w:szCs w:val="21"/>
                <w:lang w:eastAsia="zh-CN"/>
                <w14:textFill>
                  <w14:solidFill>
                    <w14:schemeClr w14:val="tx1"/>
                  </w14:solidFill>
                </w14:textFill>
              </w:rPr>
              <w:t>（</w:t>
            </w:r>
            <w:r>
              <w:rPr>
                <w:rFonts w:hint="eastAsia" w:ascii="Times New Roman" w:hAnsi="Times New Roman" w:eastAsia="宋体" w:cs="Times New Roman"/>
                <w:b/>
                <w:bCs/>
                <w:color w:val="000000" w:themeColor="text1"/>
                <w:szCs w:val="21"/>
                <w14:textFill>
                  <w14:solidFill>
                    <w14:schemeClr w14:val="tx1"/>
                  </w14:solidFill>
                </w14:textFill>
              </w:rPr>
              <w:t>12.1/1.06+1/0.86</w:t>
            </w:r>
            <w:r>
              <w:rPr>
                <w:rFonts w:hint="eastAsia" w:ascii="Times New Roman" w:hAnsi="Times New Roman" w:eastAsia="宋体" w:cs="Times New Roman"/>
                <w:b/>
                <w:bCs/>
                <w:color w:val="000000" w:themeColor="text1"/>
                <w:szCs w:val="21"/>
                <w:lang w:eastAsia="zh-CN"/>
                <w14:textFill>
                  <w14:solidFill>
                    <w14:schemeClr w14:val="tx1"/>
                  </w14:solidFill>
                </w14:textFill>
              </w:rPr>
              <w:t>）</w:t>
            </w:r>
            <w:r>
              <w:rPr>
                <w:rFonts w:hint="eastAsia" w:ascii="Times New Roman" w:hAnsi="Times New Roman" w:eastAsia="宋体" w:cs="Times New Roman"/>
                <w:b/>
                <w:bCs/>
                <w:color w:val="000000" w:themeColor="text1"/>
                <w:szCs w:val="21"/>
                <w14:textFill>
                  <w14:solidFill>
                    <w14:schemeClr w14:val="tx1"/>
                  </w14:solidFill>
                </w14:textFill>
              </w:rPr>
              <w:t>=1.041g/cm</w:t>
            </w:r>
            <w:r>
              <w:rPr>
                <w:rFonts w:hint="eastAsia" w:ascii="Times New Roman" w:hAnsi="Times New Roman" w:eastAsia="宋体" w:cs="Times New Roman"/>
                <w:b/>
                <w:bCs/>
                <w:color w:val="000000" w:themeColor="text1"/>
                <w:szCs w:val="21"/>
                <w:vertAlign w:val="superscript"/>
                <w14:textFill>
                  <w14:solidFill>
                    <w14:schemeClr w14:val="tx1"/>
                  </w14:solidFill>
                </w14:textFill>
              </w:rPr>
              <w:t>3</w:t>
            </w:r>
            <w:r>
              <w:rPr>
                <w:rFonts w:hint="eastAsia" w:ascii="Times New Roman" w:hAnsi="Times New Roman" w:eastAsia="宋体" w:cs="Times New Roman"/>
                <w:b/>
                <w:bCs/>
                <w:color w:val="000000" w:themeColor="text1"/>
                <w:szCs w:val="21"/>
                <w14:textFill>
                  <w14:solidFill>
                    <w14:schemeClr w14:val="tx1"/>
                  </w14:solidFill>
                </w14:textFill>
              </w:rPr>
              <w:t>，面漆有机挥发性份占比计算（334÷1044）×100%=32.08%，则面漆固体份1-32.08%=67.92%</w:t>
            </w:r>
          </w:p>
          <w:p w14:paraId="7D08C315">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表</w:t>
            </w:r>
            <w:r>
              <w:rPr>
                <w:rFonts w:hint="eastAsia" w:ascii="Times New Roman" w:hAnsi="Times New Roman" w:eastAsia="宋体" w:cs="Times New Roman"/>
                <w:b/>
                <w:bCs/>
                <w:color w:val="000000" w:themeColor="text1"/>
                <w:szCs w:val="21"/>
                <w14:textFill>
                  <w14:solidFill>
                    <w14:schemeClr w14:val="tx1"/>
                  </w14:solidFill>
                </w14:textFill>
              </w:rPr>
              <w:t>4</w:t>
            </w:r>
            <w:r>
              <w:rPr>
                <w:rFonts w:ascii="Times New Roman" w:hAnsi="Times New Roman" w:eastAsia="宋体" w:cs="Times New Roman"/>
                <w:b/>
                <w:bCs/>
                <w:color w:val="000000" w:themeColor="text1"/>
                <w:szCs w:val="21"/>
                <w14:textFill>
                  <w14:solidFill>
                    <w14:schemeClr w14:val="tx1"/>
                  </w14:solidFill>
                </w14:textFill>
              </w:rPr>
              <w:t>-3 喷枪清洗工序有机废气产生量</w:t>
            </w: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6"/>
              <w:gridCol w:w="1919"/>
              <w:gridCol w:w="1919"/>
              <w:gridCol w:w="1919"/>
            </w:tblGrid>
            <w:tr w14:paraId="6886F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6" w:type="dxa"/>
                  <w:vAlign w:val="center"/>
                </w:tcPr>
                <w:p w14:paraId="58B4FBB3">
                  <w:pPr>
                    <w:spacing w:line="30" w:lineRule="atLeast"/>
                    <w:jc w:val="center"/>
                    <w:rPr>
                      <w:rFonts w:cs="Times New Roman" w:asciiTheme="minorEastAsia" w:hAnsiTheme="minorEastAsia"/>
                      <w:bCs/>
                      <w:color w:val="000000" w:themeColor="text1"/>
                      <w:kern w:val="0"/>
                      <w:szCs w:val="21"/>
                      <w14:textFill>
                        <w14:solidFill>
                          <w14:schemeClr w14:val="tx1"/>
                        </w14:solidFill>
                      </w14:textFill>
                    </w:rPr>
                  </w:pPr>
                  <w:r>
                    <w:rPr>
                      <w:rFonts w:cs="Times New Roman" w:asciiTheme="minorEastAsia" w:hAnsiTheme="minorEastAsia"/>
                      <w:bCs/>
                      <w:color w:val="000000" w:themeColor="text1"/>
                      <w:kern w:val="0"/>
                      <w:szCs w:val="21"/>
                      <w14:textFill>
                        <w14:solidFill>
                          <w14:schemeClr w14:val="tx1"/>
                        </w14:solidFill>
                      </w14:textFill>
                    </w:rPr>
                    <w:t>名称</w:t>
                  </w:r>
                </w:p>
              </w:tc>
              <w:tc>
                <w:tcPr>
                  <w:tcW w:w="5757" w:type="dxa"/>
                  <w:gridSpan w:val="3"/>
                  <w:vAlign w:val="center"/>
                </w:tcPr>
                <w:p w14:paraId="3228F68B">
                  <w:pPr>
                    <w:spacing w:line="30" w:lineRule="atLeast"/>
                    <w:jc w:val="center"/>
                    <w:rPr>
                      <w:rFonts w:cs="Times New Roman" w:asciiTheme="minorEastAsia" w:hAnsiTheme="minorEastAsia"/>
                      <w:bCs/>
                      <w:color w:val="000000" w:themeColor="text1"/>
                      <w:kern w:val="0"/>
                      <w:szCs w:val="21"/>
                      <w14:textFill>
                        <w14:solidFill>
                          <w14:schemeClr w14:val="tx1"/>
                        </w14:solidFill>
                      </w14:textFill>
                    </w:rPr>
                  </w:pPr>
                  <w:r>
                    <w:rPr>
                      <w:rFonts w:cs="Times New Roman" w:asciiTheme="minorEastAsia" w:hAnsiTheme="minorEastAsia"/>
                      <w:bCs/>
                      <w:color w:val="000000" w:themeColor="text1"/>
                      <w:kern w:val="0"/>
                      <w:szCs w:val="21"/>
                      <w14:textFill>
                        <w14:solidFill>
                          <w14:schemeClr w14:val="tx1"/>
                        </w14:solidFill>
                      </w14:textFill>
                    </w:rPr>
                    <w:t>清洗剂</w:t>
                  </w:r>
                </w:p>
              </w:tc>
            </w:tr>
            <w:tr w14:paraId="0FA8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6" w:type="dxa"/>
                  <w:vMerge w:val="restart"/>
                  <w:vAlign w:val="center"/>
                </w:tcPr>
                <w:p w14:paraId="1CC95542">
                  <w:pPr>
                    <w:spacing w:line="30" w:lineRule="atLeast"/>
                    <w:jc w:val="center"/>
                    <w:rPr>
                      <w:rFonts w:cs="Times New Roman" w:asciiTheme="minorEastAsia" w:hAnsiTheme="minorEastAsia"/>
                      <w:bCs/>
                      <w:color w:val="000000" w:themeColor="text1"/>
                      <w:kern w:val="0"/>
                      <w:szCs w:val="21"/>
                      <w14:textFill>
                        <w14:solidFill>
                          <w14:schemeClr w14:val="tx1"/>
                        </w14:solidFill>
                      </w14:textFill>
                    </w:rPr>
                  </w:pPr>
                  <w:r>
                    <w:rPr>
                      <w:rFonts w:cs="Times New Roman" w:asciiTheme="minorEastAsia" w:hAnsiTheme="minorEastAsia"/>
                      <w:bCs/>
                      <w:color w:val="000000" w:themeColor="text1"/>
                      <w:kern w:val="0"/>
                      <w:szCs w:val="21"/>
                      <w14:textFill>
                        <w14:solidFill>
                          <w14:schemeClr w14:val="tx1"/>
                        </w14:solidFill>
                      </w14:textFill>
                    </w:rPr>
                    <w:t>有机挥发份</w:t>
                  </w:r>
                </w:p>
              </w:tc>
              <w:tc>
                <w:tcPr>
                  <w:tcW w:w="1919" w:type="dxa"/>
                  <w:vAlign w:val="center"/>
                </w:tcPr>
                <w:p w14:paraId="72D87F1E">
                  <w:pPr>
                    <w:spacing w:line="30" w:lineRule="atLeast"/>
                    <w:jc w:val="center"/>
                    <w:rPr>
                      <w:rFonts w:ascii="Times New Roman" w:hAnsi="Times New Roman" w:cs="Times New Roman"/>
                      <w:bCs/>
                      <w:color w:val="000000" w:themeColor="text1"/>
                      <w:kern w:val="0"/>
                      <w:szCs w:val="21"/>
                      <w14:textFill>
                        <w14:solidFill>
                          <w14:schemeClr w14:val="tx1"/>
                        </w14:solidFill>
                      </w14:textFill>
                    </w:rPr>
                  </w:pPr>
                  <w:r>
                    <w:rPr>
                      <w:rFonts w:ascii="Times New Roman" w:hAnsi="Times New Roman" w:cs="Times New Roman"/>
                      <w:bCs/>
                      <w:color w:val="000000" w:themeColor="text1"/>
                      <w:kern w:val="0"/>
                      <w:szCs w:val="21"/>
                      <w14:textFill>
                        <w14:solidFill>
                          <w14:schemeClr w14:val="tx1"/>
                        </w14:solidFill>
                      </w14:textFill>
                    </w:rPr>
                    <w:t>占比%</w:t>
                  </w:r>
                </w:p>
              </w:tc>
              <w:tc>
                <w:tcPr>
                  <w:tcW w:w="1919" w:type="dxa"/>
                  <w:vAlign w:val="center"/>
                </w:tcPr>
                <w:p w14:paraId="7691A04D">
                  <w:pPr>
                    <w:spacing w:line="30" w:lineRule="atLeast"/>
                    <w:jc w:val="center"/>
                    <w:rPr>
                      <w:rFonts w:ascii="Times New Roman" w:hAnsi="Times New Roman" w:cs="Times New Roman"/>
                      <w:bCs/>
                      <w:color w:val="000000" w:themeColor="text1"/>
                      <w:kern w:val="0"/>
                      <w:szCs w:val="21"/>
                      <w14:textFill>
                        <w14:solidFill>
                          <w14:schemeClr w14:val="tx1"/>
                        </w14:solidFill>
                      </w14:textFill>
                    </w:rPr>
                  </w:pPr>
                  <w:r>
                    <w:rPr>
                      <w:rFonts w:ascii="Times New Roman" w:hAnsi="Times New Roman" w:cs="Times New Roman"/>
                      <w:bCs/>
                      <w:color w:val="000000" w:themeColor="text1"/>
                      <w:kern w:val="0"/>
                      <w:szCs w:val="21"/>
                      <w14:textFill>
                        <w14:solidFill>
                          <w14:schemeClr w14:val="tx1"/>
                        </w14:solidFill>
                      </w14:textFill>
                    </w:rPr>
                    <w:t>用量t/a</w:t>
                  </w:r>
                </w:p>
              </w:tc>
              <w:tc>
                <w:tcPr>
                  <w:tcW w:w="1919" w:type="dxa"/>
                  <w:vAlign w:val="center"/>
                </w:tcPr>
                <w:p w14:paraId="4BBF944C">
                  <w:pPr>
                    <w:spacing w:line="30" w:lineRule="atLeast"/>
                    <w:jc w:val="center"/>
                    <w:rPr>
                      <w:rFonts w:ascii="Times New Roman" w:hAnsi="Times New Roman" w:cs="Times New Roman"/>
                      <w:bCs/>
                      <w:color w:val="000000" w:themeColor="text1"/>
                      <w:kern w:val="0"/>
                      <w:szCs w:val="21"/>
                      <w14:textFill>
                        <w14:solidFill>
                          <w14:schemeClr w14:val="tx1"/>
                        </w14:solidFill>
                      </w14:textFill>
                    </w:rPr>
                  </w:pPr>
                  <w:r>
                    <w:rPr>
                      <w:rFonts w:ascii="Times New Roman" w:hAnsi="Times New Roman" w:cs="Times New Roman"/>
                      <w:bCs/>
                      <w:color w:val="000000" w:themeColor="text1"/>
                      <w:kern w:val="0"/>
                      <w:szCs w:val="21"/>
                      <w14:textFill>
                        <w14:solidFill>
                          <w14:schemeClr w14:val="tx1"/>
                        </w14:solidFill>
                      </w14:textFill>
                    </w:rPr>
                    <w:t>合计t/a</w:t>
                  </w:r>
                </w:p>
              </w:tc>
            </w:tr>
            <w:tr w14:paraId="75EB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6" w:type="dxa"/>
                  <w:vMerge w:val="continue"/>
                  <w:vAlign w:val="center"/>
                </w:tcPr>
                <w:p w14:paraId="60397B00">
                  <w:pPr>
                    <w:spacing w:line="30" w:lineRule="atLeast"/>
                    <w:jc w:val="center"/>
                    <w:rPr>
                      <w:rFonts w:cs="Times New Roman" w:asciiTheme="minorEastAsia" w:hAnsiTheme="minorEastAsia"/>
                      <w:bCs/>
                      <w:color w:val="000000" w:themeColor="text1"/>
                      <w:kern w:val="0"/>
                      <w:szCs w:val="21"/>
                      <w14:textFill>
                        <w14:solidFill>
                          <w14:schemeClr w14:val="tx1"/>
                        </w14:solidFill>
                      </w14:textFill>
                    </w:rPr>
                  </w:pPr>
                </w:p>
              </w:tc>
              <w:tc>
                <w:tcPr>
                  <w:tcW w:w="1919" w:type="dxa"/>
                  <w:vAlign w:val="center"/>
                </w:tcPr>
                <w:p w14:paraId="1830A52A">
                  <w:pPr>
                    <w:spacing w:line="30" w:lineRule="atLeast"/>
                    <w:jc w:val="center"/>
                    <w:rPr>
                      <w:rFonts w:ascii="Times New Roman" w:hAnsi="Times New Roman" w:cs="Times New Roman"/>
                      <w:bCs/>
                      <w:color w:val="000000" w:themeColor="text1"/>
                      <w:kern w:val="0"/>
                      <w:szCs w:val="21"/>
                      <w14:textFill>
                        <w14:solidFill>
                          <w14:schemeClr w14:val="tx1"/>
                        </w14:solidFill>
                      </w14:textFill>
                    </w:rPr>
                  </w:pPr>
                  <w:r>
                    <w:rPr>
                      <w:rFonts w:ascii="Times New Roman" w:hAnsi="Times New Roman" w:cs="Times New Roman"/>
                      <w:bCs/>
                      <w:color w:val="000000" w:themeColor="text1"/>
                      <w:kern w:val="0"/>
                      <w:szCs w:val="21"/>
                      <w14:textFill>
                        <w14:solidFill>
                          <w14:schemeClr w14:val="tx1"/>
                        </w14:solidFill>
                      </w14:textFill>
                    </w:rPr>
                    <w:t>100</w:t>
                  </w:r>
                </w:p>
              </w:tc>
              <w:tc>
                <w:tcPr>
                  <w:tcW w:w="1919" w:type="dxa"/>
                  <w:vAlign w:val="center"/>
                </w:tcPr>
                <w:p w14:paraId="1D3D00E5">
                  <w:pPr>
                    <w:spacing w:line="30" w:lineRule="atLeast"/>
                    <w:jc w:val="center"/>
                    <w:rPr>
                      <w:rFonts w:ascii="Times New Roman" w:hAnsi="Times New Roman" w:cs="Times New Roman"/>
                      <w:bCs/>
                      <w:color w:val="000000" w:themeColor="text1"/>
                      <w:kern w:val="0"/>
                      <w:szCs w:val="21"/>
                      <w14:textFill>
                        <w14:solidFill>
                          <w14:schemeClr w14:val="tx1"/>
                        </w14:solidFill>
                      </w14:textFill>
                    </w:rPr>
                  </w:pPr>
                  <w:r>
                    <w:rPr>
                      <w:rFonts w:ascii="Times New Roman" w:hAnsi="Times New Roman" w:cs="Times New Roman"/>
                      <w:bCs/>
                      <w:color w:val="000000" w:themeColor="text1"/>
                      <w:kern w:val="0"/>
                      <w:szCs w:val="21"/>
                      <w14:textFill>
                        <w14:solidFill>
                          <w14:schemeClr w14:val="tx1"/>
                        </w14:solidFill>
                      </w14:textFill>
                    </w:rPr>
                    <w:t>0.01</w:t>
                  </w:r>
                </w:p>
              </w:tc>
              <w:tc>
                <w:tcPr>
                  <w:tcW w:w="1919" w:type="dxa"/>
                  <w:vAlign w:val="center"/>
                </w:tcPr>
                <w:p w14:paraId="4858135A">
                  <w:pPr>
                    <w:spacing w:line="30" w:lineRule="atLeast"/>
                    <w:jc w:val="center"/>
                    <w:rPr>
                      <w:rFonts w:ascii="Times New Roman" w:hAnsi="Times New Roman" w:cs="Times New Roman"/>
                      <w:bCs/>
                      <w:color w:val="000000" w:themeColor="text1"/>
                      <w:kern w:val="0"/>
                      <w:szCs w:val="21"/>
                      <w14:textFill>
                        <w14:solidFill>
                          <w14:schemeClr w14:val="tx1"/>
                        </w14:solidFill>
                      </w14:textFill>
                    </w:rPr>
                  </w:pPr>
                  <w:r>
                    <w:rPr>
                      <w:rFonts w:ascii="Times New Roman" w:hAnsi="Times New Roman" w:cs="Times New Roman"/>
                      <w:bCs/>
                      <w:color w:val="000000" w:themeColor="text1"/>
                      <w:kern w:val="0"/>
                      <w:szCs w:val="21"/>
                      <w14:textFill>
                        <w14:solidFill>
                          <w14:schemeClr w14:val="tx1"/>
                        </w14:solidFill>
                      </w14:textFill>
                    </w:rPr>
                    <w:t>0.01</w:t>
                  </w:r>
                </w:p>
              </w:tc>
            </w:tr>
            <w:tr w14:paraId="303C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6" w:type="dxa"/>
                  <w:vAlign w:val="center"/>
                </w:tcPr>
                <w:p w14:paraId="5EE088B4">
                  <w:pPr>
                    <w:spacing w:line="30" w:lineRule="atLeast"/>
                    <w:jc w:val="center"/>
                    <w:rPr>
                      <w:rFonts w:cs="Times New Roman" w:asciiTheme="minorEastAsia" w:hAnsiTheme="minorEastAsia"/>
                      <w:bCs/>
                      <w:color w:val="000000" w:themeColor="text1"/>
                      <w:kern w:val="0"/>
                      <w:szCs w:val="21"/>
                      <w14:textFill>
                        <w14:solidFill>
                          <w14:schemeClr w14:val="tx1"/>
                        </w14:solidFill>
                      </w14:textFill>
                    </w:rPr>
                  </w:pPr>
                  <w:r>
                    <w:rPr>
                      <w:rFonts w:cs="Times New Roman" w:asciiTheme="minorEastAsia" w:hAnsiTheme="minorEastAsia"/>
                      <w:bCs/>
                      <w:color w:val="000000" w:themeColor="text1"/>
                      <w:kern w:val="0"/>
                      <w:szCs w:val="21"/>
                      <w14:textFill>
                        <w14:solidFill>
                          <w14:schemeClr w14:val="tx1"/>
                        </w14:solidFill>
                      </w14:textFill>
                    </w:rPr>
                    <w:t>非甲烷总烃</w:t>
                  </w:r>
                </w:p>
              </w:tc>
              <w:tc>
                <w:tcPr>
                  <w:tcW w:w="1919" w:type="dxa"/>
                  <w:vAlign w:val="center"/>
                </w:tcPr>
                <w:p w14:paraId="66E952C1">
                  <w:pPr>
                    <w:spacing w:line="30" w:lineRule="atLeast"/>
                    <w:jc w:val="center"/>
                    <w:rPr>
                      <w:rFonts w:ascii="Times New Roman" w:hAnsi="Times New Roman" w:cs="Times New Roman"/>
                      <w:bCs/>
                      <w:color w:val="000000" w:themeColor="text1"/>
                      <w:kern w:val="0"/>
                      <w:szCs w:val="21"/>
                      <w14:textFill>
                        <w14:solidFill>
                          <w14:schemeClr w14:val="tx1"/>
                        </w14:solidFill>
                      </w14:textFill>
                    </w:rPr>
                  </w:pPr>
                  <w:r>
                    <w:rPr>
                      <w:rFonts w:ascii="Times New Roman" w:hAnsi="Times New Roman" w:cs="Times New Roman"/>
                      <w:bCs/>
                      <w:color w:val="000000" w:themeColor="text1"/>
                      <w:kern w:val="0"/>
                      <w:szCs w:val="21"/>
                      <w14:textFill>
                        <w14:solidFill>
                          <w14:schemeClr w14:val="tx1"/>
                        </w14:solidFill>
                      </w14:textFill>
                    </w:rPr>
                    <w:t>/</w:t>
                  </w:r>
                </w:p>
              </w:tc>
              <w:tc>
                <w:tcPr>
                  <w:tcW w:w="1919" w:type="dxa"/>
                  <w:vAlign w:val="center"/>
                </w:tcPr>
                <w:p w14:paraId="2018AF80">
                  <w:pPr>
                    <w:spacing w:line="30" w:lineRule="atLeast"/>
                    <w:jc w:val="center"/>
                    <w:rPr>
                      <w:rFonts w:ascii="Times New Roman" w:hAnsi="Times New Roman" w:cs="Times New Roman"/>
                      <w:bCs/>
                      <w:color w:val="000000" w:themeColor="text1"/>
                      <w:kern w:val="0"/>
                      <w:szCs w:val="21"/>
                      <w14:textFill>
                        <w14:solidFill>
                          <w14:schemeClr w14:val="tx1"/>
                        </w14:solidFill>
                      </w14:textFill>
                    </w:rPr>
                  </w:pPr>
                  <w:r>
                    <w:rPr>
                      <w:rFonts w:ascii="Times New Roman" w:hAnsi="Times New Roman" w:cs="Times New Roman"/>
                      <w:bCs/>
                      <w:color w:val="000000" w:themeColor="text1"/>
                      <w:kern w:val="0"/>
                      <w:szCs w:val="21"/>
                      <w14:textFill>
                        <w14:solidFill>
                          <w14:schemeClr w14:val="tx1"/>
                        </w14:solidFill>
                      </w14:textFill>
                    </w:rPr>
                    <w:t>/</w:t>
                  </w:r>
                </w:p>
              </w:tc>
              <w:tc>
                <w:tcPr>
                  <w:tcW w:w="1919" w:type="dxa"/>
                  <w:vAlign w:val="center"/>
                </w:tcPr>
                <w:p w14:paraId="6E117EDD">
                  <w:pPr>
                    <w:spacing w:line="30" w:lineRule="atLeast"/>
                    <w:jc w:val="center"/>
                    <w:rPr>
                      <w:rFonts w:ascii="Times New Roman" w:hAnsi="Times New Roman" w:cs="Times New Roman"/>
                      <w:bCs/>
                      <w:color w:val="000000" w:themeColor="text1"/>
                      <w:kern w:val="0"/>
                      <w:szCs w:val="21"/>
                      <w14:textFill>
                        <w14:solidFill>
                          <w14:schemeClr w14:val="tx1"/>
                        </w14:solidFill>
                      </w14:textFill>
                    </w:rPr>
                  </w:pPr>
                  <w:r>
                    <w:rPr>
                      <w:rFonts w:ascii="Times New Roman" w:hAnsi="Times New Roman" w:cs="Times New Roman"/>
                      <w:bCs/>
                      <w:color w:val="000000" w:themeColor="text1"/>
                      <w:kern w:val="0"/>
                      <w:szCs w:val="21"/>
                      <w14:textFill>
                        <w14:solidFill>
                          <w14:schemeClr w14:val="tx1"/>
                        </w14:solidFill>
                      </w14:textFill>
                    </w:rPr>
                    <w:t>0.01</w:t>
                  </w:r>
                </w:p>
              </w:tc>
            </w:tr>
          </w:tbl>
          <w:p w14:paraId="5431055F">
            <w:pPr>
              <w:spacing w:line="30" w:lineRule="atLeast"/>
              <w:jc w:val="left"/>
              <w:rPr>
                <w:rFonts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注：</w:t>
            </w:r>
            <w:r>
              <w:rPr>
                <w:rFonts w:hint="eastAsia" w:ascii="Times New Roman" w:hAnsi="Times New Roman" w:eastAsia="宋体" w:cs="Times New Roman"/>
                <w:b/>
                <w:bCs/>
                <w:color w:val="000000" w:themeColor="text1"/>
                <w:kern w:val="0"/>
                <w:szCs w:val="21"/>
                <w:lang w:eastAsia="zh-CN"/>
                <w14:textFill>
                  <w14:solidFill>
                    <w14:schemeClr w14:val="tx1"/>
                  </w14:solidFill>
                </w14:textFill>
              </w:rPr>
              <w:t>项目</w:t>
            </w:r>
            <w:r>
              <w:rPr>
                <w:rFonts w:hint="eastAsia" w:ascii="Times New Roman" w:hAnsi="Times New Roman" w:eastAsia="宋体" w:cs="Times New Roman"/>
                <w:b/>
                <w:bCs/>
                <w:color w:val="000000" w:themeColor="text1"/>
                <w:kern w:val="0"/>
                <w:szCs w:val="21"/>
                <w14:textFill>
                  <w14:solidFill>
                    <w14:schemeClr w14:val="tx1"/>
                  </w14:solidFill>
                </w14:textFill>
              </w:rPr>
              <w:t>使用的异丙醇清洗剂为单一成分物质，闪点为</w:t>
            </w:r>
            <w:r>
              <w:rPr>
                <w:rFonts w:ascii="Times New Roman" w:hAnsi="Times New Roman" w:eastAsia="宋体" w:cs="Times New Roman"/>
                <w:b/>
                <w:bCs/>
                <w:color w:val="000000" w:themeColor="text1"/>
                <w:kern w:val="0"/>
                <w:szCs w:val="21"/>
                <w14:textFill>
                  <w14:solidFill>
                    <w14:schemeClr w14:val="tx1"/>
                  </w14:solidFill>
                </w14:textFill>
              </w:rPr>
              <w:t>11.7</w:t>
            </w:r>
            <w:r>
              <w:rPr>
                <w:rFonts w:hint="eastAsia" w:ascii="Times New Roman" w:hAnsi="Times New Roman" w:eastAsia="宋体" w:cs="Times New Roman"/>
                <w:b/>
                <w:bCs/>
                <w:color w:val="000000" w:themeColor="text1"/>
                <w:kern w:val="0"/>
                <w:szCs w:val="21"/>
                <w14:textFill>
                  <w14:solidFill>
                    <w14:schemeClr w14:val="tx1"/>
                  </w14:solidFill>
                </w14:textFill>
              </w:rPr>
              <w:t>℃；沸点为</w:t>
            </w:r>
            <w:r>
              <w:rPr>
                <w:rFonts w:ascii="Times New Roman" w:hAnsi="Times New Roman" w:eastAsia="宋体" w:cs="Times New Roman"/>
                <w:b/>
                <w:bCs/>
                <w:color w:val="000000" w:themeColor="text1"/>
                <w:kern w:val="0"/>
                <w:szCs w:val="21"/>
                <w14:textFill>
                  <w14:solidFill>
                    <w14:schemeClr w14:val="tx1"/>
                  </w14:solidFill>
                </w14:textFill>
              </w:rPr>
              <w:t>82.5</w:t>
            </w:r>
            <w:r>
              <w:rPr>
                <w:rFonts w:hint="eastAsia" w:ascii="Times New Roman" w:hAnsi="Times New Roman" w:eastAsia="宋体" w:cs="Times New Roman"/>
                <w:b/>
                <w:bCs/>
                <w:color w:val="000000" w:themeColor="text1"/>
                <w:kern w:val="0"/>
                <w:szCs w:val="21"/>
                <w14:textFill>
                  <w14:solidFill>
                    <w14:schemeClr w14:val="tx1"/>
                  </w14:solidFill>
                </w14:textFill>
              </w:rPr>
              <w:t>℃；相对密度（水=1）为0.79，按其有机物组分100%挥发计算。</w:t>
            </w:r>
          </w:p>
          <w:p w14:paraId="556431BA">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本报告按挥发份全挥发计，则喷漆工序（调漆、喷漆、喷枪清洗、烘干）产生挥发性有机废气（以非甲烷总烃计）共0.</w:t>
            </w:r>
            <w:r>
              <w:rPr>
                <w:rFonts w:hint="eastAsia" w:ascii="Times New Roman" w:hAnsi="Times New Roman" w:eastAsia="宋体" w:cs="Times New Roman"/>
                <w:bCs/>
                <w:color w:val="000000" w:themeColor="text1"/>
                <w:sz w:val="24"/>
                <w:lang w:val="en-US" w:eastAsia="zh-CN"/>
                <w14:textFill>
                  <w14:solidFill>
                    <w14:schemeClr w14:val="tx1"/>
                  </w14:solidFill>
                </w14:textFill>
              </w:rPr>
              <w:t>354</w:t>
            </w:r>
            <w:r>
              <w:rPr>
                <w:rFonts w:hint="eastAsia" w:ascii="Times New Roman" w:hAnsi="Times New Roman" w:eastAsia="宋体" w:cs="Times New Roman"/>
                <w:bCs/>
                <w:color w:val="000000" w:themeColor="text1"/>
                <w:sz w:val="24"/>
                <w14:textFill>
                  <w14:solidFill>
                    <w14:schemeClr w14:val="tx1"/>
                  </w14:solidFill>
                </w14:textFill>
              </w:rPr>
              <w:t>t/a，其中苯系物产生量为0.</w:t>
            </w:r>
            <w:r>
              <w:rPr>
                <w:rFonts w:hint="eastAsia" w:ascii="Times New Roman" w:hAnsi="Times New Roman" w:eastAsia="宋体" w:cs="Times New Roman"/>
                <w:bCs/>
                <w:color w:val="000000" w:themeColor="text1"/>
                <w:sz w:val="24"/>
                <w:lang w:val="en-US" w:eastAsia="zh-CN"/>
                <w14:textFill>
                  <w14:solidFill>
                    <w14:schemeClr w14:val="tx1"/>
                  </w14:solidFill>
                </w14:textFill>
              </w:rPr>
              <w:t>226</w:t>
            </w:r>
            <w:r>
              <w:rPr>
                <w:rFonts w:hint="eastAsia" w:ascii="Times New Roman" w:hAnsi="Times New Roman" w:eastAsia="宋体" w:cs="Times New Roman"/>
                <w:bCs/>
                <w:color w:val="000000" w:themeColor="text1"/>
                <w:sz w:val="24"/>
                <w14:textFill>
                  <w14:solidFill>
                    <w14:schemeClr w14:val="tx1"/>
                  </w14:solidFill>
                </w14:textFill>
              </w:rPr>
              <w:t>/a</w:t>
            </w:r>
            <w:r>
              <w:rPr>
                <w:rFonts w:ascii="Times New Roman" w:hAnsi="Times New Roman" w:eastAsia="宋体" w:cs="Times New Roman"/>
                <w:bCs/>
                <w:color w:val="000000" w:themeColor="text1"/>
                <w:sz w:val="24"/>
                <w14:textFill>
                  <w14:solidFill>
                    <w14:schemeClr w14:val="tx1"/>
                  </w14:solidFill>
                </w14:textFill>
              </w:rPr>
              <w:t>。</w:t>
            </w:r>
          </w:p>
          <w:p w14:paraId="12226EB1">
            <w:pPr>
              <w:ind w:firstLine="420" w:firstLineChars="20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表4-3 漆雾总量产生情况一览表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3"/>
              <w:gridCol w:w="1535"/>
              <w:gridCol w:w="1535"/>
              <w:gridCol w:w="1535"/>
              <w:gridCol w:w="1535"/>
            </w:tblGrid>
            <w:tr w14:paraId="6DA4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3" w:type="dxa"/>
                  <w:vAlign w:val="center"/>
                </w:tcPr>
                <w:p w14:paraId="73204D56">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原料</w:t>
                  </w:r>
                </w:p>
              </w:tc>
              <w:tc>
                <w:tcPr>
                  <w:tcW w:w="1535" w:type="dxa"/>
                  <w:vAlign w:val="center"/>
                </w:tcPr>
                <w:p w14:paraId="3943C8F7">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使用量（t/a）</w:t>
                  </w:r>
                </w:p>
              </w:tc>
              <w:tc>
                <w:tcPr>
                  <w:tcW w:w="1535" w:type="dxa"/>
                  <w:vAlign w:val="center"/>
                </w:tcPr>
                <w:p w14:paraId="788174C8">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固体份含量（%）</w:t>
                  </w:r>
                </w:p>
              </w:tc>
              <w:tc>
                <w:tcPr>
                  <w:tcW w:w="1535" w:type="dxa"/>
                  <w:vAlign w:val="center"/>
                </w:tcPr>
                <w:p w14:paraId="196A20AF">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漆雾产生系数（%）</w:t>
                  </w:r>
                </w:p>
              </w:tc>
              <w:tc>
                <w:tcPr>
                  <w:tcW w:w="1535" w:type="dxa"/>
                  <w:vAlign w:val="center"/>
                </w:tcPr>
                <w:p w14:paraId="17748F27">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漆雾产生量</w:t>
                  </w:r>
                </w:p>
              </w:tc>
            </w:tr>
            <w:tr w14:paraId="5C6F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3" w:type="dxa"/>
                  <w:vAlign w:val="center"/>
                </w:tcPr>
                <w:p w14:paraId="146ED6D9">
                  <w:pPr>
                    <w:spacing w:line="20" w:lineRule="atLeast"/>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面漆</w:t>
                  </w:r>
                  <w:r>
                    <w:rPr>
                      <w:rFonts w:hint="eastAsia" w:ascii="Times New Roman" w:hAnsi="Times New Roman" w:eastAsia="宋体" w:cs="Times New Roman"/>
                      <w:bCs/>
                      <w:color w:val="000000" w:themeColor="text1"/>
                      <w:szCs w:val="21"/>
                      <w:lang w:eastAsia="zh-CN"/>
                      <w14:textFill>
                        <w14:solidFill>
                          <w14:schemeClr w14:val="tx1"/>
                        </w14:solidFill>
                      </w14:textFill>
                    </w:rPr>
                    <w:t>（</w:t>
                  </w:r>
                  <w:r>
                    <w:rPr>
                      <w:rFonts w:hint="eastAsia" w:ascii="Times New Roman" w:hAnsi="Times New Roman" w:eastAsia="宋体" w:cs="Times New Roman"/>
                      <w:bCs/>
                      <w:color w:val="000000" w:themeColor="text1"/>
                      <w:szCs w:val="21"/>
                      <w:lang w:val="en-US" w:eastAsia="zh-CN"/>
                      <w14:textFill>
                        <w14:solidFill>
                          <w14:schemeClr w14:val="tx1"/>
                        </w14:solidFill>
                      </w14:textFill>
                    </w:rPr>
                    <w:t>调和后）</w:t>
                  </w:r>
                </w:p>
              </w:tc>
              <w:tc>
                <w:tcPr>
                  <w:tcW w:w="1535" w:type="dxa"/>
                  <w:vAlign w:val="center"/>
                </w:tcPr>
                <w:p w14:paraId="7B35097C">
                  <w:pPr>
                    <w:spacing w:line="20" w:lineRule="atLeast"/>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1.073</w:t>
                  </w:r>
                </w:p>
              </w:tc>
              <w:tc>
                <w:tcPr>
                  <w:tcW w:w="1535" w:type="dxa"/>
                  <w:vAlign w:val="center"/>
                </w:tcPr>
                <w:p w14:paraId="3CB9E544">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67.92</w:t>
                  </w:r>
                </w:p>
              </w:tc>
              <w:tc>
                <w:tcPr>
                  <w:tcW w:w="1535" w:type="dxa"/>
                  <w:vAlign w:val="center"/>
                </w:tcPr>
                <w:p w14:paraId="429D2810">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70</w:t>
                  </w:r>
                </w:p>
              </w:tc>
              <w:tc>
                <w:tcPr>
                  <w:tcW w:w="1535" w:type="dxa"/>
                  <w:vAlign w:val="center"/>
                </w:tcPr>
                <w:p w14:paraId="2216B6CB">
                  <w:pPr>
                    <w:spacing w:line="20" w:lineRule="atLeast"/>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51</w:t>
                  </w:r>
                </w:p>
              </w:tc>
            </w:tr>
            <w:tr w14:paraId="3C44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38" w:type="dxa"/>
                  <w:gridSpan w:val="4"/>
                  <w:vAlign w:val="center"/>
                </w:tcPr>
                <w:p w14:paraId="37D38899">
                  <w:pPr>
                    <w:spacing w:line="20" w:lineRule="atLeast"/>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合计</w:t>
                  </w:r>
                </w:p>
              </w:tc>
              <w:tc>
                <w:tcPr>
                  <w:tcW w:w="1535" w:type="dxa"/>
                  <w:vAlign w:val="center"/>
                </w:tcPr>
                <w:p w14:paraId="492C1C3D">
                  <w:pPr>
                    <w:spacing w:line="20" w:lineRule="atLeast"/>
                    <w:jc w:val="center"/>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0.</w:t>
                  </w:r>
                  <w:r>
                    <w:rPr>
                      <w:rFonts w:hint="eastAsia" w:ascii="Times New Roman" w:hAnsi="Times New Roman" w:eastAsia="宋体" w:cs="Times New Roman"/>
                      <w:bCs/>
                      <w:color w:val="000000" w:themeColor="text1"/>
                      <w:szCs w:val="21"/>
                      <w:lang w:val="en-US" w:eastAsia="zh-CN"/>
                      <w14:textFill>
                        <w14:solidFill>
                          <w14:schemeClr w14:val="tx1"/>
                        </w14:solidFill>
                      </w14:textFill>
                    </w:rPr>
                    <w:t>51</w:t>
                  </w:r>
                </w:p>
              </w:tc>
            </w:tr>
          </w:tbl>
          <w:p w14:paraId="4A3DA8AC">
            <w:pPr>
              <w:jc w:val="left"/>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注：上漆率</w:t>
            </w:r>
            <w:r>
              <w:rPr>
                <w:rFonts w:hint="eastAsia" w:ascii="Times New Roman" w:hAnsi="Times New Roman" w:eastAsia="宋体" w:cs="Times New Roman"/>
                <w:b/>
                <w:bCs/>
                <w:color w:val="000000" w:themeColor="text1"/>
                <w:szCs w:val="21"/>
                <w14:textFill>
                  <w14:solidFill>
                    <w14:schemeClr w14:val="tx1"/>
                  </w14:solidFill>
                </w14:textFill>
              </w:rPr>
              <w:t>3</w:t>
            </w:r>
            <w:r>
              <w:rPr>
                <w:rFonts w:ascii="Times New Roman" w:hAnsi="Times New Roman" w:eastAsia="宋体" w:cs="Times New Roman"/>
                <w:b/>
                <w:bCs/>
                <w:color w:val="000000" w:themeColor="text1"/>
                <w:szCs w:val="21"/>
                <w14:textFill>
                  <w14:solidFill>
                    <w14:schemeClr w14:val="tx1"/>
                  </w14:solidFill>
                </w14:textFill>
              </w:rPr>
              <w:t>0%，不能附在工件上的</w:t>
            </w:r>
            <w:r>
              <w:rPr>
                <w:rFonts w:hint="eastAsia" w:ascii="Times New Roman" w:hAnsi="Times New Roman" w:eastAsia="宋体" w:cs="Times New Roman"/>
                <w:b/>
                <w:bCs/>
                <w:color w:val="000000" w:themeColor="text1"/>
                <w:szCs w:val="21"/>
                <w14:textFill>
                  <w14:solidFill>
                    <w14:schemeClr w14:val="tx1"/>
                  </w14:solidFill>
                </w14:textFill>
              </w:rPr>
              <w:t>7</w:t>
            </w:r>
            <w:r>
              <w:rPr>
                <w:rFonts w:ascii="Times New Roman" w:hAnsi="Times New Roman" w:eastAsia="宋体" w:cs="Times New Roman"/>
                <w:b/>
                <w:bCs/>
                <w:color w:val="000000" w:themeColor="text1"/>
                <w:szCs w:val="21"/>
                <w14:textFill>
                  <w14:solidFill>
                    <w14:schemeClr w14:val="tx1"/>
                  </w14:solidFill>
                </w14:textFill>
              </w:rPr>
              <w:t>0%形成漆雾。</w:t>
            </w:r>
          </w:p>
          <w:p w14:paraId="1C00BEFE">
            <w:pPr>
              <w:spacing w:line="360" w:lineRule="auto"/>
              <w:ind w:firstLine="480" w:firstLineChars="200"/>
              <w:jc w:val="left"/>
              <w:rPr>
                <w:rFonts w:hint="eastAsia" w:eastAsiaTheme="minorEastAsia"/>
                <w:b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喷漆产生的废气经</w:t>
            </w:r>
            <w:r>
              <w:rPr>
                <w:rFonts w:hint="default" w:ascii="Times New Roman" w:hAnsi="Times New Roman" w:cs="Times New Roman"/>
                <w:b w:val="0"/>
                <w:color w:val="000000" w:themeColor="text1"/>
                <w:sz w:val="24"/>
                <w:szCs w:val="24"/>
                <w:lang w:val="en-US" w:eastAsia="zh-CN"/>
                <w14:textFill>
                  <w14:solidFill>
                    <w14:schemeClr w14:val="tx1"/>
                  </w14:solidFill>
                </w14:textFill>
              </w:rPr>
              <w:t>水喷淋+干式过滤器</w:t>
            </w:r>
            <w:r>
              <w:rPr>
                <w:rFonts w:hint="default" w:ascii="Times New Roman" w:hAnsi="Times New Roman" w:cs="Times New Roman"/>
                <w:b w:val="0"/>
                <w:color w:val="000000" w:themeColor="text1"/>
                <w:sz w:val="24"/>
                <w:szCs w:val="24"/>
                <w14:textFill>
                  <w14:solidFill>
                    <w14:schemeClr w14:val="tx1"/>
                  </w14:solidFill>
                </w14:textFill>
              </w:rPr>
              <w:t>预处理后汇同刷胶、浇注、烘干、脱模工序产生的有机废气经过</w:t>
            </w:r>
            <w:r>
              <w:rPr>
                <w:rFonts w:hint="default" w:ascii="Times New Roman" w:hAnsi="Times New Roman" w:cs="Times New Roman"/>
                <w:b w:val="0"/>
                <w:color w:val="000000" w:themeColor="text1"/>
                <w:sz w:val="24"/>
                <w:szCs w:val="24"/>
                <w:lang w:val="en-US" w:eastAsia="zh-CN"/>
                <w14:textFill>
                  <w14:solidFill>
                    <w14:schemeClr w14:val="tx1"/>
                  </w14:solidFill>
                </w14:textFill>
              </w:rPr>
              <w:t>二级活性炭吸附</w:t>
            </w:r>
            <w:r>
              <w:rPr>
                <w:rFonts w:hint="default" w:ascii="Times New Roman" w:hAnsi="Times New Roman" w:cs="Times New Roman"/>
                <w:b w:val="0"/>
                <w:color w:val="000000" w:themeColor="text1"/>
                <w:sz w:val="24"/>
                <w:szCs w:val="24"/>
                <w14:textFill>
                  <w14:solidFill>
                    <w14:schemeClr w14:val="tx1"/>
                  </w14:solidFill>
                </w14:textFill>
              </w:rPr>
              <w:t>处理装置处理后由15m高排气筒（DA005）排放</w:t>
            </w:r>
            <w:r>
              <w:rPr>
                <w:rFonts w:hint="default" w:ascii="Times New Roman" w:hAnsi="Times New Roman" w:cs="Times New Roman"/>
                <w:b w:val="0"/>
                <w:color w:val="000000" w:themeColor="text1"/>
                <w:sz w:val="24"/>
                <w:szCs w:val="24"/>
                <w:lang w:eastAsia="zh-CN"/>
                <w14:textFill>
                  <w14:solidFill>
                    <w14:schemeClr w14:val="tx1"/>
                  </w14:solidFill>
                </w14:textFill>
              </w:rPr>
              <w:t>。</w:t>
            </w:r>
          </w:p>
          <w:p w14:paraId="2BC59092">
            <w:pPr>
              <w:spacing w:line="360" w:lineRule="auto"/>
              <w:ind w:firstLine="480" w:firstLineChars="200"/>
              <w:jc w:val="left"/>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w:t>
            </w:r>
            <w:r>
              <w:rPr>
                <w:rFonts w:hint="eastAsia" w:ascii="Times New Roman" w:hAnsi="Times New Roman" w:eastAsia="宋体" w:cs="Times New Roman"/>
                <w:b/>
                <w:bCs/>
                <w:color w:val="000000" w:themeColor="text1"/>
                <w:sz w:val="24"/>
                <w14:textFill>
                  <w14:solidFill>
                    <w14:schemeClr w14:val="tx1"/>
                  </w14:solidFill>
                </w14:textFill>
              </w:rPr>
              <w:t>4</w:t>
            </w:r>
            <w:r>
              <w:rPr>
                <w:rFonts w:ascii="Times New Roman" w:hAnsi="Times New Roman" w:eastAsia="宋体" w:cs="Times New Roman"/>
                <w:b/>
                <w:bCs/>
                <w:color w:val="000000" w:themeColor="text1"/>
                <w:sz w:val="24"/>
                <w14:textFill>
                  <w14:solidFill>
                    <w14:schemeClr w14:val="tx1"/>
                  </w14:solidFill>
                </w14:textFill>
              </w:rPr>
              <w:t>）臭气浓度</w:t>
            </w:r>
          </w:p>
          <w:p w14:paraId="17E01B9D">
            <w:pPr>
              <w:spacing w:line="360" w:lineRule="auto"/>
              <w:ind w:firstLine="480" w:firstLineChars="200"/>
              <w:jc w:val="left"/>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本</w:t>
            </w:r>
            <w:r>
              <w:rPr>
                <w:rFonts w:hint="eastAsia" w:ascii="Times New Roman" w:hAnsi="Times New Roman" w:cs="Times New Roman"/>
                <w:color w:val="000000" w:themeColor="text1"/>
                <w:sz w:val="24"/>
                <w:lang w:eastAsia="zh-CN"/>
                <w14:textFill>
                  <w14:solidFill>
                    <w14:schemeClr w14:val="tx1"/>
                  </w14:solidFill>
                </w14:textFill>
              </w:rPr>
              <w:t>项目</w:t>
            </w:r>
            <w:r>
              <w:rPr>
                <w:rFonts w:ascii="Times New Roman" w:hAnsi="Times New Roman" w:cs="Times New Roman"/>
                <w:color w:val="000000" w:themeColor="text1"/>
                <w:sz w:val="24"/>
                <w14:textFill>
                  <w14:solidFill>
                    <w14:schemeClr w14:val="tx1"/>
                  </w14:solidFill>
                </w14:textFill>
              </w:rPr>
              <w:t>刷胶、浇注、烘干、脱模、喷漆过程中会产生臭气，臭气浓度较低，与有机废气一起收集后进入</w:t>
            </w:r>
            <w:r>
              <w:rPr>
                <w:rFonts w:hint="eastAsia" w:ascii="Times New Roman" w:hAnsi="Times New Roman" w:cs="Times New Roman"/>
                <w:color w:val="000000" w:themeColor="text1"/>
                <w:sz w:val="24"/>
                <w:lang w:val="en-US" w:eastAsia="zh-CN"/>
                <w14:textFill>
                  <w14:solidFill>
                    <w14:schemeClr w14:val="tx1"/>
                  </w14:solidFill>
                </w14:textFill>
              </w:rPr>
              <w:t>二级活性炭吸附装置</w:t>
            </w:r>
            <w:r>
              <w:rPr>
                <w:rFonts w:ascii="Times New Roman" w:hAnsi="Times New Roman" w:cs="Times New Roman"/>
                <w:color w:val="000000" w:themeColor="text1"/>
                <w:sz w:val="24"/>
                <w14:textFill>
                  <w14:solidFill>
                    <w14:schemeClr w14:val="tx1"/>
                  </w14:solidFill>
                </w14:textFill>
              </w:rPr>
              <w:t>处理后由排气筒DA005排放。</w:t>
            </w:r>
            <w:r>
              <w:rPr>
                <w:rFonts w:ascii="Times New Roman" w:hAnsi="Times New Roman" w:cs="Times New Roman"/>
                <w:color w:val="000000" w:themeColor="text1"/>
                <w:kern w:val="24"/>
                <w:sz w:val="24"/>
                <w14:textFill>
                  <w14:solidFill>
                    <w14:schemeClr w14:val="tx1"/>
                  </w14:solidFill>
                </w14:textFill>
              </w:rPr>
              <w:t>经上述措施处理后，生产过</w:t>
            </w:r>
            <w:r>
              <w:rPr>
                <w:rFonts w:hint="eastAsia" w:ascii="Times New Roman" w:hAnsi="Times New Roman" w:cs="Times New Roman"/>
                <w:color w:val="000000" w:themeColor="text1"/>
                <w:kern w:val="24"/>
                <w:sz w:val="24"/>
                <w:lang w:eastAsia="zh-CN"/>
                <w14:textFill>
                  <w14:solidFill>
                    <w14:schemeClr w14:val="tx1"/>
                  </w14:solidFill>
                </w14:textFill>
              </w:rPr>
              <w:t>程中</w:t>
            </w:r>
            <w:r>
              <w:rPr>
                <w:rFonts w:ascii="Times New Roman" w:hAnsi="Times New Roman" w:cs="Times New Roman"/>
                <w:color w:val="000000" w:themeColor="text1"/>
                <w:kern w:val="24"/>
                <w:sz w:val="24"/>
                <w14:textFill>
                  <w14:solidFill>
                    <w14:schemeClr w14:val="tx1"/>
                  </w14:solidFill>
                </w14:textFill>
              </w:rPr>
              <w:t>产生的异味能够满足《恶臭污染物排放标准》（GB14554-1993）中恶臭污染物排放标准值和新扩改建厂界标准值二级标准</w:t>
            </w:r>
            <w:r>
              <w:rPr>
                <w:rFonts w:hint="eastAsia"/>
                <w:color w:val="000000" w:themeColor="text1"/>
                <w:szCs w:val="21"/>
                <w14:textFill>
                  <w14:solidFill>
                    <w14:schemeClr w14:val="tx1"/>
                  </w14:solidFill>
                </w14:textFill>
              </w:rPr>
              <w:t>。</w:t>
            </w:r>
          </w:p>
          <w:p w14:paraId="636AD533">
            <w:pPr>
              <w:spacing w:line="360" w:lineRule="auto"/>
              <w:ind w:firstLine="480" w:firstLineChars="200"/>
              <w:jc w:val="left"/>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w:t>
            </w:r>
            <w:r>
              <w:rPr>
                <w:rFonts w:hint="eastAsia" w:ascii="Times New Roman" w:hAnsi="Times New Roman" w:eastAsia="宋体" w:cs="Times New Roman"/>
                <w:b/>
                <w:bCs/>
                <w:color w:val="000000" w:themeColor="text1"/>
                <w:sz w:val="24"/>
                <w:lang w:val="en-US" w:eastAsia="zh-CN"/>
                <w14:textFill>
                  <w14:solidFill>
                    <w14:schemeClr w14:val="tx1"/>
                  </w14:solidFill>
                </w14:textFill>
              </w:rPr>
              <w:t>5</w:t>
            </w:r>
            <w:r>
              <w:rPr>
                <w:rFonts w:ascii="Times New Roman" w:hAnsi="Times New Roman" w:eastAsia="宋体" w:cs="Times New Roman"/>
                <w:b/>
                <w:bCs/>
                <w:color w:val="000000" w:themeColor="text1"/>
                <w:sz w:val="24"/>
                <w14:textFill>
                  <w14:solidFill>
                    <w14:schemeClr w14:val="tx1"/>
                  </w14:solidFill>
                </w14:textFill>
              </w:rPr>
              <w:t>）收集措施分析</w:t>
            </w:r>
          </w:p>
          <w:p w14:paraId="5E766F0B">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参考《广东省工业源挥发性有机物减排核算方法》（2023年修订版），抛丸工序的收集措施属于“全密封设备-设备废气排口直连”，收集效率为95%，保守计算</w:t>
            </w:r>
            <w:r>
              <w:rPr>
                <w:rFonts w:hint="eastAsia" w:ascii="Times New Roman" w:hAnsi="Times New Roman" w:eastAsia="宋体" w:cs="Times New Roman"/>
                <w:color w:val="000000" w:themeColor="text1"/>
                <w:sz w:val="24"/>
                <w:highlight w:val="none"/>
                <w14:textFill>
                  <w14:solidFill>
                    <w14:schemeClr w14:val="tx1"/>
                  </w14:solidFill>
                </w14:textFill>
              </w:rPr>
              <w:t>，本</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项目</w:t>
            </w:r>
            <w:r>
              <w:rPr>
                <w:rFonts w:hint="eastAsia" w:ascii="Times New Roman" w:hAnsi="Times New Roman" w:eastAsia="宋体" w:cs="Times New Roman"/>
                <w:color w:val="000000" w:themeColor="text1"/>
                <w:sz w:val="24"/>
                <w:highlight w:val="none"/>
                <w14:textFill>
                  <w14:solidFill>
                    <w14:schemeClr w14:val="tx1"/>
                  </w14:solidFill>
                </w14:textFill>
              </w:rPr>
              <w:t>抛丸工序粉尘收集效率按90%计，</w:t>
            </w:r>
            <w:r>
              <w:rPr>
                <w:rFonts w:ascii="Times New Roman" w:hAnsi="Times New Roman" w:eastAsia="宋体" w:cs="Times New Roman"/>
                <w:color w:val="000000" w:themeColor="text1"/>
                <w:sz w:val="24"/>
                <w14:textFill>
                  <w14:solidFill>
                    <w14:schemeClr w14:val="tx1"/>
                  </w14:solidFill>
                </w14:textFill>
              </w:rPr>
              <w:t>项目拟将</w:t>
            </w:r>
            <w:r>
              <w:rPr>
                <w:rFonts w:hint="eastAsia" w:ascii="Times New Roman" w:hAnsi="Times New Roman" w:eastAsia="宋体" w:cs="Times New Roman"/>
                <w:color w:val="000000" w:themeColor="text1"/>
                <w:sz w:val="24"/>
                <w14:textFill>
                  <w14:solidFill>
                    <w14:schemeClr w14:val="tx1"/>
                  </w14:solidFill>
                </w14:textFill>
              </w:rPr>
              <w:t>抛丸</w:t>
            </w:r>
            <w:r>
              <w:rPr>
                <w:rFonts w:ascii="Times New Roman" w:hAnsi="Times New Roman" w:eastAsia="宋体" w:cs="Times New Roman"/>
                <w:color w:val="000000" w:themeColor="text1"/>
                <w:sz w:val="24"/>
                <w14:textFill>
                  <w14:solidFill>
                    <w14:schemeClr w14:val="tx1"/>
                  </w14:solidFill>
                </w14:textFill>
              </w:rPr>
              <w:t>工序产生的颗粒物收集后由风管引至布袋除尘装置除尘后由DA00</w:t>
            </w:r>
            <w:r>
              <w:rPr>
                <w:rFonts w:hint="eastAsia" w:ascii="Times New Roman" w:hAnsi="Times New Roman" w:eastAsia="宋体" w:cs="Times New Roman"/>
                <w:color w:val="000000" w:themeColor="text1"/>
                <w:sz w:val="24"/>
                <w:lang w:val="en-US" w:eastAsia="zh-CN"/>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排气筒高空排放。</w:t>
            </w:r>
          </w:p>
          <w:p w14:paraId="5EEA8520">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cs="Times New Roman"/>
                <w:color w:val="000000" w:themeColor="text1"/>
                <w:sz w:val="24"/>
                <w:szCs w:val="24"/>
                <w14:textFill>
                  <w14:solidFill>
                    <w14:schemeClr w14:val="tx1"/>
                  </w14:solidFill>
                </w14:textFill>
              </w:rPr>
              <w:t>项目设置的集气罩方式为在</w:t>
            </w:r>
            <w:r>
              <w:rPr>
                <w:rFonts w:hint="eastAsia" w:ascii="Times New Roman" w:cs="Times New Roman"/>
                <w:color w:val="000000" w:themeColor="text1"/>
                <w:sz w:val="24"/>
                <w:szCs w:val="24"/>
                <w:lang w:val="en-US" w:eastAsia="zh-CN"/>
                <w14:textFill>
                  <w14:solidFill>
                    <w14:schemeClr w14:val="tx1"/>
                  </w14:solidFill>
                </w14:textFill>
              </w:rPr>
              <w:t>刷胶机、</w:t>
            </w:r>
            <w:r>
              <w:rPr>
                <w:rFonts w:ascii="Times New Roman" w:hAnsi="Times New Roman" w:eastAsia="宋体" w:cs="Times New Roman"/>
                <w:bCs/>
                <w:color w:val="000000" w:themeColor="text1"/>
                <w:sz w:val="24"/>
                <w14:textFill>
                  <w14:solidFill>
                    <w14:schemeClr w14:val="tx1"/>
                  </w14:solidFill>
                </w14:textFill>
              </w:rPr>
              <w:t>浇注</w:t>
            </w:r>
            <w:r>
              <w:rPr>
                <w:rFonts w:hint="eastAsia" w:ascii="Times New Roman" w:hAnsi="Times New Roman" w:eastAsia="宋体" w:cs="Times New Roman"/>
                <w:bCs/>
                <w:color w:val="000000" w:themeColor="text1"/>
                <w:sz w:val="24"/>
                <w:lang w:val="en-US" w:eastAsia="zh-CN"/>
                <w14:textFill>
                  <w14:solidFill>
                    <w14:schemeClr w14:val="tx1"/>
                  </w14:solidFill>
                </w14:textFill>
              </w:rPr>
              <w:t>机</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烘</w:t>
            </w:r>
            <w:r>
              <w:rPr>
                <w:rFonts w:hint="eastAsia" w:ascii="Times New Roman" w:hAnsi="Times New Roman" w:eastAsia="宋体" w:cs="Times New Roman"/>
                <w:bCs/>
                <w:color w:val="000000" w:themeColor="text1"/>
                <w:sz w:val="24"/>
                <w:lang w:val="en-US" w:eastAsia="zh-CN"/>
                <w14:textFill>
                  <w14:solidFill>
                    <w14:schemeClr w14:val="tx1"/>
                  </w14:solidFill>
                </w14:textFill>
              </w:rPr>
              <w:t>箱</w:t>
            </w:r>
            <w:r>
              <w:rPr>
                <w:rFonts w:ascii="Times New Roman" w:hAnsi="Times New Roman" w:eastAsia="宋体" w:cs="Times New Roman"/>
                <w:bCs/>
                <w:color w:val="000000" w:themeColor="text1"/>
                <w:sz w:val="24"/>
                <w14:textFill>
                  <w14:solidFill>
                    <w14:schemeClr w14:val="tx1"/>
                  </w14:solidFill>
                </w14:textFill>
              </w:rPr>
              <w:t>、脱模</w:t>
            </w:r>
            <w:r>
              <w:rPr>
                <w:rFonts w:hint="eastAsia" w:ascii="Times New Roman" w:hAnsi="Times New Roman" w:eastAsia="宋体" w:cs="Times New Roman"/>
                <w:bCs/>
                <w:color w:val="000000" w:themeColor="text1"/>
                <w:sz w:val="24"/>
                <w:lang w:val="en-US" w:eastAsia="zh-CN"/>
                <w14:textFill>
                  <w14:solidFill>
                    <w14:schemeClr w14:val="tx1"/>
                  </w14:solidFill>
                </w14:textFill>
              </w:rPr>
              <w:t>机</w:t>
            </w:r>
            <w:r>
              <w:rPr>
                <w:rFonts w:ascii="Times New Roman" w:cs="Times New Roman"/>
                <w:color w:val="000000" w:themeColor="text1"/>
                <w:sz w:val="24"/>
                <w:szCs w:val="24"/>
                <w14:textFill>
                  <w14:solidFill>
                    <w14:schemeClr w14:val="tx1"/>
                  </w14:solidFill>
                </w14:textFill>
              </w:rPr>
              <w:t>外设置大包围罩将其全部密闭（类似一个小房间，保留</w:t>
            </w:r>
            <w:r>
              <w:rPr>
                <w:rFonts w:hint="eastAsia" w:ascii="Times New Roman" w:cs="Times New Roman"/>
                <w:color w:val="000000" w:themeColor="text1"/>
                <w:sz w:val="24"/>
                <w:szCs w:val="24"/>
                <w:lang w:eastAsia="zh-CN"/>
                <w14:textFill>
                  <w14:solidFill>
                    <w14:schemeClr w14:val="tx1"/>
                  </w14:solidFill>
                </w14:textFill>
              </w:rPr>
              <w:t>前端</w:t>
            </w:r>
            <w:r>
              <w:rPr>
                <w:rFonts w:ascii="Times New Roman" w:cs="Times New Roman"/>
                <w:color w:val="000000" w:themeColor="text1"/>
                <w:sz w:val="24"/>
                <w:szCs w:val="24"/>
                <w14:textFill>
                  <w14:solidFill>
                    <w14:schemeClr w14:val="tx1"/>
                  </w14:solidFill>
                </w14:textFill>
              </w:rPr>
              <w:t>一面进行生产操作，其余均围蔽），同时在包围罩内</w:t>
            </w:r>
            <w:r>
              <w:rPr>
                <w:rFonts w:hint="eastAsia" w:ascii="Times New Roman" w:cs="Times New Roman"/>
                <w:color w:val="000000" w:themeColor="text1"/>
                <w:sz w:val="24"/>
                <w:szCs w:val="24"/>
                <w:lang w:val="en-US" w:eastAsia="zh-CN"/>
                <w14:textFill>
                  <w14:solidFill>
                    <w14:schemeClr w14:val="tx1"/>
                  </w14:solidFill>
                </w14:textFill>
              </w:rPr>
              <w:t>刷胶机、</w:t>
            </w:r>
            <w:r>
              <w:rPr>
                <w:rFonts w:ascii="Times New Roman" w:hAnsi="Times New Roman" w:eastAsia="宋体" w:cs="Times New Roman"/>
                <w:bCs/>
                <w:color w:val="000000" w:themeColor="text1"/>
                <w:sz w:val="24"/>
                <w14:textFill>
                  <w14:solidFill>
                    <w14:schemeClr w14:val="tx1"/>
                  </w14:solidFill>
                </w14:textFill>
              </w:rPr>
              <w:t>浇注</w:t>
            </w:r>
            <w:r>
              <w:rPr>
                <w:rFonts w:hint="eastAsia" w:ascii="Times New Roman" w:hAnsi="Times New Roman" w:eastAsia="宋体" w:cs="Times New Roman"/>
                <w:bCs/>
                <w:color w:val="000000" w:themeColor="text1"/>
                <w:sz w:val="24"/>
                <w:lang w:val="en-US" w:eastAsia="zh-CN"/>
                <w14:textFill>
                  <w14:solidFill>
                    <w14:schemeClr w14:val="tx1"/>
                  </w14:solidFill>
                </w14:textFill>
              </w:rPr>
              <w:t>机</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烘箱</w:t>
            </w:r>
            <w:r>
              <w:rPr>
                <w:rFonts w:ascii="Times New Roman" w:cs="Times New Roman"/>
                <w:color w:val="000000" w:themeColor="text1"/>
                <w:sz w:val="24"/>
                <w:szCs w:val="24"/>
                <w14:textFill>
                  <w14:solidFill>
                    <w14:schemeClr w14:val="tx1"/>
                  </w14:solidFill>
                </w14:textFill>
              </w:rPr>
              <w:t>上方设置上吸式集气罩进行密闭包围罩整体抽风，故废气集气罩可作为密闭罩考虑，</w:t>
            </w:r>
            <w:r>
              <w:rPr>
                <w:rFonts w:hint="eastAsia" w:ascii="Times New Roman" w:hAnsi="Times New Roman" w:eastAsia="宋体" w:cs="Times New Roman"/>
                <w:bCs/>
                <w:color w:val="000000" w:themeColor="text1"/>
                <w:sz w:val="24"/>
                <w14:textFill>
                  <w14:solidFill>
                    <w14:schemeClr w14:val="tx1"/>
                  </w14:solidFill>
                </w14:textFill>
              </w:rPr>
              <w:t>参照《广东省工业源挥发性有机物减排核算方法》（2</w:t>
            </w:r>
            <w:r>
              <w:rPr>
                <w:rFonts w:ascii="Times New Roman" w:hAnsi="Times New Roman" w:eastAsia="宋体" w:cs="Times New Roman"/>
                <w:bCs/>
                <w:color w:val="000000" w:themeColor="text1"/>
                <w:sz w:val="24"/>
                <w14:textFill>
                  <w14:solidFill>
                    <w14:schemeClr w14:val="tx1"/>
                  </w14:solidFill>
                </w14:textFill>
              </w:rPr>
              <w:t>023年修订版</w:t>
            </w:r>
            <w:r>
              <w:rPr>
                <w:rFonts w:hint="eastAsia" w:ascii="Times New Roman" w:hAnsi="Times New Roman" w:eastAsia="宋体" w:cs="Times New Roman"/>
                <w:bCs/>
                <w:color w:val="000000" w:themeColor="text1"/>
                <w:sz w:val="24"/>
                <w14:textFill>
                  <w14:solidFill>
                    <w14:schemeClr w14:val="tx1"/>
                  </w14:solidFill>
                </w14:textFill>
              </w:rPr>
              <w:t>）中表3.3-2废气收集集气效率参考值“</w:t>
            </w:r>
            <w:r>
              <w:rPr>
                <w:rFonts w:hint="eastAsia" w:ascii="Times New Roman" w:hAnsi="Times New Roman" w:eastAsia="宋体" w:cs="Times New Roman"/>
                <w:bCs/>
                <w:color w:val="000000" w:themeColor="text1"/>
                <w:sz w:val="24"/>
                <w:lang w:val="en-US" w:eastAsia="zh-CN"/>
                <w14:textFill>
                  <w14:solidFill>
                    <w14:schemeClr w14:val="tx1"/>
                  </w14:solidFill>
                </w14:textFill>
              </w:rPr>
              <w:t>全密封设备/空间，单层密闭正压</w:t>
            </w:r>
            <w:r>
              <w:rPr>
                <w:rFonts w:hint="eastAsia"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highlight w:val="none"/>
                <w14:textFill>
                  <w14:solidFill>
                    <w14:schemeClr w14:val="tx1"/>
                  </w14:solidFill>
                </w14:textFill>
              </w:rPr>
              <w:t>集气效率可到</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8</w:t>
            </w:r>
            <w:r>
              <w:rPr>
                <w:rFonts w:hint="eastAsia" w:ascii="Times New Roman" w:hAnsi="Times New Roman" w:eastAsia="宋体" w:cs="Times New Roman"/>
                <w:bCs/>
                <w:color w:val="000000" w:themeColor="text1"/>
                <w:sz w:val="24"/>
                <w:highlight w:val="none"/>
                <w14:textFill>
                  <w14:solidFill>
                    <w14:schemeClr w14:val="tx1"/>
                  </w14:solidFill>
                </w14:textFill>
              </w:rPr>
              <w:t>0%。</w:t>
            </w:r>
            <w:r>
              <w:rPr>
                <w:rFonts w:hint="eastAsia" w:ascii="Times New Roman" w:hAnsi="Times New Roman" w:eastAsia="宋体" w:cs="Times New Roman"/>
                <w:bCs/>
                <w:color w:val="000000" w:themeColor="text1"/>
                <w:sz w:val="24"/>
                <w14:textFill>
                  <w14:solidFill>
                    <w14:schemeClr w14:val="tx1"/>
                  </w14:solidFill>
                </w14:textFill>
              </w:rPr>
              <w:t>因此，本</w:t>
            </w:r>
            <w:r>
              <w:rPr>
                <w:rFonts w:hint="eastAsia" w:ascii="Times New Roman" w:hAnsi="Times New Roman" w:eastAsia="宋体" w:cs="Times New Roman"/>
                <w:bCs/>
                <w:color w:val="000000" w:themeColor="text1"/>
                <w:sz w:val="24"/>
                <w:highlight w:val="none"/>
                <w14:textFill>
                  <w14:solidFill>
                    <w14:schemeClr w14:val="tx1"/>
                  </w14:solidFill>
                </w14:textFill>
              </w:rPr>
              <w:t>项目收集效率取</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8</w:t>
            </w:r>
            <w:r>
              <w:rPr>
                <w:rFonts w:ascii="Times New Roman" w:hAnsi="Times New Roman" w:eastAsia="宋体" w:cs="Times New Roman"/>
                <w:bCs/>
                <w:color w:val="000000" w:themeColor="text1"/>
                <w:sz w:val="24"/>
                <w:highlight w:val="none"/>
                <w14:textFill>
                  <w14:solidFill>
                    <w14:schemeClr w14:val="tx1"/>
                  </w14:solidFill>
                </w14:textFill>
              </w:rPr>
              <w:t>0%。</w:t>
            </w:r>
          </w:p>
          <w:p w14:paraId="00859C75">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所需抽风量计算：</w:t>
            </w:r>
          </w:p>
          <w:p w14:paraId="5DCB7566">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5517E2E8">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5B43CCC5">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16AD3B57">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1F748314">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2DC8B92C">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01A70905">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44832B49">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23E431DC">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0DB340BB">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188DCB2D">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3F6B4CD0">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251E356F">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p>
          <w:p w14:paraId="013EEE5B">
            <w:pPr>
              <w:spacing w:line="360" w:lineRule="auto"/>
              <w:ind w:firstLine="480" w:firstLineChars="200"/>
              <w:outlineLvl w:val="3"/>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本评价参考《三废处理工程技术手册（废气卷）》中整体密闭罩的风量计算公式：</w:t>
            </w:r>
          </w:p>
          <w:p w14:paraId="664ACE1B">
            <w:pPr>
              <w:spacing w:line="360" w:lineRule="auto"/>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Q=V</w:t>
            </w:r>
            <w:r>
              <w:rPr>
                <w:rFonts w:hint="default" w:ascii="Times New Roman" w:hAnsi="Times New Roman" w:cs="Times New Roman"/>
                <w:color w:val="000000" w:themeColor="text1"/>
                <w:sz w:val="24"/>
                <w:vertAlign w:val="subscript"/>
                <w14:textFill>
                  <w14:solidFill>
                    <w14:schemeClr w14:val="tx1"/>
                  </w14:solidFill>
                </w14:textFill>
              </w:rPr>
              <w:t>0</w:t>
            </w:r>
            <w:r>
              <w:rPr>
                <w:rFonts w:hint="default" w:ascii="Times New Roman" w:hAnsi="Times New Roman" w:cs="Times New Roman"/>
                <w:color w:val="000000" w:themeColor="text1"/>
                <w:sz w:val="24"/>
                <w14:textFill>
                  <w14:solidFill>
                    <w14:schemeClr w14:val="tx1"/>
                  </w14:solidFill>
                </w14:textFill>
              </w:rPr>
              <w:t>×n</w:t>
            </w:r>
          </w:p>
          <w:p w14:paraId="5ED1D2BA">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式中：V</w:t>
            </w:r>
            <w:r>
              <w:rPr>
                <w:rFonts w:hint="default" w:ascii="Times New Roman" w:hAnsi="Times New Roman" w:cs="Times New Roman"/>
                <w:color w:val="000000" w:themeColor="text1"/>
                <w:sz w:val="24"/>
                <w:vertAlign w:val="subscript"/>
                <w14:textFill>
                  <w14:solidFill>
                    <w14:schemeClr w14:val="tx1"/>
                  </w14:solidFill>
                </w14:textFill>
              </w:rPr>
              <w:t>0</w:t>
            </w:r>
            <w:r>
              <w:rPr>
                <w:rFonts w:hint="default" w:ascii="Times New Roman" w:hAnsi="Times New Roman" w:cs="Times New Roman"/>
                <w:color w:val="000000" w:themeColor="text1"/>
                <w:sz w:val="24"/>
                <w14:textFill>
                  <w14:solidFill>
                    <w14:schemeClr w14:val="tx1"/>
                  </w14:solidFill>
                </w14:textFill>
              </w:rPr>
              <w:t>为罩内容积，单位为m</w:t>
            </w:r>
            <w:r>
              <w:rPr>
                <w:rFonts w:hint="default" w:ascii="Times New Roman" w:hAnsi="Times New Roman" w:cs="Times New Roman"/>
                <w:color w:val="000000" w:themeColor="text1"/>
                <w:sz w:val="24"/>
                <w:vertAlign w:val="superscript"/>
                <w14:textFill>
                  <w14:solidFill>
                    <w14:schemeClr w14:val="tx1"/>
                  </w14:solidFill>
                </w14:textFill>
              </w:rPr>
              <w:t>3</w:t>
            </w:r>
          </w:p>
          <w:p w14:paraId="328E049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 xml:space="preserve">     n为换气次数，本项目包围型集气罩换气次数按</w:t>
            </w:r>
            <w:r>
              <w:rPr>
                <w:rFonts w:hint="eastAsia" w:ascii="Times New Roman" w:hAnsi="Times New Roman" w:cs="Times New Roman"/>
                <w:color w:val="000000" w:themeColor="text1"/>
                <w:sz w:val="24"/>
                <w:lang w:val="en-US" w:eastAsia="zh-CN"/>
                <w14:textFill>
                  <w14:solidFill>
                    <w14:schemeClr w14:val="tx1"/>
                  </w14:solidFill>
                </w14:textFill>
              </w:rPr>
              <w:t>60</w:t>
            </w:r>
            <w:r>
              <w:rPr>
                <w:rFonts w:hint="default" w:ascii="Times New Roman" w:hAnsi="Times New Roman" w:cs="Times New Roman"/>
                <w:color w:val="000000" w:themeColor="text1"/>
                <w:sz w:val="24"/>
                <w14:textFill>
                  <w14:solidFill>
                    <w14:schemeClr w14:val="tx1"/>
                  </w14:solidFill>
                </w14:textFill>
              </w:rPr>
              <w:t>次进行核算；</w:t>
            </w:r>
          </w:p>
          <w:p w14:paraId="3BFF85C7">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本项目废气设计风量计算如下表</w:t>
            </w:r>
            <w:r>
              <w:rPr>
                <w:rFonts w:hint="eastAsia" w:ascii="Times New Roman" w:hAnsi="Times New Roman" w:eastAsia="宋体" w:cs="Times New Roman"/>
                <w:bCs/>
                <w:color w:val="000000" w:themeColor="text1"/>
                <w:sz w:val="24"/>
                <w:lang w:val="en-US" w:eastAsia="zh-CN"/>
                <w14:textFill>
                  <w14:solidFill>
                    <w14:schemeClr w14:val="tx1"/>
                  </w14:solidFill>
                </w14:textFill>
              </w:rPr>
              <w:t>4-5</w:t>
            </w:r>
            <w:r>
              <w:rPr>
                <w:rFonts w:ascii="Times New Roman" w:hAnsi="Times New Roman" w:eastAsia="宋体" w:cs="Times New Roman"/>
                <w:bCs/>
                <w:color w:val="000000" w:themeColor="text1"/>
                <w:sz w:val="24"/>
                <w14:textFill>
                  <w14:solidFill>
                    <w14:schemeClr w14:val="tx1"/>
                  </w14:solidFill>
                </w14:textFill>
              </w:rPr>
              <w:t>所示：</w:t>
            </w:r>
          </w:p>
          <w:p w14:paraId="6F9EB51C">
            <w:pPr>
              <w:spacing w:line="360" w:lineRule="auto"/>
              <w:ind w:firstLine="480" w:firstLineChars="200"/>
              <w:jc w:val="left"/>
              <w:rPr>
                <w:rFonts w:hint="default" w:ascii="Times New Roman" w:eastAsia="宋体" w:cs="Times New Roman"/>
                <w:color w:val="000000" w:themeColor="text1"/>
                <w:sz w:val="24"/>
                <w:szCs w:val="24"/>
                <w:lang w:val="en-US" w:eastAsia="zh-CN"/>
                <w14:textFill>
                  <w14:solidFill>
                    <w14:schemeClr w14:val="tx1"/>
                  </w14:solidFill>
                </w14:textFill>
              </w:rPr>
            </w:pPr>
            <w:r>
              <w:rPr>
                <w:rFonts w:hint="eastAsia" w:ascii="Times New Roman" w:cs="Times New Roman"/>
                <w:color w:val="000000" w:themeColor="text1"/>
                <w:sz w:val="24"/>
                <w:szCs w:val="24"/>
                <w:lang w:val="en-US" w:eastAsia="zh-CN"/>
                <w14:textFill>
                  <w14:solidFill>
                    <w14:schemeClr w14:val="tx1"/>
                  </w14:solidFill>
                </w14:textFill>
              </w:rPr>
              <w:t>喷漆柜采用半密闭型集气设备，喷漆柜四周及上下有围挡设施，仅保留1个操作工位面，敞开面控制风速不小于0.3m/s。</w:t>
            </w:r>
            <w:r>
              <w:rPr>
                <w:rFonts w:hint="eastAsia" w:ascii="Times New Roman" w:hAnsi="Times New Roman" w:eastAsia="宋体" w:cs="Times New Roman"/>
                <w:bCs/>
                <w:color w:val="000000" w:themeColor="text1"/>
                <w:sz w:val="24"/>
                <w14:textFill>
                  <w14:solidFill>
                    <w14:schemeClr w14:val="tx1"/>
                  </w14:solidFill>
                </w14:textFill>
              </w:rPr>
              <w:t>参照《广东省工业源挥发性有机物减排核算方法》（2</w:t>
            </w:r>
            <w:r>
              <w:rPr>
                <w:rFonts w:ascii="Times New Roman" w:hAnsi="Times New Roman" w:eastAsia="宋体" w:cs="Times New Roman"/>
                <w:bCs/>
                <w:color w:val="000000" w:themeColor="text1"/>
                <w:sz w:val="24"/>
                <w14:textFill>
                  <w14:solidFill>
                    <w14:schemeClr w14:val="tx1"/>
                  </w14:solidFill>
                </w14:textFill>
              </w:rPr>
              <w:t>023年修订版</w:t>
            </w:r>
            <w:r>
              <w:rPr>
                <w:rFonts w:hint="eastAsia" w:ascii="Times New Roman" w:hAnsi="Times New Roman" w:eastAsia="宋体" w:cs="Times New Roman"/>
                <w:bCs/>
                <w:color w:val="000000" w:themeColor="text1"/>
                <w:sz w:val="24"/>
                <w14:textFill>
                  <w14:solidFill>
                    <w14:schemeClr w14:val="tx1"/>
                  </w14:solidFill>
                </w14:textFill>
              </w:rPr>
              <w:t>）中表3.3-2废气收集集气效率参考值“</w:t>
            </w:r>
            <w:r>
              <w:rPr>
                <w:rFonts w:hint="eastAsia" w:ascii="Times New Roman" w:hAnsi="Times New Roman" w:eastAsia="宋体" w:cs="Times New Roman"/>
                <w:bCs/>
                <w:color w:val="000000" w:themeColor="text1"/>
                <w:sz w:val="24"/>
                <w:lang w:val="en-US" w:eastAsia="zh-CN"/>
                <w14:textFill>
                  <w14:solidFill>
                    <w14:schemeClr w14:val="tx1"/>
                  </w14:solidFill>
                </w14:textFill>
              </w:rPr>
              <w:t>半密闭型集气设备</w:t>
            </w:r>
            <w:r>
              <w:rPr>
                <w:rFonts w:hint="eastAsia"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污染物产生点四周及上下有围挡设施</w:t>
            </w:r>
            <w:r>
              <w:rPr>
                <w:rFonts w:hint="eastAsia"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仅保留</w:t>
            </w:r>
            <w:r>
              <w:rPr>
                <w:rFonts w:hint="eastAsia" w:ascii="Times New Roman" w:cs="Times New Roman"/>
                <w:color w:val="000000" w:themeColor="text1"/>
                <w:sz w:val="24"/>
                <w:szCs w:val="24"/>
                <w:lang w:val="en-US" w:eastAsia="zh-CN"/>
                <w14:textFill>
                  <w14:solidFill>
                    <w14:schemeClr w14:val="tx1"/>
                  </w14:solidFill>
                </w14:textFill>
              </w:rPr>
              <w:t>1个操作工位面</w:t>
            </w:r>
            <w:r>
              <w:rPr>
                <w:rFonts w:hint="eastAsia" w:ascii="Times New Roman" w:hAnsi="Times New Roman" w:eastAsia="宋体" w:cs="Times New Roman"/>
                <w:bCs/>
                <w:color w:val="000000" w:themeColor="text1"/>
                <w:sz w:val="24"/>
                <w14:textFill>
                  <w14:solidFill>
                    <w14:schemeClr w14:val="tx1"/>
                  </w14:solidFill>
                </w14:textFill>
              </w:rPr>
              <w:t>）敞开面控制风速不小于0.3m/s。”</w:t>
            </w:r>
            <w:r>
              <w:rPr>
                <w:rFonts w:hint="eastAsia" w:ascii="Times New Roman" w:hAnsi="Times New Roman" w:eastAsia="宋体" w:cs="Times New Roman"/>
                <w:bCs/>
                <w:color w:val="000000" w:themeColor="text1"/>
                <w:sz w:val="24"/>
                <w:highlight w:val="none"/>
                <w14:textFill>
                  <w14:solidFill>
                    <w14:schemeClr w14:val="tx1"/>
                  </w14:solidFill>
                </w14:textFill>
              </w:rPr>
              <w:t>集气效率可到</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65</w:t>
            </w:r>
            <w:r>
              <w:rPr>
                <w:rFonts w:hint="eastAsia" w:ascii="Times New Roman" w:hAnsi="Times New Roman" w:eastAsia="宋体" w:cs="Times New Roman"/>
                <w:bCs/>
                <w:color w:val="000000" w:themeColor="text1"/>
                <w:sz w:val="24"/>
                <w:highlight w:val="none"/>
                <w14:textFill>
                  <w14:solidFill>
                    <w14:schemeClr w14:val="tx1"/>
                  </w14:solidFill>
                </w14:textFill>
              </w:rPr>
              <w:t>%</w:t>
            </w:r>
            <w:r>
              <w:rPr>
                <w:rFonts w:hint="eastAsia" w:ascii="Times New Roman" w:hAnsi="Times New Roman" w:eastAsia="宋体" w:cs="Times New Roman"/>
                <w:bCs/>
                <w:color w:val="000000" w:themeColor="text1"/>
                <w:sz w:val="24"/>
                <w:lang w:eastAsia="zh-CN"/>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本项</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目按65%计。</w:t>
            </w:r>
          </w:p>
          <w:p w14:paraId="72B25771">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lang w:val="en-US" w:eastAsia="zh-CN"/>
                <w14:textFill>
                  <w14:solidFill>
                    <w14:schemeClr w14:val="tx1"/>
                  </w14:solidFill>
                </w14:textFill>
              </w:rPr>
              <w:t>喷漆柜</w:t>
            </w:r>
            <w:r>
              <w:rPr>
                <w:rFonts w:ascii="Times New Roman" w:hAnsi="Times New Roman" w:eastAsia="宋体" w:cs="Times New Roman"/>
                <w:bCs/>
                <w:color w:val="000000" w:themeColor="text1"/>
                <w:sz w:val="24"/>
                <w14:textFill>
                  <w14:solidFill>
                    <w14:schemeClr w14:val="tx1"/>
                  </w14:solidFill>
                </w14:textFill>
              </w:rPr>
              <w:t>所需抽风量计算：</w:t>
            </w:r>
          </w:p>
          <w:p w14:paraId="541980F9">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根据</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环境</w:t>
            </w:r>
            <w:r>
              <w:rPr>
                <w:rFonts w:ascii="Times New Roman" w:hAnsi="Times New Roman" w:eastAsia="宋体" w:cs="Times New Roman"/>
                <w:color w:val="000000" w:themeColor="text1"/>
                <w:sz w:val="24"/>
                <w14:textFill>
                  <w14:solidFill>
                    <w14:schemeClr w14:val="tx1"/>
                  </w14:solidFill>
                </w14:textFill>
              </w:rPr>
              <w:t>工程设计手册》</w:t>
            </w:r>
            <w:r>
              <w:rPr>
                <w:rFonts w:hint="eastAsia" w:ascii="Times New Roman" w:hAnsi="Times New Roman" w:eastAsia="宋体" w:cs="Times New Roman"/>
                <w:color w:val="000000" w:themeColor="text1"/>
                <w:sz w:val="24"/>
                <w14:textFill>
                  <w14:solidFill>
                    <w14:schemeClr w14:val="tx1"/>
                  </w14:solidFill>
                </w14:textFill>
              </w:rPr>
              <w:t>（湖南</w:t>
            </w:r>
            <w:r>
              <w:rPr>
                <w:rFonts w:ascii="Times New Roman" w:hAnsi="Times New Roman" w:eastAsia="宋体" w:cs="Times New Roman"/>
                <w:color w:val="000000" w:themeColor="text1"/>
                <w:sz w:val="24"/>
                <w14:textFill>
                  <w14:solidFill>
                    <w14:schemeClr w14:val="tx1"/>
                  </w14:solidFill>
                </w14:textFill>
              </w:rPr>
              <w:t>科学技术出版社</w:t>
            </w:r>
            <w:r>
              <w:rPr>
                <w:rFonts w:hint="eastAsia" w:ascii="Times New Roman" w:hAnsi="Times New Roman" w:eastAsia="宋体" w:cs="Times New Roman"/>
                <w:color w:val="000000" w:themeColor="text1"/>
                <w:sz w:val="24"/>
                <w14:textFill>
                  <w14:solidFill>
                    <w14:schemeClr w14:val="tx1"/>
                  </w14:solidFill>
                </w14:textFill>
              </w:rPr>
              <w:t>）的</w:t>
            </w:r>
            <w:r>
              <w:rPr>
                <w:rFonts w:ascii="Times New Roman" w:hAnsi="Times New Roman" w:eastAsia="宋体" w:cs="Times New Roman"/>
                <w:color w:val="000000" w:themeColor="text1"/>
                <w:sz w:val="24"/>
                <w14:textFill>
                  <w14:solidFill>
                    <w14:schemeClr w14:val="tx1"/>
                  </w14:solidFill>
                </w14:textFill>
              </w:rPr>
              <w:t>上部集气罩计算公式：</w:t>
            </w:r>
          </w:p>
          <w:p w14:paraId="024E9844">
            <w:pPr>
              <w:spacing w:line="360" w:lineRule="auto"/>
              <w:ind w:firstLine="480" w:firstLineChars="200"/>
              <w:jc w:val="center"/>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Q=KPHV</w:t>
            </w:r>
            <w:r>
              <w:rPr>
                <w:rFonts w:ascii="Times New Roman" w:hAnsi="Times New Roman" w:eastAsia="宋体" w:cs="Times New Roman"/>
                <w:color w:val="000000" w:themeColor="text1"/>
                <w:sz w:val="24"/>
                <w:vertAlign w:val="subscript"/>
                <w14:textFill>
                  <w14:solidFill>
                    <w14:schemeClr w14:val="tx1"/>
                  </w14:solidFill>
                </w14:textFill>
              </w:rPr>
              <w:t>x</w:t>
            </w:r>
            <w:r>
              <w:rPr>
                <w:rFonts w:hint="eastAsia" w:ascii="Times New Roman" w:hAnsi="Times New Roman" w:eastAsia="宋体" w:cs="Times New Roman"/>
                <w:color w:val="000000" w:themeColor="text1"/>
                <w:sz w:val="24"/>
                <w14:textFill>
                  <w14:solidFill>
                    <w14:schemeClr w14:val="tx1"/>
                  </w14:solidFill>
                </w14:textFill>
              </w:rPr>
              <w:t>（公式1）</w:t>
            </w:r>
          </w:p>
          <w:p w14:paraId="28053400">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其中：Q—集气罩</w:t>
            </w:r>
            <w:r>
              <w:rPr>
                <w:rFonts w:ascii="Times New Roman" w:hAnsi="Times New Roman" w:eastAsia="宋体" w:cs="Times New Roman"/>
                <w:color w:val="000000" w:themeColor="text1"/>
                <w:sz w:val="24"/>
                <w14:textFill>
                  <w14:solidFill>
                    <w14:schemeClr w14:val="tx1"/>
                  </w14:solidFill>
                </w14:textFill>
              </w:rPr>
              <w:t>排风量</w:t>
            </w:r>
            <w:r>
              <w:rPr>
                <w:rFonts w:hint="eastAsia" w:ascii="Times New Roman" w:hAnsi="Times New Roman" w:eastAsia="宋体" w:cs="Times New Roman"/>
                <w:color w:val="000000" w:themeColor="text1"/>
                <w:sz w:val="24"/>
                <w14:textFill>
                  <w14:solidFill>
                    <w14:schemeClr w14:val="tx1"/>
                  </w14:solidFill>
                </w14:textFill>
              </w:rPr>
              <w:t>（m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/s）；</w:t>
            </w:r>
          </w:p>
          <w:p w14:paraId="6AA8B72B">
            <w:pPr>
              <w:spacing w:line="360" w:lineRule="auto"/>
              <w:ind w:firstLine="1200" w:firstLineChars="5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K—</w:t>
            </w:r>
            <w:r>
              <w:rPr>
                <w:rFonts w:hint="eastAsia" w:ascii="Times New Roman" w:hAnsi="Times New Roman" w:eastAsia="宋体" w:cs="Times New Roman"/>
                <w:color w:val="000000" w:themeColor="text1"/>
                <w:sz w:val="24"/>
                <w14:textFill>
                  <w14:solidFill>
                    <w14:schemeClr w14:val="tx1"/>
                  </w14:solidFill>
                </w14:textFill>
              </w:rPr>
              <w:t>考虑</w:t>
            </w:r>
            <w:r>
              <w:rPr>
                <w:rFonts w:ascii="Times New Roman" w:hAnsi="Times New Roman" w:eastAsia="宋体" w:cs="Times New Roman"/>
                <w:color w:val="000000" w:themeColor="text1"/>
                <w:sz w:val="24"/>
                <w14:textFill>
                  <w14:solidFill>
                    <w14:schemeClr w14:val="tx1"/>
                  </w14:solidFill>
                </w14:textFill>
              </w:rPr>
              <w:t>沿高度速度分布不均的安全系数，通常</w:t>
            </w:r>
            <w:r>
              <w:rPr>
                <w:rFonts w:hint="eastAsia" w:ascii="Times New Roman" w:hAnsi="Times New Roman" w:eastAsia="宋体" w:cs="Times New Roman"/>
                <w:color w:val="000000" w:themeColor="text1"/>
                <w:sz w:val="24"/>
                <w14:textFill>
                  <w14:solidFill>
                    <w14:schemeClr w14:val="tx1"/>
                  </w14:solidFill>
                </w14:textFill>
              </w:rPr>
              <w:t>取K=1.4</w:t>
            </w:r>
          </w:p>
          <w:p w14:paraId="6587DE49">
            <w:pPr>
              <w:spacing w:line="360" w:lineRule="auto"/>
              <w:ind w:firstLine="1200" w:firstLineChars="5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P</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罩口</w:t>
            </w:r>
            <w:r>
              <w:rPr>
                <w:rFonts w:ascii="Times New Roman" w:hAnsi="Times New Roman" w:eastAsia="宋体" w:cs="Times New Roman"/>
                <w:color w:val="000000" w:themeColor="text1"/>
                <w:sz w:val="24"/>
                <w14:textFill>
                  <w14:solidFill>
                    <w14:schemeClr w14:val="tx1"/>
                  </w14:solidFill>
                </w14:textFill>
              </w:rPr>
              <w:t>敞开面的周长，m</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本项目</w:t>
            </w:r>
            <w:r>
              <w:rPr>
                <w:rFonts w:hint="eastAsia" w:ascii="Times New Roman" w:hAnsi="Times New Roman" w:eastAsia="宋体" w:cs="Times New Roman"/>
                <w:color w:val="000000" w:themeColor="text1"/>
                <w:sz w:val="24"/>
                <w14:textFill>
                  <w14:solidFill>
                    <w14:schemeClr w14:val="tx1"/>
                  </w14:solidFill>
                </w14:textFill>
              </w:rPr>
              <w:t>取</w:t>
            </w:r>
            <w:r>
              <w:rPr>
                <w:rFonts w:ascii="Times New Roman" w:hAnsi="Times New Roman" w:eastAsia="宋体" w:cs="Times New Roman"/>
                <w:color w:val="000000" w:themeColor="text1"/>
                <w:sz w:val="24"/>
                <w14:textFill>
                  <w14:solidFill>
                    <w14:schemeClr w14:val="tx1"/>
                  </w14:solidFill>
                </w14:textFill>
              </w:rPr>
              <w:t>设备产污工位周长单位计算。</w:t>
            </w:r>
          </w:p>
          <w:p w14:paraId="1D97367F">
            <w:pPr>
              <w:spacing w:line="360" w:lineRule="auto"/>
              <w:ind w:firstLine="1200" w:firstLineChars="5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H—罩口</w:t>
            </w:r>
            <w:r>
              <w:rPr>
                <w:rFonts w:ascii="Times New Roman" w:hAnsi="Times New Roman" w:eastAsia="宋体" w:cs="Times New Roman"/>
                <w:color w:val="000000" w:themeColor="text1"/>
                <w:sz w:val="24"/>
                <w14:textFill>
                  <w14:solidFill>
                    <w14:schemeClr w14:val="tx1"/>
                  </w14:solidFill>
                </w14:textFill>
              </w:rPr>
              <w:t>至污染源距离，m；本项目取</w:t>
            </w:r>
            <w:r>
              <w:rPr>
                <w:rFonts w:hint="eastAsia" w:ascii="Times New Roman" w:hAnsi="Times New Roman" w:eastAsia="宋体" w:cs="Times New Roman"/>
                <w:color w:val="000000" w:themeColor="text1"/>
                <w:sz w:val="24"/>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4</w:t>
            </w:r>
            <w:r>
              <w:rPr>
                <w:rFonts w:ascii="Times New Roman" w:hAnsi="Times New Roman" w:eastAsia="宋体" w:cs="Times New Roman"/>
                <w:color w:val="000000" w:themeColor="text1"/>
                <w:sz w:val="24"/>
                <w14:textFill>
                  <w14:solidFill>
                    <w14:schemeClr w14:val="tx1"/>
                  </w14:solidFill>
                </w14:textFill>
              </w:rPr>
              <w:t>m；</w:t>
            </w:r>
          </w:p>
          <w:p w14:paraId="2867856A">
            <w:pPr>
              <w:spacing w:line="360" w:lineRule="auto"/>
              <w:ind w:firstLine="1200" w:firstLineChars="5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V</w:t>
            </w:r>
            <w:r>
              <w:rPr>
                <w:rFonts w:ascii="Times New Roman" w:hAnsi="Times New Roman" w:eastAsia="宋体" w:cs="Times New Roman"/>
                <w:color w:val="000000" w:themeColor="text1"/>
                <w:sz w:val="24"/>
                <w:vertAlign w:val="subscript"/>
                <w14:textFill>
                  <w14:solidFill>
                    <w14:schemeClr w14:val="tx1"/>
                  </w14:solidFill>
                </w14:textFill>
              </w:rPr>
              <w:t>x</w:t>
            </w:r>
            <w:r>
              <w:rPr>
                <w:rFonts w:hint="eastAsia" w:ascii="Times New Roman" w:hAnsi="Times New Roman" w:eastAsia="宋体" w:cs="Times New Roman"/>
                <w:color w:val="000000" w:themeColor="text1"/>
                <w:sz w:val="24"/>
                <w14:textFill>
                  <w14:solidFill>
                    <w14:schemeClr w14:val="tx1"/>
                  </w14:solidFill>
                </w14:textFill>
              </w:rPr>
              <w:t>—污染源边缘控制速度，m/s，本项目废气风速控住0</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6</w:t>
            </w:r>
            <w:r>
              <w:rPr>
                <w:rFonts w:ascii="Times New Roman" w:hAnsi="Times New Roman" w:eastAsia="宋体" w:cs="Times New Roman"/>
                <w:color w:val="000000" w:themeColor="text1"/>
                <w:sz w:val="24"/>
                <w14:textFill>
                  <w14:solidFill>
                    <w14:schemeClr w14:val="tx1"/>
                  </w14:solidFill>
                </w14:textFill>
              </w:rPr>
              <w:t>m/s</w:t>
            </w:r>
            <w:r>
              <w:rPr>
                <w:rFonts w:hint="eastAsia" w:ascii="Times New Roman" w:hAnsi="Times New Roman" w:eastAsia="宋体" w:cs="Times New Roman"/>
                <w:color w:val="000000" w:themeColor="text1"/>
                <w:sz w:val="24"/>
                <w14:textFill>
                  <w14:solidFill>
                    <w14:schemeClr w14:val="tx1"/>
                  </w14:solidFill>
                </w14:textFill>
              </w:rPr>
              <w:t>；</w:t>
            </w:r>
          </w:p>
          <w:p w14:paraId="267606C1">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本项目废气设计风量计算如下表所示：</w:t>
            </w:r>
          </w:p>
          <w:p w14:paraId="2B486520">
            <w:pPr>
              <w:ind w:firstLine="420" w:firstLineChars="20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表</w:t>
            </w:r>
            <w:r>
              <w:rPr>
                <w:rFonts w:hint="eastAsia" w:ascii="Times New Roman" w:hAnsi="Times New Roman" w:eastAsia="宋体" w:cs="Times New Roman"/>
                <w:b/>
                <w:bCs/>
                <w:color w:val="000000" w:themeColor="text1"/>
                <w:szCs w:val="21"/>
                <w14:textFill>
                  <w14:solidFill>
                    <w14:schemeClr w14:val="tx1"/>
                  </w14:solidFill>
                </w14:textFill>
              </w:rPr>
              <w:t>4</w:t>
            </w:r>
            <w:r>
              <w:rPr>
                <w:rFonts w:ascii="Times New Roman" w:hAnsi="Times New Roman" w:eastAsia="宋体" w:cs="Times New Roman"/>
                <w:b/>
                <w:bCs/>
                <w:color w:val="000000" w:themeColor="text1"/>
                <w:szCs w:val="21"/>
                <w14:textFill>
                  <w14:solidFill>
                    <w14:schemeClr w14:val="tx1"/>
                  </w14:solidFill>
                </w14:textFill>
              </w:rPr>
              <w:t>-</w:t>
            </w:r>
            <w:r>
              <w:rPr>
                <w:rFonts w:hint="eastAsia" w:ascii="Times New Roman" w:hAnsi="Times New Roman" w:eastAsia="宋体" w:cs="Times New Roman"/>
                <w:b/>
                <w:bCs/>
                <w:color w:val="000000" w:themeColor="text1"/>
                <w:szCs w:val="21"/>
                <w:lang w:val="en-US" w:eastAsia="zh-CN"/>
                <w14:textFill>
                  <w14:solidFill>
                    <w14:schemeClr w14:val="tx1"/>
                  </w14:solidFill>
                </w14:textFill>
              </w:rPr>
              <w:t>5</w:t>
            </w:r>
            <w:r>
              <w:rPr>
                <w:rFonts w:hint="eastAsia" w:ascii="Times New Roman" w:hAnsi="Times New Roman" w:eastAsia="宋体" w:cs="Times New Roman"/>
                <w:b/>
                <w:bCs/>
                <w:color w:val="000000" w:themeColor="text1"/>
                <w:szCs w:val="21"/>
                <w14:textFill>
                  <w14:solidFill>
                    <w14:schemeClr w14:val="tx1"/>
                  </w14:solidFill>
                </w14:textFill>
              </w:rPr>
              <w:t xml:space="preserve"> 刷胶、浇注、烘干、脱模工序废气设计抽风量</w:t>
            </w:r>
            <w:r>
              <w:rPr>
                <w:rFonts w:hint="eastAsia" w:ascii="Times New Roman" w:hAnsi="Times New Roman" w:eastAsia="宋体" w:cs="Times New Roman"/>
                <w:b/>
                <w:bCs/>
                <w:color w:val="000000" w:themeColor="text1"/>
                <w:szCs w:val="21"/>
                <w:lang w:val="en-US" w:eastAsia="zh-CN"/>
                <w14:textFill>
                  <w14:solidFill>
                    <w14:schemeClr w14:val="tx1"/>
                  </w14:solidFill>
                </w14:textFill>
              </w:rPr>
              <w:t>统计</w:t>
            </w:r>
            <w:r>
              <w:rPr>
                <w:rFonts w:hint="eastAsia" w:ascii="Times New Roman" w:hAnsi="Times New Roman" w:eastAsia="宋体" w:cs="Times New Roman"/>
                <w:b/>
                <w:bCs/>
                <w:color w:val="000000" w:themeColor="text1"/>
                <w:szCs w:val="21"/>
                <w14:textFill>
                  <w14:solidFill>
                    <w14:schemeClr w14:val="tx1"/>
                  </w14:solidFill>
                </w14:textFill>
              </w:rPr>
              <w:t>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768"/>
              <w:gridCol w:w="768"/>
              <w:gridCol w:w="767"/>
              <w:gridCol w:w="767"/>
              <w:gridCol w:w="767"/>
              <w:gridCol w:w="767"/>
              <w:gridCol w:w="768"/>
              <w:gridCol w:w="768"/>
              <w:gridCol w:w="768"/>
            </w:tblGrid>
            <w:tr w14:paraId="3554B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dxa"/>
                  <w:vAlign w:val="center"/>
                </w:tcPr>
                <w:p w14:paraId="31F0ACE3">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废气类别</w:t>
                  </w:r>
                </w:p>
              </w:tc>
              <w:tc>
                <w:tcPr>
                  <w:tcW w:w="1564" w:type="dxa"/>
                  <w:gridSpan w:val="2"/>
                  <w:vAlign w:val="center"/>
                </w:tcPr>
                <w:p w14:paraId="6A54535F">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产污节点</w:t>
                  </w:r>
                </w:p>
              </w:tc>
              <w:tc>
                <w:tcPr>
                  <w:tcW w:w="781" w:type="dxa"/>
                  <w:vAlign w:val="center"/>
                </w:tcPr>
                <w:p w14:paraId="12E3D92C">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节点设备数</w:t>
                  </w:r>
                </w:p>
              </w:tc>
              <w:tc>
                <w:tcPr>
                  <w:tcW w:w="781" w:type="dxa"/>
                  <w:vAlign w:val="center"/>
                </w:tcPr>
                <w:p w14:paraId="62626B7C">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废气收集方式</w:t>
                  </w:r>
                </w:p>
              </w:tc>
              <w:tc>
                <w:tcPr>
                  <w:tcW w:w="781" w:type="dxa"/>
                  <w:vAlign w:val="center"/>
                </w:tcPr>
                <w:p w14:paraId="304922CA">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废气收集效率</w:t>
                  </w:r>
                </w:p>
              </w:tc>
              <w:tc>
                <w:tcPr>
                  <w:tcW w:w="781" w:type="dxa"/>
                  <w:vAlign w:val="center"/>
                </w:tcPr>
                <w:p w14:paraId="69FC785A">
                  <w:pPr>
                    <w:autoSpaceDE w:val="0"/>
                    <w:autoSpaceDN w:val="0"/>
                    <w:jc w:val="center"/>
                    <w:rPr>
                      <w:rFonts w:hint="default" w:ascii="Times New Roman" w:hAnsi="Times New Roman" w:cs="Times New Roman" w:eastAsiaTheme="minorEastAsia"/>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设计参数</w:t>
                  </w:r>
                </w:p>
              </w:tc>
              <w:tc>
                <w:tcPr>
                  <w:tcW w:w="782" w:type="dxa"/>
                  <w:vAlign w:val="center"/>
                </w:tcPr>
                <w:p w14:paraId="2E848EC6">
                  <w:pPr>
                    <w:autoSpaceDE w:val="0"/>
                    <w:autoSpaceDN w:val="0"/>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换气次数</w:t>
                  </w:r>
                </w:p>
              </w:tc>
              <w:tc>
                <w:tcPr>
                  <w:tcW w:w="782" w:type="dxa"/>
                  <w:vAlign w:val="center"/>
                </w:tcPr>
                <w:p w14:paraId="36FB0621">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理论设计抽风量m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/h</w:t>
                  </w:r>
                </w:p>
              </w:tc>
              <w:tc>
                <w:tcPr>
                  <w:tcW w:w="782" w:type="dxa"/>
                  <w:vAlign w:val="center"/>
                </w:tcPr>
                <w:p w14:paraId="7FF70BB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设计抽风量m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/h</w:t>
                  </w:r>
                </w:p>
              </w:tc>
            </w:tr>
            <w:tr w14:paraId="69FC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dxa"/>
                  <w:vAlign w:val="center"/>
                </w:tcPr>
                <w:p w14:paraId="01CBF99B">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非甲烷总</w:t>
                  </w:r>
                </w:p>
              </w:tc>
              <w:tc>
                <w:tcPr>
                  <w:tcW w:w="782" w:type="dxa"/>
                  <w:vAlign w:val="center"/>
                </w:tcPr>
                <w:p w14:paraId="0E8E8738">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刷胶</w:t>
                  </w:r>
                </w:p>
              </w:tc>
              <w:tc>
                <w:tcPr>
                  <w:tcW w:w="782" w:type="dxa"/>
                  <w:vAlign w:val="center"/>
                </w:tcPr>
                <w:p w14:paraId="1C70D5E6">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刷胶机</w:t>
                  </w:r>
                </w:p>
              </w:tc>
              <w:tc>
                <w:tcPr>
                  <w:tcW w:w="781" w:type="dxa"/>
                  <w:vAlign w:val="center"/>
                </w:tcPr>
                <w:p w14:paraId="721383C0">
                  <w:pPr>
                    <w:autoSpaceDE w:val="0"/>
                    <w:autoSpaceDN w:val="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w:t>
                  </w:r>
                </w:p>
              </w:tc>
              <w:tc>
                <w:tcPr>
                  <w:tcW w:w="781" w:type="dxa"/>
                  <w:vMerge w:val="restart"/>
                  <w:vAlign w:val="center"/>
                </w:tcPr>
                <w:p w14:paraId="7647B8BD">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集气罩</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 xml:space="preserve"> </w:t>
                  </w:r>
                  <w:r>
                    <w:rPr>
                      <w:rFonts w:hint="eastAsia" w:ascii="Times New Roman" w:hAnsi="Times New Roman" w:eastAsia="宋体" w:cs="Times New Roman"/>
                      <w:color w:val="000000" w:themeColor="text1"/>
                      <w:szCs w:val="21"/>
                      <w:lang w:val="en-US" w:eastAsia="zh-CN"/>
                      <w14:textFill>
                        <w14:solidFill>
                          <w14:schemeClr w14:val="tx1"/>
                        </w14:solidFill>
                      </w14:textFill>
                    </w:rPr>
                    <w:t>整体密闭</w:t>
                  </w:r>
                </w:p>
              </w:tc>
              <w:tc>
                <w:tcPr>
                  <w:tcW w:w="781" w:type="dxa"/>
                  <w:vAlign w:val="center"/>
                </w:tcPr>
                <w:p w14:paraId="0DE04550">
                  <w:pPr>
                    <w:autoSpaceDE w:val="0"/>
                    <w:autoSpaceDN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80</w:t>
                  </w:r>
                  <w:r>
                    <w:rPr>
                      <w:rFonts w:ascii="Times New Roman" w:hAnsi="Times New Roman" w:eastAsia="宋体" w:cs="Times New Roman"/>
                      <w:color w:val="000000" w:themeColor="text1"/>
                      <w:szCs w:val="21"/>
                      <w:highlight w:val="none"/>
                      <w14:textFill>
                        <w14:solidFill>
                          <w14:schemeClr w14:val="tx1"/>
                        </w14:solidFill>
                      </w14:textFill>
                    </w:rPr>
                    <w:t>%</w:t>
                  </w:r>
                </w:p>
              </w:tc>
              <w:tc>
                <w:tcPr>
                  <w:tcW w:w="781" w:type="dxa"/>
                  <w:vAlign w:val="center"/>
                </w:tcPr>
                <w:p w14:paraId="089763B4">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48m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lang w:val="en-US" w:eastAsia="zh-CN"/>
                      <w14:textFill>
                        <w14:solidFill>
                          <w14:schemeClr w14:val="tx1"/>
                        </w14:solidFill>
                      </w14:textFill>
                    </w:rPr>
                    <w:t>（4m×4m×3m）</w:t>
                  </w:r>
                </w:p>
              </w:tc>
              <w:tc>
                <w:tcPr>
                  <w:tcW w:w="782" w:type="dxa"/>
                  <w:vAlign w:val="center"/>
                </w:tcPr>
                <w:p w14:paraId="114BF5D9">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60</w:t>
                  </w:r>
                </w:p>
              </w:tc>
              <w:tc>
                <w:tcPr>
                  <w:tcW w:w="782" w:type="dxa"/>
                  <w:vAlign w:val="center"/>
                </w:tcPr>
                <w:p w14:paraId="2C3225FF">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5760</w:t>
                  </w:r>
                </w:p>
              </w:tc>
              <w:tc>
                <w:tcPr>
                  <w:tcW w:w="782" w:type="dxa"/>
                  <w:vAlign w:val="center"/>
                </w:tcPr>
                <w:p w14:paraId="2A9A9871">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6000</w:t>
                  </w:r>
                </w:p>
              </w:tc>
            </w:tr>
            <w:tr w14:paraId="0F36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dxa"/>
                  <w:vAlign w:val="center"/>
                </w:tcPr>
                <w:p w14:paraId="5087E76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非甲烷总烃</w:t>
                  </w:r>
                </w:p>
              </w:tc>
              <w:tc>
                <w:tcPr>
                  <w:tcW w:w="782" w:type="dxa"/>
                  <w:vAlign w:val="center"/>
                </w:tcPr>
                <w:p w14:paraId="2EDDFE74">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浇注</w:t>
                  </w:r>
                </w:p>
              </w:tc>
              <w:tc>
                <w:tcPr>
                  <w:tcW w:w="782" w:type="dxa"/>
                  <w:vAlign w:val="center"/>
                </w:tcPr>
                <w:p w14:paraId="3F95625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浇注机</w:t>
                  </w:r>
                </w:p>
              </w:tc>
              <w:tc>
                <w:tcPr>
                  <w:tcW w:w="781" w:type="dxa"/>
                  <w:vAlign w:val="center"/>
                </w:tcPr>
                <w:p w14:paraId="73C7A12B">
                  <w:pPr>
                    <w:autoSpaceDE w:val="0"/>
                    <w:autoSpaceDN w:val="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w:t>
                  </w:r>
                </w:p>
              </w:tc>
              <w:tc>
                <w:tcPr>
                  <w:tcW w:w="781" w:type="dxa"/>
                  <w:vMerge w:val="continue"/>
                  <w:vAlign w:val="center"/>
                </w:tcPr>
                <w:p w14:paraId="0250D674">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81" w:type="dxa"/>
                  <w:vAlign w:val="center"/>
                </w:tcPr>
                <w:p w14:paraId="55F62177">
                  <w:pPr>
                    <w:autoSpaceDE w:val="0"/>
                    <w:autoSpaceDN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80</w:t>
                  </w:r>
                  <w:r>
                    <w:rPr>
                      <w:rFonts w:ascii="Times New Roman" w:hAnsi="Times New Roman" w:eastAsia="宋体" w:cs="Times New Roman"/>
                      <w:color w:val="000000" w:themeColor="text1"/>
                      <w:szCs w:val="21"/>
                      <w:highlight w:val="none"/>
                      <w14:textFill>
                        <w14:solidFill>
                          <w14:schemeClr w14:val="tx1"/>
                        </w14:solidFill>
                      </w14:textFill>
                    </w:rPr>
                    <w:t>%</w:t>
                  </w:r>
                </w:p>
              </w:tc>
              <w:tc>
                <w:tcPr>
                  <w:tcW w:w="781" w:type="dxa"/>
                  <w:vAlign w:val="center"/>
                </w:tcPr>
                <w:p w14:paraId="09128425">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12m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m×2m×3m）</w:t>
                  </w:r>
                </w:p>
              </w:tc>
              <w:tc>
                <w:tcPr>
                  <w:tcW w:w="782" w:type="dxa"/>
                  <w:vAlign w:val="center"/>
                </w:tcPr>
                <w:p w14:paraId="283CCAC3">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60</w:t>
                  </w:r>
                </w:p>
              </w:tc>
              <w:tc>
                <w:tcPr>
                  <w:tcW w:w="782" w:type="dxa"/>
                  <w:vAlign w:val="center"/>
                </w:tcPr>
                <w:p w14:paraId="02D01B03">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1440</w:t>
                  </w:r>
                </w:p>
              </w:tc>
              <w:tc>
                <w:tcPr>
                  <w:tcW w:w="782" w:type="dxa"/>
                  <w:vAlign w:val="center"/>
                </w:tcPr>
                <w:p w14:paraId="0CA99035">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1500</w:t>
                  </w:r>
                </w:p>
              </w:tc>
            </w:tr>
            <w:tr w14:paraId="7B57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dxa"/>
                  <w:vAlign w:val="center"/>
                </w:tcPr>
                <w:p w14:paraId="0BFA3653">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非甲烷总烃</w:t>
                  </w:r>
                </w:p>
              </w:tc>
              <w:tc>
                <w:tcPr>
                  <w:tcW w:w="782" w:type="dxa"/>
                  <w:vAlign w:val="center"/>
                </w:tcPr>
                <w:p w14:paraId="6F23D0B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烘干、脱模</w:t>
                  </w:r>
                </w:p>
              </w:tc>
              <w:tc>
                <w:tcPr>
                  <w:tcW w:w="782" w:type="dxa"/>
                  <w:vAlign w:val="center"/>
                </w:tcPr>
                <w:p w14:paraId="0CFE61F1">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烘箱</w:t>
                  </w:r>
                </w:p>
              </w:tc>
              <w:tc>
                <w:tcPr>
                  <w:tcW w:w="781" w:type="dxa"/>
                  <w:vAlign w:val="center"/>
                </w:tcPr>
                <w:p w14:paraId="585CFA0C">
                  <w:pPr>
                    <w:autoSpaceDE w:val="0"/>
                    <w:autoSpaceDN w:val="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w:t>
                  </w:r>
                </w:p>
              </w:tc>
              <w:tc>
                <w:tcPr>
                  <w:tcW w:w="781" w:type="dxa"/>
                  <w:vMerge w:val="continue"/>
                  <w:vAlign w:val="center"/>
                </w:tcPr>
                <w:p w14:paraId="53A24D86">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81" w:type="dxa"/>
                  <w:vAlign w:val="center"/>
                </w:tcPr>
                <w:p w14:paraId="1F860F83">
                  <w:pPr>
                    <w:autoSpaceDE w:val="0"/>
                    <w:autoSpaceDN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w:t>
                  </w:r>
                  <w:r>
                    <w:rPr>
                      <w:rFonts w:ascii="Times New Roman" w:hAnsi="Times New Roman" w:eastAsia="宋体" w:cs="Times New Roman"/>
                      <w:color w:val="000000" w:themeColor="text1"/>
                      <w:szCs w:val="21"/>
                      <w:highlight w:val="none"/>
                      <w14:textFill>
                        <w14:solidFill>
                          <w14:schemeClr w14:val="tx1"/>
                        </w14:solidFill>
                      </w14:textFill>
                    </w:rPr>
                    <w:t>0%</w:t>
                  </w:r>
                </w:p>
              </w:tc>
              <w:tc>
                <w:tcPr>
                  <w:tcW w:w="781" w:type="dxa"/>
                  <w:vAlign w:val="center"/>
                </w:tcPr>
                <w:p w14:paraId="3FB90FE0">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18m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3m×3m×2m）</w:t>
                  </w:r>
                </w:p>
              </w:tc>
              <w:tc>
                <w:tcPr>
                  <w:tcW w:w="782" w:type="dxa"/>
                  <w:vAlign w:val="center"/>
                </w:tcPr>
                <w:p w14:paraId="1633B645">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60</w:t>
                  </w:r>
                </w:p>
              </w:tc>
              <w:tc>
                <w:tcPr>
                  <w:tcW w:w="782" w:type="dxa"/>
                  <w:vAlign w:val="center"/>
                </w:tcPr>
                <w:p w14:paraId="48395604">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2160</w:t>
                  </w:r>
                </w:p>
              </w:tc>
              <w:tc>
                <w:tcPr>
                  <w:tcW w:w="782" w:type="dxa"/>
                  <w:vAlign w:val="center"/>
                </w:tcPr>
                <w:p w14:paraId="6EAAA809">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2500</w:t>
                  </w:r>
                </w:p>
              </w:tc>
            </w:tr>
            <w:tr w14:paraId="3718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dxa"/>
                  <w:vAlign w:val="center"/>
                </w:tcPr>
                <w:p w14:paraId="69E470B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非甲烷总烃</w:t>
                  </w:r>
                </w:p>
              </w:tc>
              <w:tc>
                <w:tcPr>
                  <w:tcW w:w="782" w:type="dxa"/>
                  <w:vAlign w:val="center"/>
                </w:tcPr>
                <w:p w14:paraId="4AEE0B1F">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喷漆</w:t>
                  </w:r>
                </w:p>
              </w:tc>
              <w:tc>
                <w:tcPr>
                  <w:tcW w:w="782" w:type="dxa"/>
                  <w:vAlign w:val="center"/>
                </w:tcPr>
                <w:p w14:paraId="54605641">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喷漆柜</w:t>
                  </w:r>
                </w:p>
              </w:tc>
              <w:tc>
                <w:tcPr>
                  <w:tcW w:w="781" w:type="dxa"/>
                  <w:vAlign w:val="center"/>
                </w:tcPr>
                <w:p w14:paraId="2A931D94">
                  <w:pPr>
                    <w:autoSpaceDE w:val="0"/>
                    <w:autoSpaceDN w:val="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w:t>
                  </w:r>
                </w:p>
              </w:tc>
              <w:tc>
                <w:tcPr>
                  <w:tcW w:w="781" w:type="dxa"/>
                  <w:vAlign w:val="center"/>
                </w:tcPr>
                <w:p w14:paraId="0E07199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81" w:type="dxa"/>
                  <w:vAlign w:val="center"/>
                </w:tcPr>
                <w:p w14:paraId="4F66C2DD">
                  <w:pPr>
                    <w:autoSpaceDE w:val="0"/>
                    <w:autoSpaceDN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65</w:t>
                  </w:r>
                  <w:r>
                    <w:rPr>
                      <w:rFonts w:ascii="Times New Roman" w:hAnsi="Times New Roman" w:eastAsia="宋体" w:cs="Times New Roman"/>
                      <w:color w:val="000000" w:themeColor="text1"/>
                      <w:szCs w:val="21"/>
                      <w:highlight w:val="none"/>
                      <w14:textFill>
                        <w14:solidFill>
                          <w14:schemeClr w14:val="tx1"/>
                        </w14:solidFill>
                      </w14:textFill>
                    </w:rPr>
                    <w:t>%</w:t>
                  </w:r>
                </w:p>
              </w:tc>
              <w:tc>
                <w:tcPr>
                  <w:tcW w:w="781" w:type="dxa"/>
                  <w:vAlign w:val="center"/>
                </w:tcPr>
                <w:p w14:paraId="1E36FC28">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1.5</w:t>
                  </w:r>
                  <w:r>
                    <w:rPr>
                      <w:rFonts w:hint="eastAsia"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2</w:t>
                  </w:r>
                  <w:r>
                    <w:rPr>
                      <w:rFonts w:hint="eastAsia" w:ascii="Times New Roman" w:hAnsi="Times New Roman" w:eastAsia="宋体" w:cs="Times New Roman"/>
                      <w:color w:val="000000" w:themeColor="text1"/>
                      <w:szCs w:val="21"/>
                      <w14:textFill>
                        <w14:solidFill>
                          <w14:schemeClr w14:val="tx1"/>
                        </w14:solidFill>
                      </w14:textFill>
                    </w:rPr>
                    <w:t>m，周长</w:t>
                  </w:r>
                  <w:r>
                    <w:rPr>
                      <w:rFonts w:hint="eastAsia" w:ascii="Times New Roman" w:hAnsi="Times New Roman" w:eastAsia="宋体" w:cs="Times New Roman"/>
                      <w:color w:val="000000" w:themeColor="text1"/>
                      <w:szCs w:val="21"/>
                      <w:lang w:val="en-US" w:eastAsia="zh-CN"/>
                      <w14:textFill>
                        <w14:solidFill>
                          <w14:schemeClr w14:val="tx1"/>
                        </w14:solidFill>
                      </w14:textFill>
                    </w:rPr>
                    <w:t>7</w:t>
                  </w:r>
                  <w:r>
                    <w:rPr>
                      <w:rFonts w:hint="eastAsia" w:ascii="Times New Roman" w:hAnsi="Times New Roman" w:eastAsia="宋体" w:cs="Times New Roman"/>
                      <w:color w:val="000000" w:themeColor="text1"/>
                      <w:szCs w:val="21"/>
                      <w14:textFill>
                        <w14:solidFill>
                          <w14:schemeClr w14:val="tx1"/>
                        </w14:solidFill>
                      </w14:textFill>
                    </w:rPr>
                    <w:t>m</w:t>
                  </w:r>
                </w:p>
              </w:tc>
              <w:tc>
                <w:tcPr>
                  <w:tcW w:w="782" w:type="dxa"/>
                  <w:vAlign w:val="center"/>
                </w:tcPr>
                <w:p w14:paraId="1B11411A">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c>
                <w:tcPr>
                  <w:tcW w:w="782" w:type="dxa"/>
                  <w:vAlign w:val="center"/>
                </w:tcPr>
                <w:p w14:paraId="60812809">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8467.2</w:t>
                  </w:r>
                </w:p>
              </w:tc>
              <w:tc>
                <w:tcPr>
                  <w:tcW w:w="782" w:type="dxa"/>
                  <w:vAlign w:val="center"/>
                </w:tcPr>
                <w:p w14:paraId="24C25254">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10000</w:t>
                  </w:r>
                </w:p>
              </w:tc>
            </w:tr>
            <w:tr w14:paraId="664F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0" w:type="dxa"/>
                  <w:gridSpan w:val="7"/>
                  <w:vAlign w:val="center"/>
                </w:tcPr>
                <w:p w14:paraId="2DF1D834">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合计（有机废气</w:t>
                  </w:r>
                  <w:r>
                    <w:rPr>
                      <w:rFonts w:hint="eastAsia" w:ascii="Times New Roman" w:hAnsi="Times New Roman" w:eastAsia="宋体" w:cs="Times New Roman"/>
                      <w:color w:val="000000" w:themeColor="text1"/>
                      <w:szCs w:val="21"/>
                      <w14:textFill>
                        <w14:solidFill>
                          <w14:schemeClr w14:val="tx1"/>
                        </w14:solidFill>
                      </w14:textFill>
                    </w:rPr>
                    <w:t>D</w:t>
                  </w:r>
                  <w:r>
                    <w:rPr>
                      <w:rFonts w:ascii="Times New Roman" w:hAnsi="Times New Roman" w:eastAsia="宋体" w:cs="Times New Roman"/>
                      <w:color w:val="000000" w:themeColor="text1"/>
                      <w:szCs w:val="21"/>
                      <w14:textFill>
                        <w14:solidFill>
                          <w14:schemeClr w14:val="tx1"/>
                        </w14:solidFill>
                      </w14:textFill>
                    </w:rPr>
                    <w:t>A005风量）</w:t>
                  </w:r>
                </w:p>
              </w:tc>
              <w:tc>
                <w:tcPr>
                  <w:tcW w:w="782" w:type="dxa"/>
                  <w:vAlign w:val="center"/>
                </w:tcPr>
                <w:p w14:paraId="2017026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82" w:type="dxa"/>
                  <w:vAlign w:val="center"/>
                </w:tcPr>
                <w:p w14:paraId="0E030E68">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17827.2</w:t>
                  </w:r>
                </w:p>
              </w:tc>
              <w:tc>
                <w:tcPr>
                  <w:tcW w:w="782" w:type="dxa"/>
                  <w:vAlign w:val="center"/>
                </w:tcPr>
                <w:p w14:paraId="53877386">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20000</w:t>
                  </w:r>
                </w:p>
              </w:tc>
            </w:tr>
          </w:tbl>
          <w:p w14:paraId="44381E55">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cs="Times New Roman"/>
                <w:color w:val="000000" w:themeColor="text1"/>
                <w:sz w:val="24"/>
                <w:szCs w:val="24"/>
                <w14:textFill>
                  <w14:solidFill>
                    <w14:schemeClr w14:val="tx1"/>
                  </w14:solidFill>
                </w14:textFill>
              </w:rPr>
              <w:t>项目设置的集气罩方式为在</w:t>
            </w:r>
            <w:r>
              <w:rPr>
                <w:rFonts w:hint="eastAsia" w:ascii="Times New Roman" w:cs="Times New Roman"/>
                <w:color w:val="000000" w:themeColor="text1"/>
                <w:sz w:val="24"/>
                <w:szCs w:val="24"/>
                <w:lang w:val="en-US" w:eastAsia="zh-CN"/>
                <w14:textFill>
                  <w14:solidFill>
                    <w14:schemeClr w14:val="tx1"/>
                  </w14:solidFill>
                </w14:textFill>
              </w:rPr>
              <w:t>制孔车床</w:t>
            </w:r>
            <w:r>
              <w:rPr>
                <w:rFonts w:ascii="Times New Roman" w:cs="Times New Roman"/>
                <w:color w:val="000000" w:themeColor="text1"/>
                <w:sz w:val="24"/>
                <w:szCs w:val="24"/>
                <w14:textFill>
                  <w14:solidFill>
                    <w14:schemeClr w14:val="tx1"/>
                  </w14:solidFill>
                </w14:textFill>
              </w:rPr>
              <w:t>外设置大包围罩将其全部密闭（类似一个小房间，保留</w:t>
            </w:r>
            <w:r>
              <w:rPr>
                <w:rFonts w:hint="eastAsia" w:ascii="Times New Roman" w:cs="Times New Roman"/>
                <w:color w:val="000000" w:themeColor="text1"/>
                <w:sz w:val="24"/>
                <w:szCs w:val="24"/>
                <w:lang w:eastAsia="zh-CN"/>
                <w14:textFill>
                  <w14:solidFill>
                    <w14:schemeClr w14:val="tx1"/>
                  </w14:solidFill>
                </w14:textFill>
              </w:rPr>
              <w:t>前端</w:t>
            </w:r>
            <w:r>
              <w:rPr>
                <w:rFonts w:ascii="Times New Roman" w:cs="Times New Roman"/>
                <w:color w:val="000000" w:themeColor="text1"/>
                <w:sz w:val="24"/>
                <w:szCs w:val="24"/>
                <w14:textFill>
                  <w14:solidFill>
                    <w14:schemeClr w14:val="tx1"/>
                  </w14:solidFill>
                </w14:textFill>
              </w:rPr>
              <w:t>一面进行生产操作，其余均围蔽），同时在包围罩内</w:t>
            </w:r>
            <w:r>
              <w:rPr>
                <w:rFonts w:hint="eastAsia" w:ascii="Times New Roman" w:cs="Times New Roman"/>
                <w:color w:val="000000" w:themeColor="text1"/>
                <w:sz w:val="24"/>
                <w:szCs w:val="24"/>
                <w:lang w:val="en-US" w:eastAsia="zh-CN"/>
                <w14:textFill>
                  <w14:solidFill>
                    <w14:schemeClr w14:val="tx1"/>
                  </w14:solidFill>
                </w14:textFill>
              </w:rPr>
              <w:t>车床</w:t>
            </w:r>
            <w:r>
              <w:rPr>
                <w:rFonts w:ascii="Times New Roman" w:cs="Times New Roman"/>
                <w:color w:val="000000" w:themeColor="text1"/>
                <w:sz w:val="24"/>
                <w:szCs w:val="24"/>
                <w14:textFill>
                  <w14:solidFill>
                    <w14:schemeClr w14:val="tx1"/>
                  </w14:solidFill>
                </w14:textFill>
              </w:rPr>
              <w:t>上方设置上吸式集气罩进行密闭包围罩整体抽风，故废气集气罩可作为密闭罩考虑，</w:t>
            </w:r>
            <w:r>
              <w:rPr>
                <w:rFonts w:hint="eastAsia" w:ascii="Times New Roman" w:hAnsi="Times New Roman" w:eastAsia="宋体" w:cs="Times New Roman"/>
                <w:bCs/>
                <w:color w:val="000000" w:themeColor="text1"/>
                <w:sz w:val="24"/>
                <w14:textFill>
                  <w14:solidFill>
                    <w14:schemeClr w14:val="tx1"/>
                  </w14:solidFill>
                </w14:textFill>
              </w:rPr>
              <w:t>参照《广东省工业源挥发性有机物减排核算方法》（2</w:t>
            </w:r>
            <w:r>
              <w:rPr>
                <w:rFonts w:ascii="Times New Roman" w:hAnsi="Times New Roman" w:eastAsia="宋体" w:cs="Times New Roman"/>
                <w:bCs/>
                <w:color w:val="000000" w:themeColor="text1"/>
                <w:sz w:val="24"/>
                <w14:textFill>
                  <w14:solidFill>
                    <w14:schemeClr w14:val="tx1"/>
                  </w14:solidFill>
                </w14:textFill>
              </w:rPr>
              <w:t>023年修订版</w:t>
            </w:r>
            <w:r>
              <w:rPr>
                <w:rFonts w:hint="eastAsia" w:ascii="Times New Roman" w:hAnsi="Times New Roman" w:eastAsia="宋体" w:cs="Times New Roman"/>
                <w:bCs/>
                <w:color w:val="000000" w:themeColor="text1"/>
                <w:sz w:val="24"/>
                <w14:textFill>
                  <w14:solidFill>
                    <w14:schemeClr w14:val="tx1"/>
                  </w14:solidFill>
                </w14:textFill>
              </w:rPr>
              <w:t>）中表3.3-2废气收集集气效率参考值“</w:t>
            </w:r>
            <w:r>
              <w:rPr>
                <w:rFonts w:hint="eastAsia" w:ascii="Times New Roman" w:hAnsi="Times New Roman" w:eastAsia="宋体" w:cs="Times New Roman"/>
                <w:bCs/>
                <w:color w:val="000000" w:themeColor="text1"/>
                <w:sz w:val="24"/>
                <w:lang w:val="en-US" w:eastAsia="zh-CN"/>
                <w14:textFill>
                  <w14:solidFill>
                    <w14:schemeClr w14:val="tx1"/>
                  </w14:solidFill>
                </w14:textFill>
              </w:rPr>
              <w:t>全密封设备/空间，单层密闭正压</w:t>
            </w:r>
            <w:r>
              <w:rPr>
                <w:rFonts w:hint="eastAsia" w:ascii="Times New Roman" w:hAnsi="Times New Roman" w:eastAsia="宋体" w:cs="Times New Roman"/>
                <w:bCs/>
                <w:color w:val="000000" w:themeColor="text1"/>
                <w:sz w:val="24"/>
                <w14:textFill>
                  <w14:solidFill>
                    <w14:schemeClr w14:val="tx1"/>
                  </w14:solidFill>
                </w14:textFill>
              </w:rPr>
              <w:t>”集气效率可到</w:t>
            </w:r>
            <w:r>
              <w:rPr>
                <w:rFonts w:hint="eastAsia" w:ascii="Times New Roman" w:hAnsi="Times New Roman" w:eastAsia="宋体" w:cs="Times New Roman"/>
                <w:bCs/>
                <w:color w:val="000000" w:themeColor="text1"/>
                <w:sz w:val="24"/>
                <w:lang w:val="en-US" w:eastAsia="zh-CN"/>
                <w14:textFill>
                  <w14:solidFill>
                    <w14:schemeClr w14:val="tx1"/>
                  </w14:solidFill>
                </w14:textFill>
              </w:rPr>
              <w:t>8</w:t>
            </w:r>
            <w:r>
              <w:rPr>
                <w:rFonts w:hint="eastAsia" w:ascii="Times New Roman" w:hAnsi="Times New Roman" w:eastAsia="宋体" w:cs="Times New Roman"/>
                <w:bCs/>
                <w:color w:val="000000" w:themeColor="text1"/>
                <w:sz w:val="24"/>
                <w14:textFill>
                  <w14:solidFill>
                    <w14:schemeClr w14:val="tx1"/>
                  </w14:solidFill>
                </w14:textFill>
              </w:rPr>
              <w:t>0%。因此，本项目收集效率取</w:t>
            </w:r>
            <w:r>
              <w:rPr>
                <w:rFonts w:hint="eastAsia" w:ascii="Times New Roman" w:hAnsi="Times New Roman" w:eastAsia="宋体" w:cs="Times New Roman"/>
                <w:bCs/>
                <w:color w:val="000000" w:themeColor="text1"/>
                <w:sz w:val="24"/>
                <w:lang w:val="en-US" w:eastAsia="zh-CN"/>
                <w14:textFill>
                  <w14:solidFill>
                    <w14:schemeClr w14:val="tx1"/>
                  </w14:solidFill>
                </w14:textFill>
              </w:rPr>
              <w:t>8</w:t>
            </w:r>
            <w:r>
              <w:rPr>
                <w:rFonts w:ascii="Times New Roman" w:hAnsi="Times New Roman" w:eastAsia="宋体" w:cs="Times New Roman"/>
                <w:bCs/>
                <w:color w:val="000000" w:themeColor="text1"/>
                <w:sz w:val="24"/>
                <w14:textFill>
                  <w14:solidFill>
                    <w14:schemeClr w14:val="tx1"/>
                  </w14:solidFill>
                </w14:textFill>
              </w:rPr>
              <w:t>0%。</w:t>
            </w:r>
          </w:p>
          <w:p w14:paraId="4E30498D">
            <w:pPr>
              <w:ind w:firstLine="420" w:firstLineChars="20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表</w:t>
            </w:r>
            <w:r>
              <w:rPr>
                <w:rFonts w:hint="eastAsia" w:ascii="Times New Roman" w:hAnsi="Times New Roman" w:eastAsia="宋体" w:cs="Times New Roman"/>
                <w:b/>
                <w:bCs/>
                <w:color w:val="000000" w:themeColor="text1"/>
                <w:szCs w:val="21"/>
                <w14:textFill>
                  <w14:solidFill>
                    <w14:schemeClr w14:val="tx1"/>
                  </w14:solidFill>
                </w14:textFill>
              </w:rPr>
              <w:t>4</w:t>
            </w:r>
            <w:r>
              <w:rPr>
                <w:rFonts w:ascii="Times New Roman" w:hAnsi="Times New Roman" w:eastAsia="宋体" w:cs="Times New Roman"/>
                <w:b/>
                <w:bCs/>
                <w:color w:val="000000" w:themeColor="text1"/>
                <w:szCs w:val="21"/>
                <w14:textFill>
                  <w14:solidFill>
                    <w14:schemeClr w14:val="tx1"/>
                  </w14:solidFill>
                </w14:textFill>
              </w:rPr>
              <w:t>-</w:t>
            </w:r>
            <w:r>
              <w:rPr>
                <w:rFonts w:hint="eastAsia" w:ascii="Times New Roman" w:hAnsi="Times New Roman" w:eastAsia="宋体" w:cs="Times New Roman"/>
                <w:b/>
                <w:bCs/>
                <w:color w:val="000000" w:themeColor="text1"/>
                <w:szCs w:val="21"/>
                <w:lang w:val="en-US" w:eastAsia="zh-CN"/>
                <w14:textFill>
                  <w14:solidFill>
                    <w14:schemeClr w14:val="tx1"/>
                  </w14:solidFill>
                </w14:textFill>
              </w:rPr>
              <w:t>6</w:t>
            </w:r>
            <w:r>
              <w:rPr>
                <w:rFonts w:hint="eastAsia" w:ascii="Times New Roman" w:hAnsi="Times New Roman" w:eastAsia="宋体" w:cs="Times New Roman"/>
                <w:b/>
                <w:bCs/>
                <w:color w:val="000000" w:themeColor="text1"/>
                <w:szCs w:val="21"/>
                <w14:textFill>
                  <w14:solidFill>
                    <w14:schemeClr w14:val="tx1"/>
                  </w14:solidFill>
                </w14:textFill>
              </w:rPr>
              <w:t xml:space="preserve"> </w:t>
            </w:r>
            <w:r>
              <w:rPr>
                <w:rFonts w:ascii="Times New Roman" w:hAnsi="Times New Roman" w:eastAsia="宋体" w:cs="Times New Roman"/>
                <w:b/>
                <w:bCs/>
                <w:color w:val="000000" w:themeColor="text1"/>
                <w:szCs w:val="21"/>
                <w14:textFill>
                  <w14:solidFill>
                    <w14:schemeClr w14:val="tx1"/>
                  </w14:solidFill>
                </w14:textFill>
              </w:rPr>
              <w:t>制孔</w:t>
            </w:r>
            <w:r>
              <w:rPr>
                <w:rFonts w:hint="eastAsia" w:ascii="Times New Roman" w:hAnsi="Times New Roman" w:eastAsia="宋体" w:cs="Times New Roman"/>
                <w:b/>
                <w:bCs/>
                <w:color w:val="000000" w:themeColor="text1"/>
                <w:szCs w:val="21"/>
                <w:lang w:eastAsia="zh-CN"/>
                <w14:textFill>
                  <w14:solidFill>
                    <w14:schemeClr w14:val="tx1"/>
                  </w14:solidFill>
                </w14:textFill>
              </w:rPr>
              <w:t>、</w:t>
            </w:r>
            <w:r>
              <w:rPr>
                <w:rFonts w:hint="eastAsia" w:ascii="Times New Roman" w:hAnsi="Times New Roman" w:eastAsia="宋体" w:cs="Times New Roman"/>
                <w:b/>
                <w:bCs/>
                <w:color w:val="000000" w:themeColor="text1"/>
                <w:szCs w:val="21"/>
                <w:lang w:val="en-US" w:eastAsia="zh-CN"/>
                <w14:textFill>
                  <w14:solidFill>
                    <w14:schemeClr w14:val="tx1"/>
                  </w14:solidFill>
                </w14:textFill>
              </w:rPr>
              <w:t>抛丸</w:t>
            </w:r>
            <w:r>
              <w:rPr>
                <w:rFonts w:hint="eastAsia" w:ascii="Times New Roman" w:hAnsi="Times New Roman" w:eastAsia="宋体" w:cs="Times New Roman"/>
                <w:b/>
                <w:bCs/>
                <w:color w:val="000000" w:themeColor="text1"/>
                <w:szCs w:val="21"/>
                <w14:textFill>
                  <w14:solidFill>
                    <w14:schemeClr w14:val="tx1"/>
                  </w14:solidFill>
                </w14:textFill>
              </w:rPr>
              <w:t>废气设计抽风量汇总表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768"/>
              <w:gridCol w:w="768"/>
              <w:gridCol w:w="767"/>
              <w:gridCol w:w="767"/>
              <w:gridCol w:w="767"/>
              <w:gridCol w:w="767"/>
              <w:gridCol w:w="768"/>
              <w:gridCol w:w="768"/>
              <w:gridCol w:w="768"/>
            </w:tblGrid>
            <w:tr w14:paraId="56FC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69" w:type="dxa"/>
                  <w:vAlign w:val="center"/>
                </w:tcPr>
                <w:p w14:paraId="7260E1F8">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废气类别</w:t>
                  </w:r>
                </w:p>
              </w:tc>
              <w:tc>
                <w:tcPr>
                  <w:tcW w:w="1738" w:type="dxa"/>
                  <w:gridSpan w:val="2"/>
                  <w:vAlign w:val="center"/>
                </w:tcPr>
                <w:p w14:paraId="1E14EA77">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产污节点</w:t>
                  </w:r>
                </w:p>
              </w:tc>
              <w:tc>
                <w:tcPr>
                  <w:tcW w:w="868" w:type="dxa"/>
                  <w:vAlign w:val="center"/>
                </w:tcPr>
                <w:p w14:paraId="237394D3">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节点设备数</w:t>
                  </w:r>
                </w:p>
              </w:tc>
              <w:tc>
                <w:tcPr>
                  <w:tcW w:w="868" w:type="dxa"/>
                  <w:vAlign w:val="center"/>
                </w:tcPr>
                <w:p w14:paraId="242121F8">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废气收集方式</w:t>
                  </w:r>
                </w:p>
              </w:tc>
              <w:tc>
                <w:tcPr>
                  <w:tcW w:w="868" w:type="dxa"/>
                  <w:vAlign w:val="center"/>
                </w:tcPr>
                <w:p w14:paraId="2620ED3B">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废气收集效率</w:t>
                  </w:r>
                </w:p>
              </w:tc>
              <w:tc>
                <w:tcPr>
                  <w:tcW w:w="868" w:type="dxa"/>
                  <w:vAlign w:val="center"/>
                </w:tcPr>
                <w:p w14:paraId="5839A48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设计参数</w:t>
                  </w:r>
                </w:p>
              </w:tc>
              <w:tc>
                <w:tcPr>
                  <w:tcW w:w="869" w:type="dxa"/>
                  <w:vAlign w:val="center"/>
                </w:tcPr>
                <w:p w14:paraId="07426EBF">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换气次数</w:t>
                  </w:r>
                </w:p>
              </w:tc>
              <w:tc>
                <w:tcPr>
                  <w:tcW w:w="869" w:type="dxa"/>
                  <w:vAlign w:val="center"/>
                </w:tcPr>
                <w:p w14:paraId="3668F248">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理论设计抽风量m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/h</w:t>
                  </w:r>
                </w:p>
              </w:tc>
              <w:tc>
                <w:tcPr>
                  <w:tcW w:w="869" w:type="dxa"/>
                  <w:vAlign w:val="center"/>
                </w:tcPr>
                <w:p w14:paraId="732392F0">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设计抽风量m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/h</w:t>
                  </w:r>
                </w:p>
              </w:tc>
            </w:tr>
            <w:tr w14:paraId="7ACF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vAlign w:val="center"/>
                </w:tcPr>
                <w:p w14:paraId="6CE4A2E4">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粉尘</w:t>
                  </w:r>
                </w:p>
              </w:tc>
              <w:tc>
                <w:tcPr>
                  <w:tcW w:w="869" w:type="dxa"/>
                  <w:vAlign w:val="center"/>
                </w:tcPr>
                <w:p w14:paraId="1A49FB84">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制孔</w:t>
                  </w:r>
                </w:p>
              </w:tc>
              <w:tc>
                <w:tcPr>
                  <w:tcW w:w="869" w:type="dxa"/>
                  <w:vAlign w:val="center"/>
                </w:tcPr>
                <w:p w14:paraId="2342C601">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车床</w:t>
                  </w:r>
                </w:p>
              </w:tc>
              <w:tc>
                <w:tcPr>
                  <w:tcW w:w="868" w:type="dxa"/>
                  <w:vAlign w:val="center"/>
                </w:tcPr>
                <w:p w14:paraId="53B2E00A">
                  <w:pPr>
                    <w:autoSpaceDE w:val="0"/>
                    <w:autoSpaceDN w:val="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w:t>
                  </w:r>
                </w:p>
              </w:tc>
              <w:tc>
                <w:tcPr>
                  <w:tcW w:w="868" w:type="dxa"/>
                  <w:vAlign w:val="center"/>
                </w:tcPr>
                <w:p w14:paraId="1049CB02">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集气罩+整体密闭</w:t>
                  </w:r>
                </w:p>
              </w:tc>
              <w:tc>
                <w:tcPr>
                  <w:tcW w:w="868" w:type="dxa"/>
                  <w:vAlign w:val="center"/>
                </w:tcPr>
                <w:p w14:paraId="79FDCA5D">
                  <w:pPr>
                    <w:autoSpaceDE w:val="0"/>
                    <w:autoSpaceDN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80</w:t>
                  </w:r>
                  <w:r>
                    <w:rPr>
                      <w:rFonts w:ascii="Times New Roman" w:hAnsi="Times New Roman" w:eastAsia="宋体" w:cs="Times New Roman"/>
                      <w:color w:val="000000" w:themeColor="text1"/>
                      <w:szCs w:val="21"/>
                      <w:highlight w:val="none"/>
                      <w14:textFill>
                        <w14:solidFill>
                          <w14:schemeClr w14:val="tx1"/>
                        </w14:solidFill>
                      </w14:textFill>
                    </w:rPr>
                    <w:t>%</w:t>
                  </w:r>
                </w:p>
              </w:tc>
              <w:tc>
                <w:tcPr>
                  <w:tcW w:w="868" w:type="dxa"/>
                  <w:vAlign w:val="center"/>
                </w:tcPr>
                <w:p w14:paraId="18494C4C">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30m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lang w:val="en-US" w:eastAsia="zh-CN"/>
                      <w14:textFill>
                        <w14:solidFill>
                          <w14:schemeClr w14:val="tx1"/>
                        </w14:solidFill>
                      </w14:textFill>
                    </w:rPr>
                    <w:t>（2.5m×4m×3m）</w:t>
                  </w:r>
                </w:p>
              </w:tc>
              <w:tc>
                <w:tcPr>
                  <w:tcW w:w="869" w:type="dxa"/>
                  <w:vAlign w:val="center"/>
                </w:tcPr>
                <w:p w14:paraId="6ABEDCB6">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60</w:t>
                  </w:r>
                </w:p>
              </w:tc>
              <w:tc>
                <w:tcPr>
                  <w:tcW w:w="869" w:type="dxa"/>
                  <w:vAlign w:val="center"/>
                </w:tcPr>
                <w:p w14:paraId="4F00B27C">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7200</w:t>
                  </w:r>
                </w:p>
              </w:tc>
              <w:tc>
                <w:tcPr>
                  <w:tcW w:w="869" w:type="dxa"/>
                  <w:vAlign w:val="center"/>
                </w:tcPr>
                <w:p w14:paraId="68CC25B2">
                  <w:pPr>
                    <w:autoSpaceDE w:val="0"/>
                    <w:autoSpaceDN w:val="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14:paraId="5A91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9" w:type="dxa"/>
                  <w:vAlign w:val="center"/>
                </w:tcPr>
                <w:p w14:paraId="632CE82C">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粉尘</w:t>
                  </w:r>
                </w:p>
              </w:tc>
              <w:tc>
                <w:tcPr>
                  <w:tcW w:w="869" w:type="dxa"/>
                  <w:vAlign w:val="center"/>
                </w:tcPr>
                <w:p w14:paraId="4CD3C583">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抛丸</w:t>
                  </w:r>
                </w:p>
              </w:tc>
              <w:tc>
                <w:tcPr>
                  <w:tcW w:w="869" w:type="dxa"/>
                  <w:vAlign w:val="center"/>
                </w:tcPr>
                <w:p w14:paraId="734D1126">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抛丸机</w:t>
                  </w:r>
                </w:p>
              </w:tc>
              <w:tc>
                <w:tcPr>
                  <w:tcW w:w="868" w:type="dxa"/>
                  <w:vAlign w:val="center"/>
                </w:tcPr>
                <w:p w14:paraId="6E97C17C">
                  <w:pPr>
                    <w:autoSpaceDE w:val="0"/>
                    <w:autoSpaceDN w:val="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w:t>
                  </w:r>
                </w:p>
              </w:tc>
              <w:tc>
                <w:tcPr>
                  <w:tcW w:w="868" w:type="dxa"/>
                  <w:vAlign w:val="center"/>
                </w:tcPr>
                <w:p w14:paraId="4EE6946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废气</w:t>
                  </w:r>
                  <w:r>
                    <w:rPr>
                      <w:rFonts w:ascii="Times New Roman" w:hAnsi="Times New Roman" w:eastAsia="宋体" w:cs="Times New Roman"/>
                      <w:color w:val="000000" w:themeColor="text1"/>
                      <w:szCs w:val="21"/>
                      <w14:textFill>
                        <w14:solidFill>
                          <w14:schemeClr w14:val="tx1"/>
                        </w14:solidFill>
                      </w14:textFill>
                    </w:rPr>
                    <w:t>排放口直</w:t>
                  </w:r>
                  <w:r>
                    <w:rPr>
                      <w:rFonts w:hint="eastAsia" w:ascii="Times New Roman" w:hAnsi="Times New Roman" w:eastAsia="宋体" w:cs="Times New Roman"/>
                      <w:color w:val="000000" w:themeColor="text1"/>
                      <w:szCs w:val="21"/>
                      <w14:textFill>
                        <w14:solidFill>
                          <w14:schemeClr w14:val="tx1"/>
                        </w14:solidFill>
                      </w14:textFill>
                    </w:rPr>
                    <w:t>连</w:t>
                  </w:r>
                </w:p>
              </w:tc>
              <w:tc>
                <w:tcPr>
                  <w:tcW w:w="868" w:type="dxa"/>
                  <w:vAlign w:val="center"/>
                </w:tcPr>
                <w:p w14:paraId="7ED90677">
                  <w:pPr>
                    <w:autoSpaceDE w:val="0"/>
                    <w:autoSpaceDN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90%</w:t>
                  </w:r>
                </w:p>
              </w:tc>
              <w:tc>
                <w:tcPr>
                  <w:tcW w:w="868" w:type="dxa"/>
                  <w:vAlign w:val="center"/>
                </w:tcPr>
                <w:p w14:paraId="66DA008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0.5</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0.5</w:t>
                  </w:r>
                  <w:r>
                    <w:rPr>
                      <w:rFonts w:ascii="Times New Roman" w:hAnsi="Times New Roman" w:eastAsia="宋体" w:cs="Times New Roman"/>
                      <w:color w:val="000000" w:themeColor="text1"/>
                      <w:szCs w:val="21"/>
                      <w14:textFill>
                        <w14:solidFill>
                          <w14:schemeClr w14:val="tx1"/>
                        </w14:solidFill>
                      </w14:textFill>
                    </w:rPr>
                    <w:t>m，周长</w:t>
                  </w:r>
                  <w:r>
                    <w:rPr>
                      <w:rFonts w:hint="eastAsia" w:ascii="Times New Roman" w:hAnsi="Times New Roman" w:eastAsia="宋体" w:cs="Times New Roman"/>
                      <w:color w:val="000000" w:themeColor="text1"/>
                      <w:szCs w:val="21"/>
                      <w:lang w:val="en-US" w:eastAsia="zh-CN"/>
                      <w14:textFill>
                        <w14:solidFill>
                          <w14:schemeClr w14:val="tx1"/>
                        </w14:solidFill>
                      </w14:textFill>
                    </w:rPr>
                    <w:t>2</w:t>
                  </w:r>
                  <w:r>
                    <w:rPr>
                      <w:rFonts w:hint="eastAsia" w:ascii="Times New Roman" w:hAnsi="Times New Roman" w:eastAsia="宋体" w:cs="Times New Roman"/>
                      <w:color w:val="000000" w:themeColor="text1"/>
                      <w:szCs w:val="21"/>
                      <w14:textFill>
                        <w14:solidFill>
                          <w14:schemeClr w14:val="tx1"/>
                        </w14:solidFill>
                      </w14:textFill>
                    </w:rPr>
                    <w:t>m</w:t>
                  </w:r>
                </w:p>
              </w:tc>
              <w:tc>
                <w:tcPr>
                  <w:tcW w:w="869" w:type="dxa"/>
                  <w:vAlign w:val="center"/>
                </w:tcPr>
                <w:p w14:paraId="51CF3241">
                  <w:pPr>
                    <w:autoSpaceDE w:val="0"/>
                    <w:autoSpaceDN w:val="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c>
                <w:tcPr>
                  <w:tcW w:w="869" w:type="dxa"/>
                  <w:vAlign w:val="center"/>
                </w:tcPr>
                <w:p w14:paraId="5452700A">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4828.4</w:t>
                  </w:r>
                </w:p>
              </w:tc>
              <w:tc>
                <w:tcPr>
                  <w:tcW w:w="869" w:type="dxa"/>
                  <w:vAlign w:val="center"/>
                </w:tcPr>
                <w:p w14:paraId="79A1104A">
                  <w:pPr>
                    <w:autoSpaceDE w:val="0"/>
                    <w:autoSpaceDN w:val="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w:t>
                  </w:r>
                </w:p>
              </w:tc>
            </w:tr>
            <w:tr w14:paraId="1B3B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9" w:type="dxa"/>
                  <w:gridSpan w:val="7"/>
                  <w:vAlign w:val="center"/>
                </w:tcPr>
                <w:p w14:paraId="382CDC1E">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合计（</w:t>
                  </w:r>
                  <w:r>
                    <w:rPr>
                      <w:rFonts w:hint="eastAsia" w:ascii="Times New Roman" w:hAnsi="Times New Roman" w:eastAsia="宋体" w:cs="Times New Roman"/>
                      <w:color w:val="000000" w:themeColor="text1"/>
                      <w:szCs w:val="21"/>
                      <w14:textFill>
                        <w14:solidFill>
                          <w14:schemeClr w14:val="tx1"/>
                        </w14:solidFill>
                      </w14:textFill>
                    </w:rPr>
                    <w:t>粉尘</w:t>
                  </w:r>
                  <w:r>
                    <w:rPr>
                      <w:rFonts w:ascii="Times New Roman" w:hAnsi="Times New Roman" w:eastAsia="宋体" w:cs="Times New Roman"/>
                      <w:color w:val="000000" w:themeColor="text1"/>
                      <w:szCs w:val="21"/>
                      <w14:textFill>
                        <w14:solidFill>
                          <w14:schemeClr w14:val="tx1"/>
                        </w14:solidFill>
                      </w14:textFill>
                    </w:rPr>
                    <w:t>废气</w:t>
                  </w:r>
                  <w:r>
                    <w:rPr>
                      <w:rFonts w:hint="eastAsia" w:ascii="Times New Roman" w:hAnsi="Times New Roman" w:eastAsia="宋体" w:cs="Times New Roman"/>
                      <w:color w:val="000000" w:themeColor="text1"/>
                      <w:szCs w:val="21"/>
                      <w14:textFill>
                        <w14:solidFill>
                          <w14:schemeClr w14:val="tx1"/>
                        </w14:solidFill>
                      </w14:textFill>
                    </w:rPr>
                    <w:t>D</w:t>
                  </w:r>
                  <w:r>
                    <w:rPr>
                      <w:rFonts w:ascii="Times New Roman" w:hAnsi="Times New Roman" w:eastAsia="宋体" w:cs="Times New Roman"/>
                      <w:color w:val="000000" w:themeColor="text1"/>
                      <w:szCs w:val="21"/>
                      <w14:textFill>
                        <w14:solidFill>
                          <w14:schemeClr w14:val="tx1"/>
                        </w14:solidFill>
                      </w14:textFill>
                    </w:rPr>
                    <w:t>A004风量）</w:t>
                  </w:r>
                </w:p>
              </w:tc>
              <w:tc>
                <w:tcPr>
                  <w:tcW w:w="869" w:type="dxa"/>
                  <w:vAlign w:val="center"/>
                </w:tcPr>
                <w:p w14:paraId="0BE4225F">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869" w:type="dxa"/>
                  <w:vAlign w:val="center"/>
                </w:tcPr>
                <w:p w14:paraId="2C053202">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12028.4</w:t>
                  </w:r>
                </w:p>
              </w:tc>
              <w:tc>
                <w:tcPr>
                  <w:tcW w:w="869" w:type="dxa"/>
                  <w:vAlign w:val="center"/>
                </w:tcPr>
                <w:p w14:paraId="5E5C38A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hint="eastAsia" w:ascii="Times New Roman" w:hAnsi="Times New Roman" w:eastAsia="宋体" w:cs="Times New Roman"/>
                      <w:color w:val="000000" w:themeColor="text1"/>
                      <w:szCs w:val="21"/>
                      <w:lang w:val="en-US" w:eastAsia="zh-CN"/>
                      <w14:textFill>
                        <w14:solidFill>
                          <w14:schemeClr w14:val="tx1"/>
                        </w14:solidFill>
                      </w14:textFill>
                    </w:rPr>
                    <w:t>30</w:t>
                  </w:r>
                  <w:r>
                    <w:rPr>
                      <w:rFonts w:hint="eastAsia" w:ascii="Times New Roman" w:hAnsi="Times New Roman" w:eastAsia="宋体" w:cs="Times New Roman"/>
                      <w:color w:val="000000" w:themeColor="text1"/>
                      <w:szCs w:val="21"/>
                      <w14:textFill>
                        <w14:solidFill>
                          <w14:schemeClr w14:val="tx1"/>
                        </w14:solidFill>
                      </w14:textFill>
                    </w:rPr>
                    <w:t>00</w:t>
                  </w:r>
                </w:p>
              </w:tc>
            </w:tr>
          </w:tbl>
          <w:p w14:paraId="2E1BE609">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参考《排放源统计调查产排污核算方法和系数手册》（公告2021年第24号）中“33-37,431-434机械行业系数手册”中“04下料核算环节”中末端治理技术中袋式除尘的效率为95%。</w:t>
            </w:r>
          </w:p>
          <w:p w14:paraId="67F0719A">
            <w:pPr>
              <w:pStyle w:val="301"/>
              <w:ind w:firstLine="420"/>
              <w:rPr>
                <w:rFonts w:hint="eastAsia"/>
                <w:color w:val="000000" w:themeColor="text1"/>
                <w14:textFill>
                  <w14:solidFill>
                    <w14:schemeClr w14:val="tx1"/>
                  </w14:solidFill>
                </w14:textFill>
              </w:rPr>
            </w:pPr>
            <w:r>
              <w:rPr>
                <w:color w:val="000000" w:themeColor="text1"/>
                <w:highlight w:val="none"/>
                <w14:textFill>
                  <w14:solidFill>
                    <w14:schemeClr w14:val="tx1"/>
                  </w14:solidFill>
                </w14:textFill>
              </w:rPr>
              <w:t>本项目喷漆过程中会产生漆雾（颗粒物）。</w:t>
            </w:r>
            <w:r>
              <w:rPr>
                <w:rFonts w:hint="eastAsia"/>
                <w:color w:val="000000" w:themeColor="text1"/>
                <w:highlight w:val="none"/>
                <w:lang w:val="en-US" w:eastAsia="zh-CN"/>
                <w14:textFill>
                  <w14:solidFill>
                    <w14:schemeClr w14:val="tx1"/>
                  </w14:solidFill>
                </w14:textFill>
              </w:rPr>
              <w:t>产生的漆雾需先经水帘柜处理后进入喷淋塔处理。</w:t>
            </w:r>
            <w:r>
              <w:rPr>
                <w:color w:val="000000" w:themeColor="text1"/>
                <w:highlight w:val="none"/>
                <w14:textFill>
                  <w14:solidFill>
                    <w14:schemeClr w14:val="tx1"/>
                  </w14:solidFill>
                </w14:textFill>
              </w:rPr>
              <w:t>根据《环境保护产品技术要求—工业粉尘湿式除尘装置》（HJ/T285-2006）的要求，</w:t>
            </w:r>
            <w:r>
              <w:rPr>
                <w:rFonts w:hint="eastAsia"/>
                <w:color w:val="000000" w:themeColor="text1"/>
                <w:highlight w:val="none"/>
                <w:lang w:eastAsia="zh-CN"/>
                <w14:textFill>
                  <w14:solidFill>
                    <w14:schemeClr w14:val="tx1"/>
                  </w14:solidFill>
                </w14:textFill>
              </w:rPr>
              <w:t>水帘柜</w:t>
            </w:r>
            <w:r>
              <w:rPr>
                <w:color w:val="000000" w:themeColor="text1"/>
                <w:highlight w:val="none"/>
                <w14:textFill>
                  <w14:solidFill>
                    <w14:schemeClr w14:val="tx1"/>
                  </w14:solidFill>
                </w14:textFill>
              </w:rPr>
              <w:t>、喷淋塔属于以喷淋、冲激、水膜为原理类的第Ⅰ类湿式除尘装置，处理效率应不低于80%，本次评价取80%。</w:t>
            </w:r>
            <w:r>
              <w:rPr>
                <w:color w:val="000000" w:themeColor="text1"/>
                <w:kern w:val="0"/>
                <w:highlight w:val="none"/>
                <w14:textFill>
                  <w14:solidFill>
                    <w14:schemeClr w14:val="tx1"/>
                  </w14:solidFill>
                </w14:textFill>
              </w:rPr>
              <w:t>干式过滤</w:t>
            </w:r>
            <w:r>
              <w:rPr>
                <w:color w:val="000000" w:themeColor="text1"/>
                <w:highlight w:val="none"/>
                <w14:textFill>
                  <w14:solidFill>
                    <w14:schemeClr w14:val="tx1"/>
                  </w14:solidFill>
                </w14:textFill>
              </w:rPr>
              <w:t>采用多层化学纤维过滤棉，去除漆雾，并进行气水分离。根据《广东省表面涂装（汽车制造业）挥发性有机废气治理技术指南》，干式漆雾捕集系统（过滤棉、无纺布、石灰石为滤料、静电漆雾捕集装置）对漆雾的处理效率可达95%以上，本次评价取95%。综上</w:t>
            </w:r>
            <w:r>
              <w:rPr>
                <w:color w:val="000000" w:themeColor="text1"/>
                <w:kern w:val="0"/>
                <w:highlight w:val="none"/>
                <w14:textFill>
                  <w14:solidFill>
                    <w14:schemeClr w14:val="tx1"/>
                  </w14:solidFill>
                </w14:textFill>
              </w:rPr>
              <w:t>，</w:t>
            </w:r>
            <w:r>
              <w:rPr>
                <w:color w:val="000000" w:themeColor="text1"/>
                <w:highlight w:val="none"/>
                <w14:textFill>
                  <w14:solidFill>
                    <w14:schemeClr w14:val="tx1"/>
                  </w14:solidFill>
                </w14:textFill>
              </w:rPr>
              <w:t>漆雾的</w:t>
            </w:r>
            <w:r>
              <w:rPr>
                <w:color w:val="000000" w:themeColor="text1"/>
                <w:kern w:val="0"/>
                <w:highlight w:val="none"/>
                <w14:textFill>
                  <w14:solidFill>
                    <w14:schemeClr w14:val="tx1"/>
                  </w14:solidFill>
                </w14:textFill>
              </w:rPr>
              <w:t>综合治理效率η=1-（1-80%）</w:t>
            </w:r>
            <w:r>
              <w:rPr>
                <w:color w:val="000000" w:themeColor="text1"/>
                <w:highlight w:val="none"/>
                <w14:textFill>
                  <w14:solidFill>
                    <w14:schemeClr w14:val="tx1"/>
                  </w14:solidFill>
                </w14:textFill>
              </w:rPr>
              <w:t>×</w:t>
            </w:r>
            <w:r>
              <w:rPr>
                <w:color w:val="000000" w:themeColor="text1"/>
                <w:kern w:val="0"/>
                <w:highlight w:val="none"/>
                <w14:textFill>
                  <w14:solidFill>
                    <w14:schemeClr w14:val="tx1"/>
                  </w14:solidFill>
                </w14:textFill>
              </w:rPr>
              <w:t>（1-95%）×</w:t>
            </w:r>
            <w:r>
              <w:rPr>
                <w:color w:val="000000" w:themeColor="text1"/>
                <w:highlight w:val="none"/>
                <w14:textFill>
                  <w14:solidFill>
                    <w14:schemeClr w14:val="tx1"/>
                  </w14:solidFill>
                </w14:textFill>
              </w:rPr>
              <w:t>100%</w:t>
            </w:r>
            <w:r>
              <w:rPr>
                <w:color w:val="000000" w:themeColor="text1"/>
                <w:kern w:val="0"/>
                <w:highlight w:val="none"/>
                <w14:textFill>
                  <w14:solidFill>
                    <w14:schemeClr w14:val="tx1"/>
                  </w14:solidFill>
                </w14:textFill>
              </w:rPr>
              <w:t>=99%</w:t>
            </w:r>
            <w:r>
              <w:rPr>
                <w:rFonts w:hint="eastAsia"/>
                <w:color w:val="000000" w:themeColor="text1"/>
                <w:kern w:val="0"/>
                <w:highlight w:val="none"/>
                <w:lang w:eastAsia="zh-CN"/>
                <w14:textFill>
                  <w14:solidFill>
                    <w14:schemeClr w14:val="tx1"/>
                  </w14:solidFill>
                </w14:textFill>
              </w:rPr>
              <w:t>，本环评保守取值</w:t>
            </w:r>
            <w:r>
              <w:rPr>
                <w:rFonts w:hint="eastAsia"/>
                <w:color w:val="000000" w:themeColor="text1"/>
                <w:kern w:val="0"/>
                <w:highlight w:val="none"/>
                <w:lang w:val="en-US" w:eastAsia="zh-CN"/>
                <w14:textFill>
                  <w14:solidFill>
                    <w14:schemeClr w14:val="tx1"/>
                  </w14:solidFill>
                </w14:textFill>
              </w:rPr>
              <w:t>90%，</w:t>
            </w:r>
            <w:r>
              <w:rPr>
                <w:color w:val="000000" w:themeColor="text1"/>
                <w:highlight w:val="none"/>
                <w14:textFill>
                  <w14:solidFill>
                    <w14:schemeClr w14:val="tx1"/>
                  </w14:solidFill>
                </w14:textFill>
              </w:rPr>
              <w:t>漆雾经以上废气治理设施收集处理后形成漆渣，收集后作为危废处理。</w:t>
            </w:r>
          </w:p>
          <w:p w14:paraId="50BD294E">
            <w:pPr>
              <w:spacing w:line="360" w:lineRule="auto"/>
              <w:ind w:firstLine="480" w:firstLineChars="200"/>
              <w:rPr>
                <w:color w:val="000000" w:themeColor="text1"/>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有机废气处理效率</w:t>
            </w:r>
            <w:r>
              <w:rPr>
                <w:rFonts w:hint="default" w:ascii="Times New Roman" w:hAnsi="Times New Roman" w:cs="Times New Roman"/>
                <w:color w:val="000000" w:themeColor="text1"/>
                <w:sz w:val="24"/>
                <w:highlight w:val="none"/>
                <w14:textFill>
                  <w14:solidFill>
                    <w14:schemeClr w14:val="tx1"/>
                  </w14:solidFill>
                </w14:textFill>
              </w:rPr>
              <w:t>参考《广东省家具行业挥发性有机化合物废气治理技术指南》（粤环</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2013</w:t>
            </w:r>
            <w:r>
              <w:rPr>
                <w:rFonts w:hint="default"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79号）中对有机废气治理设施的治理效率可得，吸附法处理效率为50～80%（本报告一级活性炭处理效率取60%，二级活性炭处理效率取50%），项目采取两级活性炭串联方式，当存在两种或两种以上治理设施联合治理时，治理效率可按公式η=1-（1-η</w:t>
            </w:r>
            <w:r>
              <w:rPr>
                <w:rFonts w:hint="default" w:ascii="Times New Roman" w:hAnsi="Times New Roman" w:cs="Times New Roman"/>
                <w:color w:val="000000" w:themeColor="text1"/>
                <w:sz w:val="24"/>
                <w:highlight w:val="none"/>
                <w:vertAlign w:val="subscript"/>
                <w14:textFill>
                  <w14:solidFill>
                    <w14:schemeClr w14:val="tx1"/>
                  </w14:solidFill>
                </w14:textFill>
              </w:rPr>
              <w:t>1</w:t>
            </w:r>
            <w:r>
              <w:rPr>
                <w:rFonts w:hint="default" w:ascii="Times New Roman" w:hAnsi="Times New Roman" w:cs="Times New Roman"/>
                <w:color w:val="000000" w:themeColor="text1"/>
                <w:sz w:val="24"/>
                <w:highlight w:val="none"/>
                <w14:textFill>
                  <w14:solidFill>
                    <w14:schemeClr w14:val="tx1"/>
                  </w14:solidFill>
                </w14:textFill>
              </w:rPr>
              <w:t>）×（1-η</w:t>
            </w:r>
            <w:r>
              <w:rPr>
                <w:rFonts w:hint="default" w:ascii="Times New Roman" w:hAnsi="Times New Roman" w:cs="Times New Roman"/>
                <w:color w:val="000000" w:themeColor="text1"/>
                <w:sz w:val="24"/>
                <w:highlight w:val="none"/>
                <w:vertAlign w:val="subscript"/>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）...（1-η</w:t>
            </w:r>
            <w:r>
              <w:rPr>
                <w:rFonts w:hint="default" w:ascii="Times New Roman" w:hAnsi="Times New Roman" w:cs="Times New Roman"/>
                <w:color w:val="000000" w:themeColor="text1"/>
                <w:sz w:val="24"/>
                <w:highlight w:val="none"/>
                <w:vertAlign w:val="subscript"/>
                <w14:textFill>
                  <w14:solidFill>
                    <w14:schemeClr w14:val="tx1"/>
                  </w14:solidFill>
                </w14:textFill>
              </w:rPr>
              <w:t>n</w:t>
            </w:r>
            <w:r>
              <w:rPr>
                <w:rFonts w:hint="default" w:ascii="Times New Roman" w:hAnsi="Times New Roman" w:cs="Times New Roman"/>
                <w:color w:val="000000" w:themeColor="text1"/>
                <w:sz w:val="24"/>
                <w:highlight w:val="none"/>
                <w14:textFill>
                  <w14:solidFill>
                    <w14:schemeClr w14:val="tx1"/>
                  </w14:solidFill>
                </w14:textFill>
              </w:rPr>
              <w:t>）进行计算，则本项目废气处理工艺对有机废气总处理效率合计为1-（1-60%）×（1-50%）=80%。</w:t>
            </w:r>
          </w:p>
          <w:p w14:paraId="4B1322A2">
            <w:pPr>
              <w:pStyle w:val="301"/>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有机废气产排情况详见下表：</w:t>
            </w:r>
          </w:p>
          <w:p w14:paraId="722AC0C7">
            <w:pPr>
              <w:pStyle w:val="30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b/>
                <w:color w:val="000000" w:themeColor="text1"/>
                <w:sz w:val="21"/>
                <w:szCs w:val="21"/>
                <w14:textFill>
                  <w14:solidFill>
                    <w14:schemeClr w14:val="tx1"/>
                  </w14:solidFill>
                </w14:textFill>
              </w:rPr>
            </w:pPr>
            <w:r>
              <w:rPr>
                <w:rFonts w:ascii="Times New Roman" w:hAnsi="Times New Roman" w:cs="Times New Roman"/>
                <w:b/>
                <w:color w:val="000000" w:themeColor="text1"/>
                <w:sz w:val="21"/>
                <w:szCs w:val="21"/>
                <w14:textFill>
                  <w14:solidFill>
                    <w14:schemeClr w14:val="tx1"/>
                  </w14:solidFill>
                </w14:textFill>
              </w:rPr>
              <w:t>表4-</w:t>
            </w:r>
            <w:r>
              <w:rPr>
                <w:rFonts w:hint="eastAsia" w:cs="Times New Roman"/>
                <w:b/>
                <w:color w:val="000000" w:themeColor="text1"/>
                <w:sz w:val="21"/>
                <w:szCs w:val="21"/>
                <w:lang w:val="en-US" w:eastAsia="zh-CN"/>
                <w14:textFill>
                  <w14:solidFill>
                    <w14:schemeClr w14:val="tx1"/>
                  </w14:solidFill>
                </w14:textFill>
              </w:rPr>
              <w:t>7</w:t>
            </w:r>
            <w:r>
              <w:rPr>
                <w:rFonts w:ascii="Times New Roman" w:hAnsi="Times New Roman" w:cs="Times New Roman"/>
                <w:b/>
                <w:color w:val="000000" w:themeColor="text1"/>
                <w:sz w:val="21"/>
                <w:szCs w:val="21"/>
                <w14:textFill>
                  <w14:solidFill>
                    <w14:schemeClr w14:val="tx1"/>
                  </w14:solidFill>
                </w14:textFill>
              </w:rPr>
              <w:t xml:space="preserve"> </w:t>
            </w:r>
            <w:r>
              <w:rPr>
                <w:rFonts w:hint="eastAsia" w:ascii="Times New Roman" w:hAnsi="Times New Roman" w:cs="Times New Roman"/>
                <w:b/>
                <w:color w:val="000000" w:themeColor="text1"/>
                <w:sz w:val="21"/>
                <w:szCs w:val="21"/>
                <w:lang w:eastAsia="zh-CN"/>
                <w14:textFill>
                  <w14:solidFill>
                    <w14:schemeClr w14:val="tx1"/>
                  </w14:solidFill>
                </w14:textFill>
              </w:rPr>
              <w:t>项目</w:t>
            </w:r>
            <w:r>
              <w:rPr>
                <w:rFonts w:ascii="Times New Roman" w:hAnsi="Times New Roman" w:cs="Times New Roman"/>
                <w:b/>
                <w:color w:val="000000" w:themeColor="text1"/>
                <w:sz w:val="21"/>
                <w:szCs w:val="21"/>
                <w14:textFill>
                  <w14:solidFill>
                    <w14:schemeClr w14:val="tx1"/>
                  </w14:solidFill>
                </w14:textFill>
              </w:rPr>
              <w:t>废气产排情况一览表</w:t>
            </w:r>
          </w:p>
          <w:tbl>
            <w:tblPr>
              <w:tblStyle w:val="46"/>
              <w:tblW w:w="76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5"/>
              <w:gridCol w:w="770"/>
              <w:gridCol w:w="889"/>
              <w:gridCol w:w="834"/>
              <w:gridCol w:w="992"/>
              <w:gridCol w:w="879"/>
              <w:gridCol w:w="988"/>
              <w:gridCol w:w="989"/>
              <w:gridCol w:w="989"/>
            </w:tblGrid>
            <w:tr w14:paraId="3D0F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15" w:type="dxa"/>
                  <w:gridSpan w:val="2"/>
                  <w:vAlign w:val="center"/>
                </w:tcPr>
                <w:p w14:paraId="378BA4BE">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排气筒编号</w:t>
                  </w:r>
                </w:p>
              </w:tc>
              <w:tc>
                <w:tcPr>
                  <w:tcW w:w="1723" w:type="dxa"/>
                  <w:gridSpan w:val="2"/>
                  <w:vAlign w:val="center"/>
                </w:tcPr>
                <w:p w14:paraId="033BDFC0">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DA004</w:t>
                  </w:r>
                </w:p>
              </w:tc>
              <w:tc>
                <w:tcPr>
                  <w:tcW w:w="4837" w:type="dxa"/>
                  <w:gridSpan w:val="5"/>
                  <w:vAlign w:val="center"/>
                </w:tcPr>
                <w:p w14:paraId="2478CE4E">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D</w:t>
                  </w:r>
                  <w:r>
                    <w:rPr>
                      <w:rFonts w:ascii="Times New Roman" w:hAnsi="Times New Roman" w:eastAsia="宋体" w:cs="Times New Roman"/>
                      <w:color w:val="000000" w:themeColor="text1"/>
                      <w:szCs w:val="21"/>
                      <w14:textFill>
                        <w14:solidFill>
                          <w14:schemeClr w14:val="tx1"/>
                        </w14:solidFill>
                      </w14:textFill>
                    </w:rPr>
                    <w:t>A005</w:t>
                  </w:r>
                </w:p>
              </w:tc>
            </w:tr>
            <w:tr w14:paraId="2C0C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5" w:type="dxa"/>
                  <w:gridSpan w:val="2"/>
                  <w:vAlign w:val="center"/>
                </w:tcPr>
                <w:p w14:paraId="1D8AB9A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工序</w:t>
                  </w:r>
                </w:p>
              </w:tc>
              <w:tc>
                <w:tcPr>
                  <w:tcW w:w="889" w:type="dxa"/>
                  <w:vAlign w:val="center"/>
                </w:tcPr>
                <w:p w14:paraId="6606A4CC">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制孔</w:t>
                  </w:r>
                </w:p>
              </w:tc>
              <w:tc>
                <w:tcPr>
                  <w:tcW w:w="834" w:type="dxa"/>
                  <w:vAlign w:val="center"/>
                </w:tcPr>
                <w:p w14:paraId="6E01405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抛丸</w:t>
                  </w:r>
                </w:p>
              </w:tc>
              <w:tc>
                <w:tcPr>
                  <w:tcW w:w="992" w:type="dxa"/>
                  <w:vAlign w:val="center"/>
                </w:tcPr>
                <w:p w14:paraId="410F23E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刷胶</w:t>
                  </w:r>
                </w:p>
              </w:tc>
              <w:tc>
                <w:tcPr>
                  <w:tcW w:w="879" w:type="dxa"/>
                  <w:vAlign w:val="center"/>
                </w:tcPr>
                <w:p w14:paraId="7CE2038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浇注、烘干、脱模</w:t>
                  </w:r>
                </w:p>
              </w:tc>
              <w:tc>
                <w:tcPr>
                  <w:tcW w:w="2966" w:type="dxa"/>
                  <w:gridSpan w:val="3"/>
                  <w:vAlign w:val="center"/>
                </w:tcPr>
                <w:p w14:paraId="17590A5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喷漆</w:t>
                  </w:r>
                </w:p>
              </w:tc>
            </w:tr>
            <w:tr w14:paraId="101C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5" w:type="dxa"/>
                  <w:gridSpan w:val="2"/>
                  <w:vAlign w:val="center"/>
                </w:tcPr>
                <w:p w14:paraId="6BA034FC">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污染物</w:t>
                  </w:r>
                </w:p>
              </w:tc>
              <w:tc>
                <w:tcPr>
                  <w:tcW w:w="889" w:type="dxa"/>
                  <w:vAlign w:val="center"/>
                </w:tcPr>
                <w:p w14:paraId="4BB08D1A">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834" w:type="dxa"/>
                  <w:vAlign w:val="center"/>
                </w:tcPr>
                <w:p w14:paraId="7C1D9CCE">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992" w:type="dxa"/>
                  <w:vAlign w:val="center"/>
                </w:tcPr>
                <w:p w14:paraId="1715956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非甲烷总烃</w:t>
                  </w:r>
                </w:p>
              </w:tc>
              <w:tc>
                <w:tcPr>
                  <w:tcW w:w="879" w:type="dxa"/>
                  <w:vAlign w:val="center"/>
                </w:tcPr>
                <w:p w14:paraId="32107E8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非甲烷总烃</w:t>
                  </w:r>
                </w:p>
              </w:tc>
              <w:tc>
                <w:tcPr>
                  <w:tcW w:w="988" w:type="dxa"/>
                  <w:vAlign w:val="center"/>
                </w:tcPr>
                <w:p w14:paraId="3DD30E8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非甲烷总烃</w:t>
                  </w:r>
                </w:p>
              </w:tc>
              <w:tc>
                <w:tcPr>
                  <w:tcW w:w="989" w:type="dxa"/>
                  <w:vAlign w:val="center"/>
                </w:tcPr>
                <w:p w14:paraId="64E068AA">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苯系物</w:t>
                  </w:r>
                </w:p>
              </w:tc>
              <w:tc>
                <w:tcPr>
                  <w:tcW w:w="989" w:type="dxa"/>
                  <w:vAlign w:val="center"/>
                </w:tcPr>
                <w:p w14:paraId="5AC2F908">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r>
            <w:tr w14:paraId="525D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5" w:type="dxa"/>
                  <w:gridSpan w:val="2"/>
                  <w:vAlign w:val="center"/>
                </w:tcPr>
                <w:p w14:paraId="26F5EDB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产生量（t/a）</w:t>
                  </w:r>
                </w:p>
              </w:tc>
              <w:tc>
                <w:tcPr>
                  <w:tcW w:w="889" w:type="dxa"/>
                  <w:vAlign w:val="center"/>
                </w:tcPr>
                <w:p w14:paraId="66304F53">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.19</w:t>
                  </w:r>
                </w:p>
              </w:tc>
              <w:tc>
                <w:tcPr>
                  <w:tcW w:w="834" w:type="dxa"/>
                  <w:vAlign w:val="center"/>
                </w:tcPr>
                <w:p w14:paraId="43AD947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.19</w:t>
                  </w:r>
                </w:p>
              </w:tc>
              <w:tc>
                <w:tcPr>
                  <w:tcW w:w="992" w:type="dxa"/>
                  <w:vAlign w:val="center"/>
                </w:tcPr>
                <w:p w14:paraId="7524A2C4">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333</w:t>
                  </w:r>
                </w:p>
              </w:tc>
              <w:tc>
                <w:tcPr>
                  <w:tcW w:w="879" w:type="dxa"/>
                  <w:vAlign w:val="center"/>
                </w:tcPr>
                <w:p w14:paraId="198532BD">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0.599</w:t>
                  </w:r>
                </w:p>
              </w:tc>
              <w:tc>
                <w:tcPr>
                  <w:tcW w:w="988" w:type="dxa"/>
                  <w:vAlign w:val="center"/>
                </w:tcPr>
                <w:p w14:paraId="25F8481D">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354</w:t>
                  </w:r>
                </w:p>
              </w:tc>
              <w:tc>
                <w:tcPr>
                  <w:tcW w:w="989" w:type="dxa"/>
                  <w:vAlign w:val="center"/>
                </w:tcPr>
                <w:p w14:paraId="40F35701">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226</w:t>
                  </w:r>
                </w:p>
              </w:tc>
              <w:tc>
                <w:tcPr>
                  <w:tcW w:w="989" w:type="dxa"/>
                  <w:vAlign w:val="center"/>
                </w:tcPr>
                <w:p w14:paraId="01272BDD">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51</w:t>
                  </w:r>
                </w:p>
              </w:tc>
            </w:tr>
            <w:tr w14:paraId="5E63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5" w:type="dxa"/>
                  <w:gridSpan w:val="2"/>
                  <w:vAlign w:val="center"/>
                </w:tcPr>
                <w:p w14:paraId="69DEC52B">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收集效率</w:t>
                  </w:r>
                </w:p>
              </w:tc>
              <w:tc>
                <w:tcPr>
                  <w:tcW w:w="889" w:type="dxa"/>
                  <w:vAlign w:val="center"/>
                </w:tcPr>
                <w:p w14:paraId="11056E10">
                  <w:pPr>
                    <w:autoSpaceDE w:val="0"/>
                    <w:autoSpaceDN w:val="0"/>
                    <w:jc w:val="center"/>
                    <w:rPr>
                      <w:rFonts w:ascii="Times New Roman" w:hAnsi="Times New Roman" w:eastAsia="宋体" w:cs="Times New Roman"/>
                      <w:color w:val="000000" w:themeColor="text1"/>
                      <w:szCs w:val="21"/>
                      <w:highlight w:val="yellow"/>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80</w:t>
                  </w:r>
                  <w:r>
                    <w:rPr>
                      <w:rFonts w:ascii="Times New Roman" w:hAnsi="Times New Roman" w:eastAsia="宋体" w:cs="Times New Roman"/>
                      <w:color w:val="000000" w:themeColor="text1"/>
                      <w:szCs w:val="21"/>
                      <w:highlight w:val="none"/>
                      <w14:textFill>
                        <w14:solidFill>
                          <w14:schemeClr w14:val="tx1"/>
                        </w14:solidFill>
                      </w14:textFill>
                    </w:rPr>
                    <w:t>%</w:t>
                  </w:r>
                </w:p>
              </w:tc>
              <w:tc>
                <w:tcPr>
                  <w:tcW w:w="834" w:type="dxa"/>
                  <w:vAlign w:val="center"/>
                </w:tcPr>
                <w:p w14:paraId="223EE65A">
                  <w:pPr>
                    <w:autoSpaceDE w:val="0"/>
                    <w:autoSpaceDN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90%</w:t>
                  </w:r>
                </w:p>
              </w:tc>
              <w:tc>
                <w:tcPr>
                  <w:tcW w:w="992" w:type="dxa"/>
                  <w:vAlign w:val="center"/>
                </w:tcPr>
                <w:p w14:paraId="6217DB77">
                  <w:pPr>
                    <w:autoSpaceDE w:val="0"/>
                    <w:autoSpaceDN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80</w:t>
                  </w:r>
                  <w:r>
                    <w:rPr>
                      <w:rFonts w:ascii="Times New Roman" w:hAnsi="Times New Roman" w:eastAsia="宋体" w:cs="Times New Roman"/>
                      <w:color w:val="000000" w:themeColor="text1"/>
                      <w:szCs w:val="21"/>
                      <w:highlight w:val="none"/>
                      <w14:textFill>
                        <w14:solidFill>
                          <w14:schemeClr w14:val="tx1"/>
                        </w14:solidFill>
                      </w14:textFill>
                    </w:rPr>
                    <w:t>%</w:t>
                  </w:r>
                </w:p>
              </w:tc>
              <w:tc>
                <w:tcPr>
                  <w:tcW w:w="879" w:type="dxa"/>
                  <w:vAlign w:val="center"/>
                </w:tcPr>
                <w:p w14:paraId="484B5D17">
                  <w:pPr>
                    <w:autoSpaceDE w:val="0"/>
                    <w:autoSpaceDN w:val="0"/>
                    <w:jc w:val="center"/>
                    <w:rPr>
                      <w:rFonts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80</w:t>
                  </w:r>
                  <w:r>
                    <w:rPr>
                      <w:rFonts w:ascii="Times New Roman" w:hAnsi="Times New Roman" w:eastAsia="宋体" w:cs="Times New Roman"/>
                      <w:color w:val="000000" w:themeColor="text1"/>
                      <w:szCs w:val="21"/>
                      <w:highlight w:val="none"/>
                      <w14:textFill>
                        <w14:solidFill>
                          <w14:schemeClr w14:val="tx1"/>
                        </w14:solidFill>
                      </w14:textFill>
                    </w:rPr>
                    <w:t>%</w:t>
                  </w:r>
                </w:p>
              </w:tc>
              <w:tc>
                <w:tcPr>
                  <w:tcW w:w="988" w:type="dxa"/>
                  <w:vAlign w:val="center"/>
                </w:tcPr>
                <w:p w14:paraId="0E3F14AC">
                  <w:pPr>
                    <w:autoSpaceDE w:val="0"/>
                    <w:autoSpaceDN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65%</w:t>
                  </w:r>
                </w:p>
              </w:tc>
              <w:tc>
                <w:tcPr>
                  <w:tcW w:w="989" w:type="dxa"/>
                  <w:vAlign w:val="center"/>
                </w:tcPr>
                <w:p w14:paraId="2508D1BE">
                  <w:pPr>
                    <w:autoSpaceDE w:val="0"/>
                    <w:autoSpaceDN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65%</w:t>
                  </w:r>
                </w:p>
              </w:tc>
              <w:tc>
                <w:tcPr>
                  <w:tcW w:w="989" w:type="dxa"/>
                  <w:vAlign w:val="center"/>
                </w:tcPr>
                <w:p w14:paraId="30434FC8">
                  <w:pPr>
                    <w:autoSpaceDE w:val="0"/>
                    <w:autoSpaceDN w:val="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65%</w:t>
                  </w:r>
                </w:p>
              </w:tc>
            </w:tr>
            <w:tr w14:paraId="3EFF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restart"/>
                  <w:vAlign w:val="center"/>
                </w:tcPr>
                <w:p w14:paraId="1F17842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有组织</w:t>
                  </w:r>
                </w:p>
              </w:tc>
              <w:tc>
                <w:tcPr>
                  <w:tcW w:w="770" w:type="dxa"/>
                  <w:vAlign w:val="center"/>
                </w:tcPr>
                <w:p w14:paraId="6435D6EF">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收集量（t/a）</w:t>
                  </w:r>
                </w:p>
              </w:tc>
              <w:tc>
                <w:tcPr>
                  <w:tcW w:w="889" w:type="dxa"/>
                  <w:vAlign w:val="center"/>
                </w:tcPr>
                <w:p w14:paraId="1E5060BB">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752</w:t>
                  </w:r>
                </w:p>
              </w:tc>
              <w:tc>
                <w:tcPr>
                  <w:tcW w:w="834" w:type="dxa"/>
                  <w:vAlign w:val="center"/>
                </w:tcPr>
                <w:p w14:paraId="008377F4">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.971</w:t>
                  </w:r>
                </w:p>
              </w:tc>
              <w:tc>
                <w:tcPr>
                  <w:tcW w:w="992" w:type="dxa"/>
                  <w:vAlign w:val="center"/>
                </w:tcPr>
                <w:p w14:paraId="4E9D790C">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1.866</w:t>
                  </w:r>
                </w:p>
              </w:tc>
              <w:tc>
                <w:tcPr>
                  <w:tcW w:w="879" w:type="dxa"/>
                  <w:vAlign w:val="center"/>
                </w:tcPr>
                <w:p w14:paraId="0A399E0D">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0.479</w:t>
                  </w:r>
                </w:p>
              </w:tc>
              <w:tc>
                <w:tcPr>
                  <w:tcW w:w="988" w:type="dxa"/>
                  <w:vAlign w:val="center"/>
                </w:tcPr>
                <w:p w14:paraId="5F710BBF">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230</w:t>
                  </w:r>
                </w:p>
              </w:tc>
              <w:tc>
                <w:tcPr>
                  <w:tcW w:w="989" w:type="dxa"/>
                  <w:vAlign w:val="center"/>
                </w:tcPr>
                <w:p w14:paraId="0EDC92FA">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.147</w:t>
                  </w:r>
                </w:p>
              </w:tc>
              <w:tc>
                <w:tcPr>
                  <w:tcW w:w="989" w:type="dxa"/>
                  <w:vAlign w:val="center"/>
                </w:tcPr>
                <w:p w14:paraId="58689473">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332</w:t>
                  </w:r>
                </w:p>
              </w:tc>
            </w:tr>
            <w:tr w14:paraId="7536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63296F61">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47A2BD1F">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产生速率（kg/h）</w:t>
                  </w:r>
                </w:p>
              </w:tc>
              <w:tc>
                <w:tcPr>
                  <w:tcW w:w="889" w:type="dxa"/>
                  <w:vAlign w:val="center"/>
                </w:tcPr>
                <w:p w14:paraId="49FCCFEF">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73</w:t>
                  </w:r>
                </w:p>
              </w:tc>
              <w:tc>
                <w:tcPr>
                  <w:tcW w:w="834" w:type="dxa"/>
                  <w:vAlign w:val="center"/>
                </w:tcPr>
                <w:p w14:paraId="493E22C8">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.821</w:t>
                  </w:r>
                </w:p>
              </w:tc>
              <w:tc>
                <w:tcPr>
                  <w:tcW w:w="992" w:type="dxa"/>
                  <w:vAlign w:val="center"/>
                </w:tcPr>
                <w:p w14:paraId="6FC9284C">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0.778</w:t>
                  </w:r>
                </w:p>
              </w:tc>
              <w:tc>
                <w:tcPr>
                  <w:tcW w:w="879" w:type="dxa"/>
                  <w:vAlign w:val="center"/>
                </w:tcPr>
                <w:p w14:paraId="131BDD0E">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0.2</w:t>
                  </w:r>
                </w:p>
              </w:tc>
              <w:tc>
                <w:tcPr>
                  <w:tcW w:w="988" w:type="dxa"/>
                  <w:vAlign w:val="center"/>
                </w:tcPr>
                <w:p w14:paraId="2EFC15DD">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0.096</w:t>
                  </w:r>
                </w:p>
              </w:tc>
              <w:tc>
                <w:tcPr>
                  <w:tcW w:w="989" w:type="dxa"/>
                  <w:vAlign w:val="center"/>
                </w:tcPr>
                <w:p w14:paraId="17DF8678">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0.061</w:t>
                  </w:r>
                </w:p>
              </w:tc>
              <w:tc>
                <w:tcPr>
                  <w:tcW w:w="989" w:type="dxa"/>
                  <w:vAlign w:val="center"/>
                </w:tcPr>
                <w:p w14:paraId="7AE32DC9">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0.138</w:t>
                  </w:r>
                </w:p>
              </w:tc>
            </w:tr>
            <w:tr w14:paraId="2E9B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44D3683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7D5236BC">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产生浓度（mg/m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w:t>
                  </w:r>
                </w:p>
              </w:tc>
              <w:tc>
                <w:tcPr>
                  <w:tcW w:w="889" w:type="dxa"/>
                  <w:vAlign w:val="center"/>
                </w:tcPr>
                <w:p w14:paraId="64220041">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56.154</w:t>
                  </w:r>
                </w:p>
              </w:tc>
              <w:tc>
                <w:tcPr>
                  <w:tcW w:w="834" w:type="dxa"/>
                  <w:vAlign w:val="center"/>
                </w:tcPr>
                <w:p w14:paraId="560AB6F1">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63.173</w:t>
                  </w:r>
                </w:p>
              </w:tc>
              <w:tc>
                <w:tcPr>
                  <w:tcW w:w="992" w:type="dxa"/>
                  <w:vAlign w:val="center"/>
                </w:tcPr>
                <w:p w14:paraId="74192413">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38.833</w:t>
                  </w:r>
                </w:p>
              </w:tc>
              <w:tc>
                <w:tcPr>
                  <w:tcW w:w="879" w:type="dxa"/>
                  <w:vAlign w:val="center"/>
                </w:tcPr>
                <w:p w14:paraId="0389D5A8">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9.983</w:t>
                  </w:r>
                </w:p>
              </w:tc>
              <w:tc>
                <w:tcPr>
                  <w:tcW w:w="988" w:type="dxa"/>
                  <w:vAlign w:val="center"/>
                </w:tcPr>
                <w:p w14:paraId="59D63F1C">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4.796</w:t>
                  </w:r>
                </w:p>
              </w:tc>
              <w:tc>
                <w:tcPr>
                  <w:tcW w:w="989" w:type="dxa"/>
                  <w:vAlign w:val="center"/>
                </w:tcPr>
                <w:p w14:paraId="0B3FEE0A">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3.060</w:t>
                  </w:r>
                </w:p>
              </w:tc>
              <w:tc>
                <w:tcPr>
                  <w:tcW w:w="989" w:type="dxa"/>
                  <w:vAlign w:val="center"/>
                </w:tcPr>
                <w:p w14:paraId="290AA7C8">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6.906</w:t>
                  </w:r>
                </w:p>
              </w:tc>
            </w:tr>
            <w:tr w14:paraId="07CA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27260CA7">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79C02C05">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处理工艺</w:t>
                  </w:r>
                </w:p>
              </w:tc>
              <w:tc>
                <w:tcPr>
                  <w:tcW w:w="1723" w:type="dxa"/>
                  <w:gridSpan w:val="2"/>
                  <w:vAlign w:val="center"/>
                </w:tcPr>
                <w:p w14:paraId="5C65B55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布袋除尘器</w:t>
                  </w:r>
                </w:p>
              </w:tc>
              <w:tc>
                <w:tcPr>
                  <w:tcW w:w="3848" w:type="dxa"/>
                  <w:gridSpan w:val="4"/>
                  <w:vAlign w:val="center"/>
                </w:tcPr>
                <w:p w14:paraId="44EB0926">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二级活性炭吸附</w:t>
                  </w:r>
                </w:p>
              </w:tc>
              <w:tc>
                <w:tcPr>
                  <w:tcW w:w="989" w:type="dxa"/>
                  <w:vAlign w:val="center"/>
                </w:tcPr>
                <w:p w14:paraId="02771A5A">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水喷淋+</w:t>
                  </w:r>
                  <w:r>
                    <w:rPr>
                      <w:rFonts w:hint="eastAsia" w:ascii="Times New Roman" w:hAnsi="Times New Roman" w:eastAsia="宋体" w:cs="Times New Roman"/>
                      <w:color w:val="000000" w:themeColor="text1"/>
                      <w:szCs w:val="21"/>
                      <w14:textFill>
                        <w14:solidFill>
                          <w14:schemeClr w14:val="tx1"/>
                        </w14:solidFill>
                      </w14:textFill>
                    </w:rPr>
                    <w:t>干式过滤器</w:t>
                  </w:r>
                </w:p>
              </w:tc>
            </w:tr>
            <w:tr w14:paraId="0084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0A31C170">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31D6925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处理效率</w:t>
                  </w:r>
                </w:p>
              </w:tc>
              <w:tc>
                <w:tcPr>
                  <w:tcW w:w="1723" w:type="dxa"/>
                  <w:gridSpan w:val="2"/>
                  <w:vAlign w:val="center"/>
                </w:tcPr>
                <w:p w14:paraId="0FB91DB4">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9</w:t>
                  </w:r>
                  <w:r>
                    <w:rPr>
                      <w:rFonts w:ascii="Times New Roman" w:hAnsi="Times New Roman" w:eastAsia="宋体" w:cs="Times New Roman"/>
                      <w:color w:val="000000" w:themeColor="text1"/>
                      <w:szCs w:val="21"/>
                      <w14:textFill>
                        <w14:solidFill>
                          <w14:schemeClr w14:val="tx1"/>
                        </w14:solidFill>
                      </w14:textFill>
                    </w:rPr>
                    <w:t>5%</w:t>
                  </w:r>
                </w:p>
              </w:tc>
              <w:tc>
                <w:tcPr>
                  <w:tcW w:w="3848" w:type="dxa"/>
                  <w:gridSpan w:val="4"/>
                  <w:vAlign w:val="center"/>
                </w:tcPr>
                <w:p w14:paraId="4BB52CC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8</w:t>
                  </w:r>
                  <w:r>
                    <w:rPr>
                      <w:rFonts w:hint="eastAsia" w:ascii="Times New Roman" w:hAnsi="Times New Roman" w:eastAsia="宋体" w:cs="Times New Roman"/>
                      <w:color w:val="000000" w:themeColor="text1"/>
                      <w:szCs w:val="21"/>
                      <w:lang w:val="en-US" w:eastAsia="zh-CN"/>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w:t>
                  </w:r>
                </w:p>
              </w:tc>
              <w:tc>
                <w:tcPr>
                  <w:tcW w:w="989" w:type="dxa"/>
                  <w:vAlign w:val="center"/>
                </w:tcPr>
                <w:p w14:paraId="17C5E22F">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9</w:t>
                  </w:r>
                  <w:r>
                    <w:rPr>
                      <w:rFonts w:ascii="Times New Roman" w:hAnsi="Times New Roman" w:eastAsia="宋体" w:cs="Times New Roman"/>
                      <w:color w:val="000000" w:themeColor="text1"/>
                      <w:szCs w:val="21"/>
                      <w14:textFill>
                        <w14:solidFill>
                          <w14:schemeClr w14:val="tx1"/>
                        </w14:solidFill>
                      </w14:textFill>
                    </w:rPr>
                    <w:t>0%</w:t>
                  </w:r>
                </w:p>
              </w:tc>
            </w:tr>
            <w:tr w14:paraId="45A6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773AB168">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21B4D068">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排放量（t/a）</w:t>
                  </w:r>
                </w:p>
              </w:tc>
              <w:tc>
                <w:tcPr>
                  <w:tcW w:w="889" w:type="dxa"/>
                  <w:vAlign w:val="center"/>
                </w:tcPr>
                <w:p w14:paraId="26AE78A4">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88</w:t>
                  </w:r>
                </w:p>
              </w:tc>
              <w:tc>
                <w:tcPr>
                  <w:tcW w:w="834" w:type="dxa"/>
                  <w:vAlign w:val="center"/>
                </w:tcPr>
                <w:p w14:paraId="30ABDAE8">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99</w:t>
                  </w:r>
                </w:p>
              </w:tc>
              <w:tc>
                <w:tcPr>
                  <w:tcW w:w="992" w:type="dxa"/>
                  <w:vAlign w:val="center"/>
                </w:tcPr>
                <w:p w14:paraId="4BF9C7CE">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0.373</w:t>
                  </w:r>
                </w:p>
              </w:tc>
              <w:tc>
                <w:tcPr>
                  <w:tcW w:w="879" w:type="dxa"/>
                  <w:vAlign w:val="center"/>
                </w:tcPr>
                <w:p w14:paraId="4872F54A">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0.096</w:t>
                  </w:r>
                </w:p>
              </w:tc>
              <w:tc>
                <w:tcPr>
                  <w:tcW w:w="988" w:type="dxa"/>
                  <w:vAlign w:val="center"/>
                </w:tcPr>
                <w:p w14:paraId="7D38EE59">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0.046</w:t>
                  </w:r>
                </w:p>
              </w:tc>
              <w:tc>
                <w:tcPr>
                  <w:tcW w:w="989" w:type="dxa"/>
                  <w:vAlign w:val="center"/>
                </w:tcPr>
                <w:p w14:paraId="0C1CBDB4">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0.029</w:t>
                  </w:r>
                </w:p>
              </w:tc>
              <w:tc>
                <w:tcPr>
                  <w:tcW w:w="989" w:type="dxa"/>
                  <w:vAlign w:val="center"/>
                </w:tcPr>
                <w:p w14:paraId="3F614EE7">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33</w:t>
                  </w:r>
                </w:p>
              </w:tc>
            </w:tr>
            <w:tr w14:paraId="4CE0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183642F6">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74B3A404">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排放速率（kg/h）</w:t>
                  </w:r>
                </w:p>
              </w:tc>
              <w:tc>
                <w:tcPr>
                  <w:tcW w:w="889" w:type="dxa"/>
                  <w:vAlign w:val="center"/>
                </w:tcPr>
                <w:p w14:paraId="36058A44">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37</w:t>
                  </w:r>
                </w:p>
              </w:tc>
              <w:tc>
                <w:tcPr>
                  <w:tcW w:w="834" w:type="dxa"/>
                  <w:vAlign w:val="center"/>
                </w:tcPr>
                <w:p w14:paraId="2AA826B0">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41</w:t>
                  </w:r>
                </w:p>
              </w:tc>
              <w:tc>
                <w:tcPr>
                  <w:tcW w:w="992" w:type="dxa"/>
                  <w:vAlign w:val="center"/>
                </w:tcPr>
                <w:p w14:paraId="0FE103E2">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0.156</w:t>
                  </w:r>
                </w:p>
              </w:tc>
              <w:tc>
                <w:tcPr>
                  <w:tcW w:w="879" w:type="dxa"/>
                  <w:vAlign w:val="center"/>
                </w:tcPr>
                <w:p w14:paraId="465EB5B1">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0.040</w:t>
                  </w:r>
                </w:p>
              </w:tc>
              <w:tc>
                <w:tcPr>
                  <w:tcW w:w="988" w:type="dxa"/>
                  <w:vAlign w:val="center"/>
                </w:tcPr>
                <w:p w14:paraId="3A6D10CE">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0.019</w:t>
                  </w:r>
                </w:p>
              </w:tc>
              <w:tc>
                <w:tcPr>
                  <w:tcW w:w="989" w:type="dxa"/>
                  <w:vAlign w:val="center"/>
                </w:tcPr>
                <w:p w14:paraId="052A8FF2">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0.012</w:t>
                  </w:r>
                </w:p>
              </w:tc>
              <w:tc>
                <w:tcPr>
                  <w:tcW w:w="989" w:type="dxa"/>
                  <w:vAlign w:val="center"/>
                </w:tcPr>
                <w:p w14:paraId="54E2E811">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0.014</w:t>
                  </w:r>
                </w:p>
              </w:tc>
            </w:tr>
            <w:tr w14:paraId="39E7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345" w:type="dxa"/>
                  <w:vMerge w:val="continue"/>
                  <w:vAlign w:val="center"/>
                </w:tcPr>
                <w:p w14:paraId="6DE2B519">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2D4A72A6">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排放浓度（mg/m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w:t>
                  </w:r>
                </w:p>
              </w:tc>
              <w:tc>
                <w:tcPr>
                  <w:tcW w:w="889" w:type="dxa"/>
                  <w:vAlign w:val="center"/>
                </w:tcPr>
                <w:p w14:paraId="55B8FC59">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2.808</w:t>
                  </w:r>
                </w:p>
              </w:tc>
              <w:tc>
                <w:tcPr>
                  <w:tcW w:w="834" w:type="dxa"/>
                  <w:vAlign w:val="center"/>
                </w:tcPr>
                <w:p w14:paraId="1C1D19CE">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3.159</w:t>
                  </w:r>
                </w:p>
              </w:tc>
              <w:tc>
                <w:tcPr>
                  <w:tcW w:w="992" w:type="dxa"/>
                  <w:vAlign w:val="center"/>
                </w:tcPr>
                <w:p w14:paraId="2373C2F6">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7.777</w:t>
                  </w:r>
                </w:p>
              </w:tc>
              <w:tc>
                <w:tcPr>
                  <w:tcW w:w="879" w:type="dxa"/>
                  <w:vAlign w:val="center"/>
                </w:tcPr>
                <w:p w14:paraId="2B0B2A04">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1.997</w:t>
                  </w:r>
                </w:p>
              </w:tc>
              <w:tc>
                <w:tcPr>
                  <w:tcW w:w="988" w:type="dxa"/>
                  <w:vAlign w:val="center"/>
                </w:tcPr>
                <w:p w14:paraId="66579C57">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0.959</w:t>
                  </w:r>
                </w:p>
              </w:tc>
              <w:tc>
                <w:tcPr>
                  <w:tcW w:w="989" w:type="dxa"/>
                  <w:vAlign w:val="center"/>
                </w:tcPr>
                <w:p w14:paraId="4A159AFC">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0.612</w:t>
                  </w:r>
                </w:p>
              </w:tc>
              <w:tc>
                <w:tcPr>
                  <w:tcW w:w="989" w:type="dxa"/>
                  <w:vAlign w:val="center"/>
                </w:tcPr>
                <w:p w14:paraId="7EF9E170">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0.691</w:t>
                  </w:r>
                </w:p>
              </w:tc>
            </w:tr>
            <w:tr w14:paraId="315F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79C7AB85">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7C0C18AE">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排放速率（kg/h）（合计）</w:t>
                  </w:r>
                </w:p>
              </w:tc>
              <w:tc>
                <w:tcPr>
                  <w:tcW w:w="1723" w:type="dxa"/>
                  <w:gridSpan w:val="2"/>
                  <w:vAlign w:val="center"/>
                </w:tcPr>
                <w:p w14:paraId="771BC5B7">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0.078</w:t>
                  </w:r>
                </w:p>
              </w:tc>
              <w:tc>
                <w:tcPr>
                  <w:tcW w:w="2859" w:type="dxa"/>
                  <w:gridSpan w:val="3"/>
                  <w:vAlign w:val="center"/>
                </w:tcPr>
                <w:p w14:paraId="74A27F18">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0.215</w:t>
                  </w:r>
                </w:p>
              </w:tc>
              <w:tc>
                <w:tcPr>
                  <w:tcW w:w="989" w:type="dxa"/>
                  <w:vAlign w:val="center"/>
                </w:tcPr>
                <w:p w14:paraId="18F2B03C">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0.012</w:t>
                  </w:r>
                </w:p>
              </w:tc>
              <w:tc>
                <w:tcPr>
                  <w:tcW w:w="989" w:type="dxa"/>
                  <w:vAlign w:val="center"/>
                </w:tcPr>
                <w:p w14:paraId="6B198381">
                  <w:pPr>
                    <w:autoSpaceDE w:val="0"/>
                    <w:autoSpaceDN w:val="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0.01</w:t>
                  </w:r>
                  <w:r>
                    <w:rPr>
                      <w:rFonts w:hint="eastAsia" w:ascii="Times New Roman" w:hAnsi="Times New Roman" w:eastAsia="宋体" w:cs="Times New Roman"/>
                      <w:color w:val="000000" w:themeColor="text1"/>
                      <w:szCs w:val="21"/>
                      <w:lang w:val="en-US" w:eastAsia="zh-CN"/>
                      <w14:textFill>
                        <w14:solidFill>
                          <w14:schemeClr w14:val="tx1"/>
                        </w14:solidFill>
                      </w14:textFill>
                    </w:rPr>
                    <w:t>4</w:t>
                  </w:r>
                </w:p>
              </w:tc>
            </w:tr>
            <w:tr w14:paraId="75D8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02130A8C">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2F88580E">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排放浓度（mg/m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）（合计）</w:t>
                  </w:r>
                </w:p>
              </w:tc>
              <w:tc>
                <w:tcPr>
                  <w:tcW w:w="1723" w:type="dxa"/>
                  <w:gridSpan w:val="2"/>
                  <w:vAlign w:val="center"/>
                </w:tcPr>
                <w:p w14:paraId="1CA6D799">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5.966</w:t>
                  </w:r>
                </w:p>
              </w:tc>
              <w:tc>
                <w:tcPr>
                  <w:tcW w:w="2859" w:type="dxa"/>
                  <w:gridSpan w:val="3"/>
                  <w:vAlign w:val="center"/>
                </w:tcPr>
                <w:p w14:paraId="47A9D023">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10.733</w:t>
                  </w:r>
                </w:p>
              </w:tc>
              <w:tc>
                <w:tcPr>
                  <w:tcW w:w="989" w:type="dxa"/>
                  <w:vAlign w:val="center"/>
                </w:tcPr>
                <w:p w14:paraId="58A2BA76">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0.612</w:t>
                  </w:r>
                </w:p>
              </w:tc>
              <w:tc>
                <w:tcPr>
                  <w:tcW w:w="989" w:type="dxa"/>
                  <w:vAlign w:val="center"/>
                </w:tcPr>
                <w:p w14:paraId="6953DAB7">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0.691</w:t>
                  </w:r>
                </w:p>
              </w:tc>
            </w:tr>
            <w:tr w14:paraId="31651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restart"/>
                  <w:vAlign w:val="center"/>
                </w:tcPr>
                <w:p w14:paraId="69E67B6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无组织</w:t>
                  </w:r>
                </w:p>
              </w:tc>
              <w:tc>
                <w:tcPr>
                  <w:tcW w:w="770" w:type="dxa"/>
                  <w:vAlign w:val="center"/>
                </w:tcPr>
                <w:p w14:paraId="4A1854C3">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排放量（t/a）</w:t>
                  </w:r>
                </w:p>
              </w:tc>
              <w:tc>
                <w:tcPr>
                  <w:tcW w:w="889" w:type="dxa"/>
                  <w:vAlign w:val="center"/>
                </w:tcPr>
                <w:p w14:paraId="09421F5A">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0.438</w:t>
                  </w:r>
                </w:p>
              </w:tc>
              <w:tc>
                <w:tcPr>
                  <w:tcW w:w="834" w:type="dxa"/>
                  <w:vAlign w:val="center"/>
                </w:tcPr>
                <w:p w14:paraId="2278A7D7">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0.219</w:t>
                  </w:r>
                </w:p>
              </w:tc>
              <w:tc>
                <w:tcPr>
                  <w:tcW w:w="992" w:type="dxa"/>
                  <w:vAlign w:val="center"/>
                </w:tcPr>
                <w:p w14:paraId="09CBA545">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0.467</w:t>
                  </w:r>
                </w:p>
              </w:tc>
              <w:tc>
                <w:tcPr>
                  <w:tcW w:w="879" w:type="dxa"/>
                  <w:vAlign w:val="center"/>
                </w:tcPr>
                <w:p w14:paraId="64900A73">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0.120</w:t>
                  </w:r>
                </w:p>
              </w:tc>
              <w:tc>
                <w:tcPr>
                  <w:tcW w:w="988" w:type="dxa"/>
                  <w:vAlign w:val="center"/>
                </w:tcPr>
                <w:p w14:paraId="04EDDB70">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0.124</w:t>
                  </w:r>
                </w:p>
              </w:tc>
              <w:tc>
                <w:tcPr>
                  <w:tcW w:w="989" w:type="dxa"/>
                  <w:vAlign w:val="center"/>
                </w:tcPr>
                <w:p w14:paraId="3407FC41">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0.079</w:t>
                  </w:r>
                </w:p>
              </w:tc>
              <w:tc>
                <w:tcPr>
                  <w:tcW w:w="989" w:type="dxa"/>
                  <w:vAlign w:val="center"/>
                </w:tcPr>
                <w:p w14:paraId="1A708C27">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0.179</w:t>
                  </w:r>
                </w:p>
              </w:tc>
            </w:tr>
            <w:tr w14:paraId="311E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0DFD029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3E59EB1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排放速率（kg/h）</w:t>
                  </w:r>
                </w:p>
              </w:tc>
              <w:tc>
                <w:tcPr>
                  <w:tcW w:w="889" w:type="dxa"/>
                  <w:vAlign w:val="center"/>
                </w:tcPr>
                <w:p w14:paraId="0DC08DF2">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0.183</w:t>
                  </w:r>
                </w:p>
              </w:tc>
              <w:tc>
                <w:tcPr>
                  <w:tcW w:w="834" w:type="dxa"/>
                  <w:vAlign w:val="center"/>
                </w:tcPr>
                <w:p w14:paraId="1A9BE78F">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0.091</w:t>
                  </w:r>
                </w:p>
              </w:tc>
              <w:tc>
                <w:tcPr>
                  <w:tcW w:w="992" w:type="dxa"/>
                  <w:vAlign w:val="center"/>
                </w:tcPr>
                <w:p w14:paraId="6A0F2081">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0.194</w:t>
                  </w:r>
                </w:p>
              </w:tc>
              <w:tc>
                <w:tcPr>
                  <w:tcW w:w="879" w:type="dxa"/>
                  <w:vAlign w:val="center"/>
                </w:tcPr>
                <w:p w14:paraId="615EE09C">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0.05</w:t>
                  </w:r>
                </w:p>
              </w:tc>
              <w:tc>
                <w:tcPr>
                  <w:tcW w:w="988" w:type="dxa"/>
                  <w:vAlign w:val="center"/>
                </w:tcPr>
                <w:p w14:paraId="0FDBA228">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0.052</w:t>
                  </w:r>
                </w:p>
              </w:tc>
              <w:tc>
                <w:tcPr>
                  <w:tcW w:w="989" w:type="dxa"/>
                  <w:vAlign w:val="center"/>
                </w:tcPr>
                <w:p w14:paraId="77E89811">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0.033</w:t>
                  </w:r>
                </w:p>
              </w:tc>
              <w:tc>
                <w:tcPr>
                  <w:tcW w:w="989" w:type="dxa"/>
                  <w:vAlign w:val="center"/>
                </w:tcPr>
                <w:p w14:paraId="03994470">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0.074</w:t>
                  </w:r>
                </w:p>
              </w:tc>
            </w:tr>
            <w:tr w14:paraId="1704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048E8CEB">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6BC0D827">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总排风量/m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/h</w:t>
                  </w:r>
                </w:p>
              </w:tc>
              <w:tc>
                <w:tcPr>
                  <w:tcW w:w="1723" w:type="dxa"/>
                  <w:gridSpan w:val="2"/>
                  <w:vAlign w:val="center"/>
                </w:tcPr>
                <w:p w14:paraId="603146A1">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13000</w:t>
                  </w:r>
                </w:p>
              </w:tc>
              <w:tc>
                <w:tcPr>
                  <w:tcW w:w="4837" w:type="dxa"/>
                  <w:gridSpan w:val="5"/>
                  <w:vAlign w:val="center"/>
                </w:tcPr>
                <w:p w14:paraId="0D81B880">
                  <w:pPr>
                    <w:autoSpaceDE w:val="0"/>
                    <w:autoSpaceDN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20000</w:t>
                  </w:r>
                </w:p>
              </w:tc>
            </w:tr>
            <w:tr w14:paraId="3968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31C0B4F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48EC177D">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有组织排放高度/m</w:t>
                  </w:r>
                </w:p>
              </w:tc>
              <w:tc>
                <w:tcPr>
                  <w:tcW w:w="1723" w:type="dxa"/>
                  <w:gridSpan w:val="2"/>
                  <w:vAlign w:val="center"/>
                </w:tcPr>
                <w:p w14:paraId="1312EAB2">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5</w:t>
                  </w:r>
                </w:p>
              </w:tc>
              <w:tc>
                <w:tcPr>
                  <w:tcW w:w="4837" w:type="dxa"/>
                  <w:gridSpan w:val="5"/>
                  <w:vAlign w:val="center"/>
                </w:tcPr>
                <w:p w14:paraId="58F57C75">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5</w:t>
                  </w:r>
                </w:p>
              </w:tc>
            </w:tr>
            <w:tr w14:paraId="771A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dxa"/>
                  <w:vMerge w:val="continue"/>
                  <w:vAlign w:val="center"/>
                </w:tcPr>
                <w:p w14:paraId="66C87360">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p>
              </w:tc>
              <w:tc>
                <w:tcPr>
                  <w:tcW w:w="770" w:type="dxa"/>
                  <w:vAlign w:val="center"/>
                </w:tcPr>
                <w:p w14:paraId="32FF0B0F">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工作时间/h</w:t>
                  </w:r>
                </w:p>
              </w:tc>
              <w:tc>
                <w:tcPr>
                  <w:tcW w:w="6560" w:type="dxa"/>
                  <w:gridSpan w:val="7"/>
                  <w:vAlign w:val="center"/>
                </w:tcPr>
                <w:p w14:paraId="11B7AF1C">
                  <w:pPr>
                    <w:autoSpaceDE w:val="0"/>
                    <w:autoSpaceDN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400</w:t>
                  </w:r>
                </w:p>
              </w:tc>
            </w:tr>
          </w:tbl>
          <w:p w14:paraId="239DFC02">
            <w:pPr>
              <w:pStyle w:val="301"/>
              <w:spacing w:line="240" w:lineRule="auto"/>
              <w:ind w:firstLine="0" w:firstLineChars="0"/>
              <w:jc w:val="left"/>
              <w:rPr>
                <w:b/>
                <w:color w:val="000000" w:themeColor="text1"/>
                <w:sz w:val="21"/>
                <w:szCs w:val="21"/>
                <w14:textFill>
                  <w14:solidFill>
                    <w14:schemeClr w14:val="tx1"/>
                  </w14:solidFill>
                </w14:textFill>
              </w:rPr>
            </w:pPr>
          </w:p>
          <w:p w14:paraId="3BB5EE47">
            <w:pPr>
              <w:pStyle w:val="301"/>
              <w:spacing w:line="240" w:lineRule="auto"/>
              <w:ind w:firstLine="0" w:firstLineChars="0"/>
              <w:jc w:val="center"/>
              <w:rPr>
                <w:b/>
                <w:color w:val="000000" w:themeColor="text1"/>
                <w:sz w:val="21"/>
                <w:szCs w:val="21"/>
                <w14:textFill>
                  <w14:solidFill>
                    <w14:schemeClr w14:val="tx1"/>
                  </w14:solidFill>
                </w14:textFill>
              </w:rPr>
            </w:pPr>
          </w:p>
          <w:p w14:paraId="7EE4989D">
            <w:pPr>
              <w:pStyle w:val="301"/>
              <w:spacing w:line="240" w:lineRule="auto"/>
              <w:ind w:firstLine="0" w:firstLineChars="0"/>
              <w:jc w:val="center"/>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表</w:t>
            </w:r>
            <w:r>
              <w:rPr>
                <w:rFonts w:hint="eastAsia"/>
                <w:b/>
                <w:color w:val="000000" w:themeColor="text1"/>
                <w:sz w:val="21"/>
                <w:szCs w:val="21"/>
                <w14:textFill>
                  <w14:solidFill>
                    <w14:schemeClr w14:val="tx1"/>
                  </w14:solidFill>
                </w14:textFill>
              </w:rPr>
              <w:t>4</w:t>
            </w:r>
            <w:r>
              <w:rPr>
                <w:b/>
                <w:color w:val="000000" w:themeColor="text1"/>
                <w:sz w:val="21"/>
                <w:szCs w:val="21"/>
                <w14:textFill>
                  <w14:solidFill>
                    <w14:schemeClr w14:val="tx1"/>
                  </w14:solidFill>
                </w14:textFill>
              </w:rPr>
              <w:t>-</w:t>
            </w:r>
            <w:r>
              <w:rPr>
                <w:rFonts w:hint="eastAsia"/>
                <w:b/>
                <w:color w:val="000000" w:themeColor="text1"/>
                <w:sz w:val="21"/>
                <w:szCs w:val="21"/>
                <w:lang w:val="en-US" w:eastAsia="zh-CN"/>
                <w14:textFill>
                  <w14:solidFill>
                    <w14:schemeClr w14:val="tx1"/>
                  </w14:solidFill>
                </w14:textFill>
              </w:rPr>
              <w:t>8</w:t>
            </w:r>
            <w:r>
              <w:rPr>
                <w:rFonts w:hint="eastAsia"/>
                <w:b/>
                <w:color w:val="000000" w:themeColor="text1"/>
                <w:sz w:val="21"/>
                <w:szCs w:val="21"/>
                <w14:textFill>
                  <w14:solidFill>
                    <w14:schemeClr w14:val="tx1"/>
                  </w14:solidFill>
                </w14:textFill>
              </w:rPr>
              <w:t xml:space="preserve"> 大气污染物有组织排放量核算表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1279"/>
              <w:gridCol w:w="1279"/>
              <w:gridCol w:w="1279"/>
              <w:gridCol w:w="1279"/>
              <w:gridCol w:w="1279"/>
            </w:tblGrid>
            <w:tr w14:paraId="6155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vAlign w:val="center"/>
                </w:tcPr>
                <w:p w14:paraId="53D1F6A5">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序号</w:t>
                  </w:r>
                </w:p>
              </w:tc>
              <w:tc>
                <w:tcPr>
                  <w:tcW w:w="1279" w:type="dxa"/>
                  <w:vAlign w:val="center"/>
                </w:tcPr>
                <w:p w14:paraId="38EFF9B9">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排放口编号</w:t>
                  </w:r>
                </w:p>
              </w:tc>
              <w:tc>
                <w:tcPr>
                  <w:tcW w:w="1279" w:type="dxa"/>
                  <w:vAlign w:val="center"/>
                </w:tcPr>
                <w:p w14:paraId="694C099E">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污染物</w:t>
                  </w:r>
                </w:p>
              </w:tc>
              <w:tc>
                <w:tcPr>
                  <w:tcW w:w="1279" w:type="dxa"/>
                  <w:vAlign w:val="center"/>
                </w:tcPr>
                <w:p w14:paraId="2519E351">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核算排放浓度/（mg/m</w:t>
                  </w:r>
                  <w:r>
                    <w:rPr>
                      <w:rFonts w:ascii="Times New Roman" w:hAnsi="Times New Roman" w:eastAsia="宋体" w:cs="Times New Roman"/>
                      <w:color w:val="000000" w:themeColor="text1"/>
                      <w:vertAlign w:val="superscript"/>
                      <w14:textFill>
                        <w14:solidFill>
                          <w14:schemeClr w14:val="tx1"/>
                        </w14:solidFill>
                      </w14:textFill>
                    </w:rPr>
                    <w:t>3</w:t>
                  </w:r>
                  <w:r>
                    <w:rPr>
                      <w:rFonts w:ascii="Times New Roman" w:hAnsi="Times New Roman" w:eastAsia="宋体" w:cs="Times New Roman"/>
                      <w:color w:val="000000" w:themeColor="text1"/>
                      <w14:textFill>
                        <w14:solidFill>
                          <w14:schemeClr w14:val="tx1"/>
                        </w14:solidFill>
                      </w14:textFill>
                    </w:rPr>
                    <w:t>）</w:t>
                  </w:r>
                </w:p>
              </w:tc>
              <w:tc>
                <w:tcPr>
                  <w:tcW w:w="1279" w:type="dxa"/>
                  <w:vAlign w:val="center"/>
                </w:tcPr>
                <w:p w14:paraId="6D3269FF">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核算排放速率 /（kg/h）</w:t>
                  </w:r>
                </w:p>
              </w:tc>
              <w:tc>
                <w:tcPr>
                  <w:tcW w:w="1279" w:type="dxa"/>
                  <w:vAlign w:val="center"/>
                </w:tcPr>
                <w:p w14:paraId="42195818">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核算年排放量/（t/a）</w:t>
                  </w:r>
                </w:p>
              </w:tc>
            </w:tr>
            <w:tr w14:paraId="7FFF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3" w:type="dxa"/>
                  <w:gridSpan w:val="6"/>
                  <w:vAlign w:val="center"/>
                </w:tcPr>
                <w:p w14:paraId="23369506">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一般排放口</w:t>
                  </w:r>
                </w:p>
              </w:tc>
            </w:tr>
            <w:tr w14:paraId="11D1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vAlign w:val="center"/>
                </w:tcPr>
                <w:p w14:paraId="7A17353B">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w:t>
                  </w:r>
                </w:p>
              </w:tc>
              <w:tc>
                <w:tcPr>
                  <w:tcW w:w="1279" w:type="dxa"/>
                  <w:vAlign w:val="center"/>
                </w:tcPr>
                <w:p w14:paraId="676205E7">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DA004</w:t>
                  </w:r>
                </w:p>
              </w:tc>
              <w:tc>
                <w:tcPr>
                  <w:tcW w:w="1279" w:type="dxa"/>
                  <w:vAlign w:val="center"/>
                </w:tcPr>
                <w:p w14:paraId="3689574B">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颗粒物</w:t>
                  </w:r>
                </w:p>
              </w:tc>
              <w:tc>
                <w:tcPr>
                  <w:tcW w:w="1279" w:type="dxa"/>
                  <w:vAlign w:val="center"/>
                </w:tcPr>
                <w:p w14:paraId="4DE6B30F">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w:t>
                  </w:r>
                  <w:r>
                    <w:rPr>
                      <w:rFonts w:hint="eastAsia" w:ascii="Times New Roman" w:hAnsi="Times New Roman" w:eastAsia="宋体" w:cs="Times New Roman"/>
                      <w:color w:val="000000" w:themeColor="text1"/>
                      <w:lang w:val="en-US" w:eastAsia="zh-CN"/>
                      <w14:textFill>
                        <w14:solidFill>
                          <w14:schemeClr w14:val="tx1"/>
                        </w14:solidFill>
                      </w14:textFill>
                    </w:rPr>
                    <w:t>966</w:t>
                  </w:r>
                </w:p>
              </w:tc>
              <w:tc>
                <w:tcPr>
                  <w:tcW w:w="1279" w:type="dxa"/>
                  <w:vAlign w:val="center"/>
                </w:tcPr>
                <w:p w14:paraId="267025FC">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0.0</w:t>
                  </w:r>
                  <w:r>
                    <w:rPr>
                      <w:rFonts w:hint="eastAsia" w:ascii="Times New Roman" w:hAnsi="Times New Roman" w:eastAsia="宋体" w:cs="Times New Roman"/>
                      <w:color w:val="000000" w:themeColor="text1"/>
                      <w:lang w:val="en-US" w:eastAsia="zh-CN"/>
                      <w14:textFill>
                        <w14:solidFill>
                          <w14:schemeClr w14:val="tx1"/>
                        </w14:solidFill>
                      </w14:textFill>
                    </w:rPr>
                    <w:t>78</w:t>
                  </w:r>
                </w:p>
              </w:tc>
              <w:tc>
                <w:tcPr>
                  <w:tcW w:w="1279" w:type="dxa"/>
                  <w:vAlign w:val="center"/>
                </w:tcPr>
                <w:p w14:paraId="376DFEBA">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0.1</w:t>
                  </w:r>
                  <w:r>
                    <w:rPr>
                      <w:rFonts w:hint="eastAsia" w:ascii="Times New Roman" w:hAnsi="Times New Roman" w:eastAsia="宋体" w:cs="Times New Roman"/>
                      <w:color w:val="000000" w:themeColor="text1"/>
                      <w:lang w:val="en-US" w:eastAsia="zh-CN"/>
                      <w14:textFill>
                        <w14:solidFill>
                          <w14:schemeClr w14:val="tx1"/>
                        </w14:solidFill>
                      </w14:textFill>
                    </w:rPr>
                    <w:t>87</w:t>
                  </w:r>
                </w:p>
              </w:tc>
            </w:tr>
            <w:tr w14:paraId="507F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vAlign w:val="center"/>
                </w:tcPr>
                <w:p w14:paraId="113E09FB">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p>
              </w:tc>
              <w:tc>
                <w:tcPr>
                  <w:tcW w:w="1279" w:type="dxa"/>
                  <w:vMerge w:val="restart"/>
                  <w:vAlign w:val="center"/>
                </w:tcPr>
                <w:p w14:paraId="1411A53F">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DA005</w:t>
                  </w:r>
                </w:p>
              </w:tc>
              <w:tc>
                <w:tcPr>
                  <w:tcW w:w="1279" w:type="dxa"/>
                  <w:vAlign w:val="center"/>
                </w:tcPr>
                <w:p w14:paraId="03FD2B2C">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非甲烷总烃</w:t>
                  </w:r>
                </w:p>
              </w:tc>
              <w:tc>
                <w:tcPr>
                  <w:tcW w:w="1279" w:type="dxa"/>
                  <w:vAlign w:val="center"/>
                </w:tcPr>
                <w:p w14:paraId="226DDCD3">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10.733</w:t>
                  </w:r>
                </w:p>
              </w:tc>
              <w:tc>
                <w:tcPr>
                  <w:tcW w:w="1279" w:type="dxa"/>
                  <w:vAlign w:val="center"/>
                </w:tcPr>
                <w:p w14:paraId="6BBD5A13">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0</w:t>
                  </w: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215</w:t>
                  </w:r>
                </w:p>
              </w:tc>
              <w:tc>
                <w:tcPr>
                  <w:tcW w:w="1279" w:type="dxa"/>
                  <w:vAlign w:val="center"/>
                </w:tcPr>
                <w:p w14:paraId="5A35796C">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0.515</w:t>
                  </w:r>
                </w:p>
              </w:tc>
            </w:tr>
            <w:tr w14:paraId="4DE4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vAlign w:val="center"/>
                </w:tcPr>
                <w:p w14:paraId="58CFF5BF">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w:t>
                  </w:r>
                </w:p>
              </w:tc>
              <w:tc>
                <w:tcPr>
                  <w:tcW w:w="1279" w:type="dxa"/>
                  <w:vMerge w:val="continue"/>
                  <w:vAlign w:val="center"/>
                </w:tcPr>
                <w:p w14:paraId="3D13852A">
                  <w:pPr>
                    <w:spacing w:before="34" w:line="223" w:lineRule="auto"/>
                    <w:jc w:val="center"/>
                    <w:rPr>
                      <w:rFonts w:ascii="Times New Roman" w:hAnsi="Times New Roman" w:eastAsia="宋体" w:cs="Times New Roman"/>
                      <w:color w:val="000000" w:themeColor="text1"/>
                      <w14:textFill>
                        <w14:solidFill>
                          <w14:schemeClr w14:val="tx1"/>
                        </w14:solidFill>
                      </w14:textFill>
                    </w:rPr>
                  </w:pPr>
                </w:p>
              </w:tc>
              <w:tc>
                <w:tcPr>
                  <w:tcW w:w="1279" w:type="dxa"/>
                  <w:vAlign w:val="center"/>
                </w:tcPr>
                <w:p w14:paraId="30E881DD">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苯系物</w:t>
                  </w:r>
                </w:p>
              </w:tc>
              <w:tc>
                <w:tcPr>
                  <w:tcW w:w="1279" w:type="dxa"/>
                  <w:vAlign w:val="center"/>
                </w:tcPr>
                <w:p w14:paraId="62CABA73">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0.612</w:t>
                  </w:r>
                </w:p>
              </w:tc>
              <w:tc>
                <w:tcPr>
                  <w:tcW w:w="1279" w:type="dxa"/>
                  <w:vAlign w:val="center"/>
                </w:tcPr>
                <w:p w14:paraId="165FAC57">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0.012</w:t>
                  </w:r>
                </w:p>
              </w:tc>
              <w:tc>
                <w:tcPr>
                  <w:tcW w:w="1279" w:type="dxa"/>
                  <w:vAlign w:val="center"/>
                </w:tcPr>
                <w:p w14:paraId="6F6341EC">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0</w:t>
                  </w:r>
                  <w:r>
                    <w:rPr>
                      <w:rFonts w:ascii="Times New Roman" w:hAnsi="Times New Roman" w:eastAsia="宋体" w:cs="Times New Roman"/>
                      <w:color w:val="000000" w:themeColor="text1"/>
                      <w14:textFill>
                        <w14:solidFill>
                          <w14:schemeClr w14:val="tx1"/>
                        </w14:solidFill>
                      </w14:textFill>
                    </w:rPr>
                    <w:t>.0</w:t>
                  </w:r>
                  <w:r>
                    <w:rPr>
                      <w:rFonts w:hint="eastAsia" w:ascii="Times New Roman" w:hAnsi="Times New Roman" w:eastAsia="宋体" w:cs="Times New Roman"/>
                      <w:color w:val="000000" w:themeColor="text1"/>
                      <w:lang w:val="en-US" w:eastAsia="zh-CN"/>
                      <w14:textFill>
                        <w14:solidFill>
                          <w14:schemeClr w14:val="tx1"/>
                        </w14:solidFill>
                      </w14:textFill>
                    </w:rPr>
                    <w:t>29</w:t>
                  </w:r>
                </w:p>
              </w:tc>
            </w:tr>
            <w:tr w14:paraId="38DA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vAlign w:val="center"/>
                </w:tcPr>
                <w:p w14:paraId="0CBA14EA">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w:t>
                  </w:r>
                </w:p>
              </w:tc>
              <w:tc>
                <w:tcPr>
                  <w:tcW w:w="1279" w:type="dxa"/>
                  <w:vMerge w:val="continue"/>
                  <w:vAlign w:val="center"/>
                </w:tcPr>
                <w:p w14:paraId="59C0FE38">
                  <w:pPr>
                    <w:spacing w:before="34" w:line="223" w:lineRule="auto"/>
                    <w:jc w:val="center"/>
                    <w:rPr>
                      <w:rFonts w:ascii="Times New Roman" w:hAnsi="Times New Roman" w:eastAsia="宋体" w:cs="Times New Roman"/>
                      <w:color w:val="000000" w:themeColor="text1"/>
                      <w14:textFill>
                        <w14:solidFill>
                          <w14:schemeClr w14:val="tx1"/>
                        </w14:solidFill>
                      </w14:textFill>
                    </w:rPr>
                  </w:pPr>
                </w:p>
              </w:tc>
              <w:tc>
                <w:tcPr>
                  <w:tcW w:w="1279" w:type="dxa"/>
                  <w:vAlign w:val="center"/>
                </w:tcPr>
                <w:p w14:paraId="5BE5806F">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颗粒物</w:t>
                  </w:r>
                </w:p>
              </w:tc>
              <w:tc>
                <w:tcPr>
                  <w:tcW w:w="1279" w:type="dxa"/>
                  <w:vAlign w:val="center"/>
                </w:tcPr>
                <w:p w14:paraId="0E7D1737">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0.691</w:t>
                  </w:r>
                </w:p>
              </w:tc>
              <w:tc>
                <w:tcPr>
                  <w:tcW w:w="1279" w:type="dxa"/>
                  <w:vAlign w:val="center"/>
                </w:tcPr>
                <w:p w14:paraId="6FF05A3E">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0.014</w:t>
                  </w:r>
                </w:p>
              </w:tc>
              <w:tc>
                <w:tcPr>
                  <w:tcW w:w="1279" w:type="dxa"/>
                  <w:vAlign w:val="center"/>
                </w:tcPr>
                <w:p w14:paraId="72C2DE61">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0.033</w:t>
                  </w:r>
                </w:p>
              </w:tc>
            </w:tr>
            <w:tr w14:paraId="44E8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7" w:type="dxa"/>
                  <w:gridSpan w:val="2"/>
                  <w:vMerge w:val="restart"/>
                  <w:vAlign w:val="center"/>
                </w:tcPr>
                <w:p w14:paraId="2464EA5C">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一般排放口合计</w:t>
                  </w:r>
                </w:p>
              </w:tc>
              <w:tc>
                <w:tcPr>
                  <w:tcW w:w="3837" w:type="dxa"/>
                  <w:gridSpan w:val="3"/>
                  <w:vAlign w:val="center"/>
                </w:tcPr>
                <w:p w14:paraId="5D6F06B7">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颗粒物</w:t>
                  </w:r>
                </w:p>
              </w:tc>
              <w:tc>
                <w:tcPr>
                  <w:tcW w:w="1279" w:type="dxa"/>
                  <w:vAlign w:val="center"/>
                </w:tcPr>
                <w:p w14:paraId="07619046">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0.22</w:t>
                  </w:r>
                </w:p>
              </w:tc>
            </w:tr>
            <w:tr w14:paraId="7169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7" w:type="dxa"/>
                  <w:gridSpan w:val="2"/>
                  <w:vMerge w:val="continue"/>
                  <w:vAlign w:val="center"/>
                </w:tcPr>
                <w:p w14:paraId="736CEC06">
                  <w:pPr>
                    <w:spacing w:before="34" w:line="223" w:lineRule="auto"/>
                    <w:jc w:val="center"/>
                    <w:rPr>
                      <w:rFonts w:ascii="Times New Roman" w:hAnsi="Times New Roman" w:eastAsia="宋体" w:cs="Times New Roman"/>
                      <w:color w:val="000000" w:themeColor="text1"/>
                      <w14:textFill>
                        <w14:solidFill>
                          <w14:schemeClr w14:val="tx1"/>
                        </w14:solidFill>
                      </w14:textFill>
                    </w:rPr>
                  </w:pPr>
                </w:p>
              </w:tc>
              <w:tc>
                <w:tcPr>
                  <w:tcW w:w="3837" w:type="dxa"/>
                  <w:gridSpan w:val="3"/>
                  <w:vAlign w:val="center"/>
                </w:tcPr>
                <w:p w14:paraId="4E114A51">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非甲烷总烃</w:t>
                  </w:r>
                </w:p>
              </w:tc>
              <w:tc>
                <w:tcPr>
                  <w:tcW w:w="1279" w:type="dxa"/>
                  <w:vAlign w:val="center"/>
                </w:tcPr>
                <w:p w14:paraId="085CF67F">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0.515</w:t>
                  </w:r>
                </w:p>
              </w:tc>
            </w:tr>
            <w:tr w14:paraId="2410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7" w:type="dxa"/>
                  <w:gridSpan w:val="2"/>
                  <w:vMerge w:val="continue"/>
                  <w:vAlign w:val="center"/>
                </w:tcPr>
                <w:p w14:paraId="6895475E">
                  <w:pPr>
                    <w:spacing w:before="34" w:line="223" w:lineRule="auto"/>
                    <w:jc w:val="center"/>
                    <w:rPr>
                      <w:rFonts w:ascii="Times New Roman" w:hAnsi="Times New Roman" w:eastAsia="宋体" w:cs="Times New Roman"/>
                      <w:color w:val="000000" w:themeColor="text1"/>
                      <w14:textFill>
                        <w14:solidFill>
                          <w14:schemeClr w14:val="tx1"/>
                        </w14:solidFill>
                      </w14:textFill>
                    </w:rPr>
                  </w:pPr>
                </w:p>
              </w:tc>
              <w:tc>
                <w:tcPr>
                  <w:tcW w:w="3837" w:type="dxa"/>
                  <w:gridSpan w:val="3"/>
                  <w:vAlign w:val="center"/>
                </w:tcPr>
                <w:p w14:paraId="6DA005D8">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苯系物</w:t>
                  </w:r>
                </w:p>
              </w:tc>
              <w:tc>
                <w:tcPr>
                  <w:tcW w:w="1279" w:type="dxa"/>
                  <w:vAlign w:val="center"/>
                </w:tcPr>
                <w:p w14:paraId="2F0D15F9">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0.029</w:t>
                  </w:r>
                </w:p>
              </w:tc>
            </w:tr>
            <w:tr w14:paraId="09C1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3" w:type="dxa"/>
                  <w:gridSpan w:val="6"/>
                  <w:vAlign w:val="center"/>
                </w:tcPr>
                <w:p w14:paraId="67E2FAF0">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有组织排放总计</w:t>
                  </w:r>
                </w:p>
              </w:tc>
            </w:tr>
            <w:tr w14:paraId="379A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7" w:type="dxa"/>
                  <w:gridSpan w:val="2"/>
                  <w:vMerge w:val="restart"/>
                  <w:vAlign w:val="center"/>
                </w:tcPr>
                <w:p w14:paraId="0802EE32">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有组织排放总计</w:t>
                  </w:r>
                </w:p>
              </w:tc>
              <w:tc>
                <w:tcPr>
                  <w:tcW w:w="3837" w:type="dxa"/>
                  <w:gridSpan w:val="3"/>
                  <w:vAlign w:val="center"/>
                </w:tcPr>
                <w:p w14:paraId="7378992D">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颗粒物</w:t>
                  </w:r>
                </w:p>
              </w:tc>
              <w:tc>
                <w:tcPr>
                  <w:tcW w:w="1279" w:type="dxa"/>
                  <w:vAlign w:val="center"/>
                </w:tcPr>
                <w:p w14:paraId="74994935">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0.22</w:t>
                  </w:r>
                </w:p>
              </w:tc>
            </w:tr>
            <w:tr w14:paraId="25DB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7" w:type="dxa"/>
                  <w:gridSpan w:val="2"/>
                  <w:vMerge w:val="continue"/>
                  <w:vAlign w:val="center"/>
                </w:tcPr>
                <w:p w14:paraId="699FDB46">
                  <w:pPr>
                    <w:spacing w:before="34" w:line="223" w:lineRule="auto"/>
                    <w:jc w:val="center"/>
                    <w:rPr>
                      <w:rFonts w:ascii="Times New Roman" w:hAnsi="Times New Roman" w:eastAsia="宋体" w:cs="Times New Roman"/>
                      <w:color w:val="000000" w:themeColor="text1"/>
                      <w14:textFill>
                        <w14:solidFill>
                          <w14:schemeClr w14:val="tx1"/>
                        </w14:solidFill>
                      </w14:textFill>
                    </w:rPr>
                  </w:pPr>
                </w:p>
              </w:tc>
              <w:tc>
                <w:tcPr>
                  <w:tcW w:w="3837" w:type="dxa"/>
                  <w:gridSpan w:val="3"/>
                  <w:vAlign w:val="center"/>
                </w:tcPr>
                <w:p w14:paraId="34AC0763">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非甲烷总烃</w:t>
                  </w:r>
                </w:p>
              </w:tc>
              <w:tc>
                <w:tcPr>
                  <w:tcW w:w="1279" w:type="dxa"/>
                  <w:vAlign w:val="center"/>
                </w:tcPr>
                <w:p w14:paraId="46A43D93">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0.515</w:t>
                  </w:r>
                </w:p>
              </w:tc>
            </w:tr>
            <w:tr w14:paraId="1B61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7" w:type="dxa"/>
                  <w:gridSpan w:val="2"/>
                  <w:vMerge w:val="continue"/>
                  <w:vAlign w:val="center"/>
                </w:tcPr>
                <w:p w14:paraId="62101C92">
                  <w:pPr>
                    <w:spacing w:before="34" w:line="223" w:lineRule="auto"/>
                    <w:jc w:val="center"/>
                    <w:rPr>
                      <w:rFonts w:ascii="Times New Roman" w:hAnsi="Times New Roman" w:eastAsia="宋体" w:cs="Times New Roman"/>
                      <w:color w:val="000000" w:themeColor="text1"/>
                      <w14:textFill>
                        <w14:solidFill>
                          <w14:schemeClr w14:val="tx1"/>
                        </w14:solidFill>
                      </w14:textFill>
                    </w:rPr>
                  </w:pPr>
                </w:p>
              </w:tc>
              <w:tc>
                <w:tcPr>
                  <w:tcW w:w="3837" w:type="dxa"/>
                  <w:gridSpan w:val="3"/>
                  <w:vAlign w:val="center"/>
                </w:tcPr>
                <w:p w14:paraId="1F24E921">
                  <w:pPr>
                    <w:spacing w:before="34" w:line="223"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苯系物</w:t>
                  </w:r>
                </w:p>
              </w:tc>
              <w:tc>
                <w:tcPr>
                  <w:tcW w:w="1279" w:type="dxa"/>
                  <w:vAlign w:val="center"/>
                </w:tcPr>
                <w:p w14:paraId="66105387">
                  <w:pPr>
                    <w:spacing w:before="34" w:line="223"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0.029</w:t>
                  </w:r>
                </w:p>
              </w:tc>
            </w:tr>
          </w:tbl>
          <w:p w14:paraId="22BFB414">
            <w:pPr>
              <w:pStyle w:val="301"/>
              <w:spacing w:line="240" w:lineRule="auto"/>
              <w:ind w:firstLine="0" w:firstLineChars="0"/>
              <w:jc w:val="center"/>
              <w:rPr>
                <w:b/>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表</w:t>
            </w:r>
            <w:r>
              <w:rPr>
                <w:b/>
                <w:color w:val="000000" w:themeColor="text1"/>
                <w:sz w:val="21"/>
                <w:szCs w:val="21"/>
                <w14:textFill>
                  <w14:solidFill>
                    <w14:schemeClr w14:val="tx1"/>
                  </w14:solidFill>
                </w14:textFill>
              </w:rPr>
              <w:t>4-</w:t>
            </w:r>
            <w:r>
              <w:rPr>
                <w:rFonts w:hint="eastAsia"/>
                <w:b/>
                <w:color w:val="000000" w:themeColor="text1"/>
                <w:sz w:val="21"/>
                <w:szCs w:val="21"/>
                <w:lang w:val="en-US" w:eastAsia="zh-CN"/>
                <w14:textFill>
                  <w14:solidFill>
                    <w14:schemeClr w14:val="tx1"/>
                  </w14:solidFill>
                </w14:textFill>
              </w:rPr>
              <w:t>9</w:t>
            </w:r>
            <w:r>
              <w:rPr>
                <w:rFonts w:hint="eastAsia"/>
                <w:b/>
                <w:color w:val="000000" w:themeColor="text1"/>
                <w:sz w:val="21"/>
                <w:szCs w:val="21"/>
                <w14:textFill>
                  <w14:solidFill>
                    <w14:schemeClr w14:val="tx1"/>
                  </w14:solidFill>
                </w14:textFill>
              </w:rPr>
              <w:t xml:space="preserve"> 大气污染物无组织排放量核算表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686"/>
              <w:gridCol w:w="686"/>
              <w:gridCol w:w="813"/>
              <w:gridCol w:w="686"/>
              <w:gridCol w:w="2189"/>
              <w:gridCol w:w="1024"/>
              <w:gridCol w:w="960"/>
            </w:tblGrid>
            <w:tr w14:paraId="14FA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vMerge w:val="restart"/>
                  <w:vAlign w:val="center"/>
                </w:tcPr>
                <w:p w14:paraId="1B7E36B9">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序号</w:t>
                  </w:r>
                </w:p>
              </w:tc>
              <w:tc>
                <w:tcPr>
                  <w:tcW w:w="686" w:type="dxa"/>
                  <w:vMerge w:val="restart"/>
                  <w:vAlign w:val="center"/>
                </w:tcPr>
                <w:p w14:paraId="54061EFD">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排放口编号</w:t>
                  </w:r>
                </w:p>
              </w:tc>
              <w:tc>
                <w:tcPr>
                  <w:tcW w:w="686" w:type="dxa"/>
                  <w:vMerge w:val="restart"/>
                  <w:vAlign w:val="center"/>
                </w:tcPr>
                <w:p w14:paraId="09DFAA3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产污环节</w:t>
                  </w:r>
                </w:p>
              </w:tc>
              <w:tc>
                <w:tcPr>
                  <w:tcW w:w="813" w:type="dxa"/>
                  <w:vMerge w:val="restart"/>
                  <w:vAlign w:val="center"/>
                </w:tcPr>
                <w:p w14:paraId="64913BA5">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污染物</w:t>
                  </w:r>
                </w:p>
              </w:tc>
              <w:tc>
                <w:tcPr>
                  <w:tcW w:w="686" w:type="dxa"/>
                  <w:vMerge w:val="restart"/>
                  <w:vAlign w:val="center"/>
                </w:tcPr>
                <w:p w14:paraId="32AA0FF8">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主要污染防治措施</w:t>
                  </w:r>
                </w:p>
              </w:tc>
              <w:tc>
                <w:tcPr>
                  <w:tcW w:w="3213" w:type="dxa"/>
                  <w:gridSpan w:val="2"/>
                  <w:vAlign w:val="center"/>
                </w:tcPr>
                <w:p w14:paraId="41336D9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国家或地方污染物排放标准</w:t>
                  </w:r>
                </w:p>
              </w:tc>
              <w:tc>
                <w:tcPr>
                  <w:tcW w:w="960" w:type="dxa"/>
                  <w:vMerge w:val="restart"/>
                  <w:vAlign w:val="center"/>
                </w:tcPr>
                <w:p w14:paraId="6CFF30A9">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年排放量（t/a）</w:t>
                  </w:r>
                </w:p>
              </w:tc>
            </w:tr>
            <w:tr w14:paraId="13C3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vMerge w:val="continue"/>
                  <w:vAlign w:val="center"/>
                </w:tcPr>
                <w:p w14:paraId="6FD31CEB">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686" w:type="dxa"/>
                  <w:vMerge w:val="continue"/>
                  <w:vAlign w:val="center"/>
                </w:tcPr>
                <w:p w14:paraId="110967B3">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686" w:type="dxa"/>
                  <w:vMerge w:val="continue"/>
                  <w:vAlign w:val="center"/>
                </w:tcPr>
                <w:p w14:paraId="30DBE91D">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813" w:type="dxa"/>
                  <w:vMerge w:val="continue"/>
                  <w:vAlign w:val="center"/>
                </w:tcPr>
                <w:p w14:paraId="7F8AC204">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686" w:type="dxa"/>
                  <w:vMerge w:val="continue"/>
                  <w:vAlign w:val="center"/>
                </w:tcPr>
                <w:p w14:paraId="09421469">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2189" w:type="dxa"/>
                  <w:vAlign w:val="center"/>
                </w:tcPr>
                <w:p w14:paraId="4715A47C">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标准名称</w:t>
                  </w:r>
                </w:p>
              </w:tc>
              <w:tc>
                <w:tcPr>
                  <w:tcW w:w="1024" w:type="dxa"/>
                  <w:vAlign w:val="center"/>
                </w:tcPr>
                <w:p w14:paraId="2454068F">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浓度限值(</w:t>
                  </w:r>
                  <w:r>
                    <w:rPr>
                      <w:rFonts w:ascii="Times New Roman" w:hAnsi="Times New Roman" w:eastAsia="宋体" w:cs="Times New Roman"/>
                      <w:color w:val="000000" w:themeColor="text1"/>
                      <w:szCs w:val="21"/>
                      <w14:textFill>
                        <w14:solidFill>
                          <w14:schemeClr w14:val="tx1"/>
                        </w14:solidFill>
                      </w14:textFill>
                    </w:rPr>
                    <w:t>mg/m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ascii="Times New Roman" w:hAnsi="Times New Roman" w:eastAsia="宋体" w:cs="Times New Roman"/>
                      <w:color w:val="000000" w:themeColor="text1"/>
                      <w14:textFill>
                        <w14:solidFill>
                          <w14:schemeClr w14:val="tx1"/>
                        </w14:solidFill>
                      </w14:textFill>
                    </w:rPr>
                    <w:t>）</w:t>
                  </w:r>
                </w:p>
              </w:tc>
              <w:tc>
                <w:tcPr>
                  <w:tcW w:w="960" w:type="dxa"/>
                  <w:vMerge w:val="continue"/>
                  <w:vAlign w:val="center"/>
                </w:tcPr>
                <w:p w14:paraId="468C69CD">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r>
            <w:tr w14:paraId="332C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vAlign w:val="center"/>
                </w:tcPr>
                <w:p w14:paraId="54C6FBF8">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w:t>
                  </w:r>
                </w:p>
              </w:tc>
              <w:tc>
                <w:tcPr>
                  <w:tcW w:w="686" w:type="dxa"/>
                  <w:vMerge w:val="restart"/>
                  <w:vAlign w:val="center"/>
                </w:tcPr>
                <w:p w14:paraId="70BD381A">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生产车间</w:t>
                  </w:r>
                </w:p>
              </w:tc>
              <w:tc>
                <w:tcPr>
                  <w:tcW w:w="686" w:type="dxa"/>
                  <w:vAlign w:val="center"/>
                </w:tcPr>
                <w:p w14:paraId="261E2393">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制孔</w:t>
                  </w:r>
                </w:p>
              </w:tc>
              <w:tc>
                <w:tcPr>
                  <w:tcW w:w="813" w:type="dxa"/>
                  <w:vAlign w:val="center"/>
                </w:tcPr>
                <w:p w14:paraId="6D47880E">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颗粒物</w:t>
                  </w:r>
                </w:p>
              </w:tc>
              <w:tc>
                <w:tcPr>
                  <w:tcW w:w="686" w:type="dxa"/>
                  <w:vMerge w:val="restart"/>
                  <w:vAlign w:val="center"/>
                </w:tcPr>
                <w:p w14:paraId="6C3B7021">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加强收集</w:t>
                  </w:r>
                </w:p>
              </w:tc>
              <w:tc>
                <w:tcPr>
                  <w:tcW w:w="2189" w:type="dxa"/>
                  <w:vMerge w:val="restart"/>
                  <w:vAlign w:val="center"/>
                </w:tcPr>
                <w:p w14:paraId="3F49835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广东省《大气污染物排放限值》（DB44/27-2001）第二时段无组织排放监控浓度限值</w:t>
                  </w:r>
                </w:p>
              </w:tc>
              <w:tc>
                <w:tcPr>
                  <w:tcW w:w="1024" w:type="dxa"/>
                  <w:vMerge w:val="restart"/>
                  <w:vAlign w:val="center"/>
                </w:tcPr>
                <w:p w14:paraId="023FB8D5">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1.0</w:t>
                  </w:r>
                </w:p>
              </w:tc>
              <w:tc>
                <w:tcPr>
                  <w:tcW w:w="960" w:type="dxa"/>
                  <w:vAlign w:val="center"/>
                </w:tcPr>
                <w:p w14:paraId="61A28743">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0.438</w:t>
                  </w:r>
                </w:p>
              </w:tc>
            </w:tr>
            <w:tr w14:paraId="7E74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9" w:type="dxa"/>
                  <w:vAlign w:val="center"/>
                </w:tcPr>
                <w:p w14:paraId="3AC53AE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p>
              </w:tc>
              <w:tc>
                <w:tcPr>
                  <w:tcW w:w="686" w:type="dxa"/>
                  <w:vMerge w:val="continue"/>
                  <w:vAlign w:val="center"/>
                </w:tcPr>
                <w:p w14:paraId="3B70BA95">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b/>
                      <w:color w:val="000000" w:themeColor="text1"/>
                      <w14:textFill>
                        <w14:solidFill>
                          <w14:schemeClr w14:val="tx1"/>
                        </w14:solidFill>
                      </w14:textFill>
                    </w:rPr>
                  </w:pPr>
                </w:p>
              </w:tc>
              <w:tc>
                <w:tcPr>
                  <w:tcW w:w="686" w:type="dxa"/>
                  <w:vAlign w:val="center"/>
                </w:tcPr>
                <w:p w14:paraId="6EB2AEB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抛丸</w:t>
                  </w:r>
                </w:p>
              </w:tc>
              <w:tc>
                <w:tcPr>
                  <w:tcW w:w="813" w:type="dxa"/>
                  <w:vAlign w:val="center"/>
                </w:tcPr>
                <w:p w14:paraId="57E63C8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颗粒物</w:t>
                  </w:r>
                </w:p>
              </w:tc>
              <w:tc>
                <w:tcPr>
                  <w:tcW w:w="686" w:type="dxa"/>
                  <w:vMerge w:val="continue"/>
                  <w:vAlign w:val="center"/>
                </w:tcPr>
                <w:p w14:paraId="36AC3BBE">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2189" w:type="dxa"/>
                  <w:vMerge w:val="continue"/>
                  <w:vAlign w:val="center"/>
                </w:tcPr>
                <w:p w14:paraId="087CACD0">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1024" w:type="dxa"/>
                  <w:vMerge w:val="continue"/>
                  <w:vAlign w:val="center"/>
                </w:tcPr>
                <w:p w14:paraId="31FE514C">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p>
              </w:tc>
              <w:tc>
                <w:tcPr>
                  <w:tcW w:w="960" w:type="dxa"/>
                  <w:vAlign w:val="center"/>
                </w:tcPr>
                <w:p w14:paraId="0481B11F">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0.</w:t>
                  </w:r>
                  <w:r>
                    <w:rPr>
                      <w:rFonts w:hint="eastAsia" w:ascii="Times New Roman" w:hAnsi="Times New Roman" w:eastAsia="宋体" w:cs="Times New Roman"/>
                      <w:color w:val="000000" w:themeColor="text1"/>
                      <w:lang w:val="en-US" w:eastAsia="zh-CN"/>
                      <w14:textFill>
                        <w14:solidFill>
                          <w14:schemeClr w14:val="tx1"/>
                        </w14:solidFill>
                      </w14:textFill>
                    </w:rPr>
                    <w:t>219</w:t>
                  </w:r>
                </w:p>
              </w:tc>
            </w:tr>
            <w:tr w14:paraId="59251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29" w:type="dxa"/>
                  <w:tcBorders>
                    <w:bottom w:val="single" w:color="auto" w:sz="4" w:space="0"/>
                  </w:tcBorders>
                  <w:vAlign w:val="center"/>
                </w:tcPr>
                <w:p w14:paraId="5BC2186F">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w:t>
                  </w:r>
                </w:p>
              </w:tc>
              <w:tc>
                <w:tcPr>
                  <w:tcW w:w="686" w:type="dxa"/>
                  <w:vMerge w:val="continue"/>
                  <w:vAlign w:val="center"/>
                </w:tcPr>
                <w:p w14:paraId="40304A0B">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b/>
                      <w:color w:val="000000" w:themeColor="text1"/>
                      <w14:textFill>
                        <w14:solidFill>
                          <w14:schemeClr w14:val="tx1"/>
                        </w14:solidFill>
                      </w14:textFill>
                    </w:rPr>
                  </w:pPr>
                </w:p>
              </w:tc>
              <w:tc>
                <w:tcPr>
                  <w:tcW w:w="686" w:type="dxa"/>
                  <w:tcBorders>
                    <w:bottom w:val="single" w:color="auto" w:sz="4" w:space="0"/>
                  </w:tcBorders>
                  <w:vAlign w:val="center"/>
                </w:tcPr>
                <w:p w14:paraId="17955B2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浇注</w:t>
                  </w:r>
                </w:p>
              </w:tc>
              <w:tc>
                <w:tcPr>
                  <w:tcW w:w="813" w:type="dxa"/>
                  <w:tcBorders>
                    <w:bottom w:val="single" w:color="auto" w:sz="4" w:space="0"/>
                  </w:tcBorders>
                  <w:vAlign w:val="center"/>
                </w:tcPr>
                <w:p w14:paraId="57D74BEC">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非甲烷总烃</w:t>
                  </w:r>
                </w:p>
              </w:tc>
              <w:tc>
                <w:tcPr>
                  <w:tcW w:w="686" w:type="dxa"/>
                  <w:vMerge w:val="continue"/>
                  <w:vAlign w:val="center"/>
                </w:tcPr>
                <w:p w14:paraId="79888BA0">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2189" w:type="dxa"/>
                  <w:vMerge w:val="restart"/>
                  <w:vAlign w:val="center"/>
                </w:tcPr>
                <w:p w14:paraId="066172BD">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广东省《大气污染物排放限值》（DB 44/27－2001）第二时段无组织排放监控浓度限值</w:t>
                  </w:r>
                </w:p>
              </w:tc>
              <w:tc>
                <w:tcPr>
                  <w:tcW w:w="1024" w:type="dxa"/>
                  <w:vMerge w:val="restart"/>
                  <w:vAlign w:val="center"/>
                </w:tcPr>
                <w:p w14:paraId="637B68A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4</w:t>
                  </w:r>
                  <w:r>
                    <w:rPr>
                      <w:rFonts w:ascii="Times New Roman" w:hAnsi="Times New Roman" w:eastAsia="宋体" w:cs="Times New Roman"/>
                      <w:color w:val="000000" w:themeColor="text1"/>
                      <w14:textFill>
                        <w14:solidFill>
                          <w14:schemeClr w14:val="tx1"/>
                        </w14:solidFill>
                      </w14:textFill>
                    </w:rPr>
                    <w:t>.0</w:t>
                  </w:r>
                </w:p>
              </w:tc>
              <w:tc>
                <w:tcPr>
                  <w:tcW w:w="960" w:type="dxa"/>
                  <w:tcBorders>
                    <w:bottom w:val="single" w:color="auto" w:sz="4" w:space="0"/>
                  </w:tcBorders>
                  <w:vAlign w:val="center"/>
                </w:tcPr>
                <w:p w14:paraId="106A4D53">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0.120</w:t>
                  </w:r>
                </w:p>
              </w:tc>
            </w:tr>
            <w:tr w14:paraId="59C0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29" w:type="dxa"/>
                  <w:vAlign w:val="center"/>
                </w:tcPr>
                <w:p w14:paraId="59B71B5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w:t>
                  </w:r>
                </w:p>
              </w:tc>
              <w:tc>
                <w:tcPr>
                  <w:tcW w:w="686" w:type="dxa"/>
                  <w:vMerge w:val="continue"/>
                  <w:vAlign w:val="center"/>
                </w:tcPr>
                <w:p w14:paraId="60A0ABED">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b/>
                      <w:color w:val="000000" w:themeColor="text1"/>
                      <w14:textFill>
                        <w14:solidFill>
                          <w14:schemeClr w14:val="tx1"/>
                        </w14:solidFill>
                      </w14:textFill>
                    </w:rPr>
                  </w:pPr>
                </w:p>
              </w:tc>
              <w:tc>
                <w:tcPr>
                  <w:tcW w:w="686" w:type="dxa"/>
                  <w:vAlign w:val="center"/>
                </w:tcPr>
                <w:p w14:paraId="0EF07C5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刷胶</w:t>
                  </w:r>
                </w:p>
              </w:tc>
              <w:tc>
                <w:tcPr>
                  <w:tcW w:w="813" w:type="dxa"/>
                  <w:vAlign w:val="center"/>
                </w:tcPr>
                <w:p w14:paraId="3ADED5E5">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非甲烷总烃</w:t>
                  </w:r>
                </w:p>
              </w:tc>
              <w:tc>
                <w:tcPr>
                  <w:tcW w:w="686" w:type="dxa"/>
                  <w:vMerge w:val="continue"/>
                  <w:vAlign w:val="center"/>
                </w:tcPr>
                <w:p w14:paraId="11C08630">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2189" w:type="dxa"/>
                  <w:vMerge w:val="continue"/>
                  <w:vAlign w:val="center"/>
                </w:tcPr>
                <w:p w14:paraId="21E8AAAB">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1024" w:type="dxa"/>
                  <w:vMerge w:val="continue"/>
                  <w:vAlign w:val="center"/>
                </w:tcPr>
                <w:p w14:paraId="65ADC7F0">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Times New Roman" w:cs="Times New Roman"/>
                      <w:color w:val="000000" w:themeColor="text1"/>
                      <w:spacing w:val="4"/>
                      <w14:textFill>
                        <w14:solidFill>
                          <w14:schemeClr w14:val="tx1"/>
                        </w14:solidFill>
                      </w14:textFill>
                    </w:rPr>
                  </w:pPr>
                </w:p>
              </w:tc>
              <w:tc>
                <w:tcPr>
                  <w:tcW w:w="960" w:type="dxa"/>
                  <w:vAlign w:val="center"/>
                </w:tcPr>
                <w:p w14:paraId="56DC3A99">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0.467</w:t>
                  </w:r>
                </w:p>
              </w:tc>
            </w:tr>
            <w:tr w14:paraId="0A834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29" w:type="dxa"/>
                  <w:vAlign w:val="center"/>
                </w:tcPr>
                <w:p w14:paraId="55C97CC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w:t>
                  </w:r>
                </w:p>
              </w:tc>
              <w:tc>
                <w:tcPr>
                  <w:tcW w:w="686" w:type="dxa"/>
                  <w:vMerge w:val="continue"/>
                  <w:vAlign w:val="center"/>
                </w:tcPr>
                <w:p w14:paraId="2DC41278">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b/>
                      <w:color w:val="000000" w:themeColor="text1"/>
                      <w14:textFill>
                        <w14:solidFill>
                          <w14:schemeClr w14:val="tx1"/>
                        </w14:solidFill>
                      </w14:textFill>
                    </w:rPr>
                  </w:pPr>
                </w:p>
              </w:tc>
              <w:tc>
                <w:tcPr>
                  <w:tcW w:w="686" w:type="dxa"/>
                  <w:vMerge w:val="restart"/>
                  <w:vAlign w:val="center"/>
                </w:tcPr>
                <w:p w14:paraId="56053FF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喷漆</w:t>
                  </w:r>
                </w:p>
              </w:tc>
              <w:tc>
                <w:tcPr>
                  <w:tcW w:w="813" w:type="dxa"/>
                  <w:vAlign w:val="center"/>
                </w:tcPr>
                <w:p w14:paraId="2273AD5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非甲烷总烃（含苯系物）</w:t>
                  </w:r>
                </w:p>
              </w:tc>
              <w:tc>
                <w:tcPr>
                  <w:tcW w:w="686" w:type="dxa"/>
                  <w:vMerge w:val="continue"/>
                  <w:vAlign w:val="center"/>
                </w:tcPr>
                <w:p w14:paraId="4ACCB3F3">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2189" w:type="dxa"/>
                  <w:vMerge w:val="continue"/>
                  <w:vAlign w:val="center"/>
                </w:tcPr>
                <w:p w14:paraId="2A203B9C">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1024" w:type="dxa"/>
                  <w:vMerge w:val="continue"/>
                  <w:vAlign w:val="center"/>
                </w:tcPr>
                <w:p w14:paraId="319B8A58">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Times New Roman" w:cs="Times New Roman"/>
                      <w:color w:val="000000" w:themeColor="text1"/>
                      <w:spacing w:val="4"/>
                      <w14:textFill>
                        <w14:solidFill>
                          <w14:schemeClr w14:val="tx1"/>
                        </w14:solidFill>
                      </w14:textFill>
                    </w:rPr>
                  </w:pPr>
                </w:p>
              </w:tc>
              <w:tc>
                <w:tcPr>
                  <w:tcW w:w="960" w:type="dxa"/>
                  <w:vAlign w:val="center"/>
                </w:tcPr>
                <w:p w14:paraId="37170E10">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0</w:t>
                  </w: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124</w:t>
                  </w:r>
                </w:p>
              </w:tc>
            </w:tr>
            <w:tr w14:paraId="2EED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29" w:type="dxa"/>
                  <w:vAlign w:val="center"/>
                </w:tcPr>
                <w:p w14:paraId="699C8ECE">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6</w:t>
                  </w:r>
                </w:p>
              </w:tc>
              <w:tc>
                <w:tcPr>
                  <w:tcW w:w="686" w:type="dxa"/>
                  <w:vMerge w:val="continue"/>
                  <w:vAlign w:val="center"/>
                </w:tcPr>
                <w:p w14:paraId="361F6E25">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b/>
                      <w:color w:val="000000" w:themeColor="text1"/>
                      <w14:textFill>
                        <w14:solidFill>
                          <w14:schemeClr w14:val="tx1"/>
                        </w14:solidFill>
                      </w14:textFill>
                    </w:rPr>
                  </w:pPr>
                </w:p>
              </w:tc>
              <w:tc>
                <w:tcPr>
                  <w:tcW w:w="686" w:type="dxa"/>
                  <w:vMerge w:val="continue"/>
                  <w:vAlign w:val="center"/>
                </w:tcPr>
                <w:p w14:paraId="6ED15E33">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813" w:type="dxa"/>
                  <w:vAlign w:val="center"/>
                </w:tcPr>
                <w:p w14:paraId="7117C5C8">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苯系物</w:t>
                  </w:r>
                </w:p>
              </w:tc>
              <w:tc>
                <w:tcPr>
                  <w:tcW w:w="686" w:type="dxa"/>
                  <w:vMerge w:val="continue"/>
                  <w:vAlign w:val="center"/>
                </w:tcPr>
                <w:p w14:paraId="380B8237">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2189" w:type="dxa"/>
                  <w:vMerge w:val="continue"/>
                  <w:vAlign w:val="center"/>
                </w:tcPr>
                <w:p w14:paraId="2C8F5BDD">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1024" w:type="dxa"/>
                  <w:vMerge w:val="continue"/>
                  <w:vAlign w:val="center"/>
                </w:tcPr>
                <w:p w14:paraId="12C3E5A2">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Times New Roman" w:cs="Times New Roman"/>
                      <w:color w:val="000000" w:themeColor="text1"/>
                      <w:spacing w:val="4"/>
                      <w14:textFill>
                        <w14:solidFill>
                          <w14:schemeClr w14:val="tx1"/>
                        </w14:solidFill>
                      </w14:textFill>
                    </w:rPr>
                  </w:pPr>
                </w:p>
              </w:tc>
              <w:tc>
                <w:tcPr>
                  <w:tcW w:w="960" w:type="dxa"/>
                  <w:vAlign w:val="center"/>
                </w:tcPr>
                <w:p w14:paraId="004D421C">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0</w:t>
                  </w:r>
                  <w:r>
                    <w:rPr>
                      <w:rFonts w:ascii="Times New Roman" w:hAnsi="Times New Roman" w:eastAsia="宋体" w:cs="Times New Roman"/>
                      <w:color w:val="000000" w:themeColor="text1"/>
                      <w14:textFill>
                        <w14:solidFill>
                          <w14:schemeClr w14:val="tx1"/>
                        </w14:solidFill>
                      </w14:textFill>
                    </w:rPr>
                    <w:t>.0</w:t>
                  </w:r>
                  <w:r>
                    <w:rPr>
                      <w:rFonts w:hint="eastAsia" w:ascii="Times New Roman" w:hAnsi="Times New Roman" w:eastAsia="宋体" w:cs="Times New Roman"/>
                      <w:color w:val="000000" w:themeColor="text1"/>
                      <w:lang w:val="en-US" w:eastAsia="zh-CN"/>
                      <w14:textFill>
                        <w14:solidFill>
                          <w14:schemeClr w14:val="tx1"/>
                        </w14:solidFill>
                      </w14:textFill>
                    </w:rPr>
                    <w:t>79</w:t>
                  </w:r>
                </w:p>
              </w:tc>
            </w:tr>
            <w:tr w14:paraId="1DED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29" w:type="dxa"/>
                  <w:vAlign w:val="center"/>
                </w:tcPr>
                <w:p w14:paraId="714499A3">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7</w:t>
                  </w:r>
                </w:p>
              </w:tc>
              <w:tc>
                <w:tcPr>
                  <w:tcW w:w="686" w:type="dxa"/>
                  <w:vMerge w:val="continue"/>
                  <w:vAlign w:val="center"/>
                </w:tcPr>
                <w:p w14:paraId="6FC70603">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b/>
                      <w:color w:val="000000" w:themeColor="text1"/>
                      <w14:textFill>
                        <w14:solidFill>
                          <w14:schemeClr w14:val="tx1"/>
                        </w14:solidFill>
                      </w14:textFill>
                    </w:rPr>
                  </w:pPr>
                </w:p>
              </w:tc>
              <w:tc>
                <w:tcPr>
                  <w:tcW w:w="686" w:type="dxa"/>
                  <w:vMerge w:val="continue"/>
                  <w:vAlign w:val="center"/>
                </w:tcPr>
                <w:p w14:paraId="413E8E69">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p>
              </w:tc>
              <w:tc>
                <w:tcPr>
                  <w:tcW w:w="813" w:type="dxa"/>
                  <w:vAlign w:val="center"/>
                </w:tcPr>
                <w:p w14:paraId="17EA2C9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颗粒物</w:t>
                  </w:r>
                </w:p>
              </w:tc>
              <w:tc>
                <w:tcPr>
                  <w:tcW w:w="686" w:type="dxa"/>
                  <w:vMerge w:val="continue"/>
                  <w:vAlign w:val="center"/>
                </w:tcPr>
                <w:p w14:paraId="0DBD3330">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p>
              </w:tc>
              <w:tc>
                <w:tcPr>
                  <w:tcW w:w="2189" w:type="dxa"/>
                  <w:vAlign w:val="center"/>
                </w:tcPr>
                <w:p w14:paraId="2E6170DC">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广东省《大气污染物排放限值》（DB44/27-2001）第二时段无组织排放监控浓度限值</w:t>
                  </w:r>
                </w:p>
              </w:tc>
              <w:tc>
                <w:tcPr>
                  <w:tcW w:w="1024" w:type="dxa"/>
                  <w:vAlign w:val="center"/>
                </w:tcPr>
                <w:p w14:paraId="6B33792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spacing w:val="4"/>
                      <w14:textFill>
                        <w14:solidFill>
                          <w14:schemeClr w14:val="tx1"/>
                        </w14:solidFill>
                      </w14:textFill>
                    </w:rPr>
                  </w:pPr>
                  <w:r>
                    <w:rPr>
                      <w:rFonts w:hint="eastAsia" w:ascii="Times New Roman" w:hAnsi="Times New Roman" w:cs="Times New Roman"/>
                      <w:color w:val="000000" w:themeColor="text1"/>
                      <w:spacing w:val="4"/>
                      <w14:textFill>
                        <w14:solidFill>
                          <w14:schemeClr w14:val="tx1"/>
                        </w14:solidFill>
                      </w14:textFill>
                    </w:rPr>
                    <w:t>1</w:t>
                  </w:r>
                  <w:r>
                    <w:rPr>
                      <w:rFonts w:ascii="Times New Roman" w:hAnsi="Times New Roman" w:cs="Times New Roman"/>
                      <w:color w:val="000000" w:themeColor="text1"/>
                      <w:spacing w:val="4"/>
                      <w14:textFill>
                        <w14:solidFill>
                          <w14:schemeClr w14:val="tx1"/>
                        </w14:solidFill>
                      </w14:textFill>
                    </w:rPr>
                    <w:t>.0</w:t>
                  </w:r>
                </w:p>
              </w:tc>
              <w:tc>
                <w:tcPr>
                  <w:tcW w:w="960" w:type="dxa"/>
                  <w:vAlign w:val="center"/>
                </w:tcPr>
                <w:p w14:paraId="30BB5663">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0</w:t>
                  </w: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179</w:t>
                  </w:r>
                </w:p>
              </w:tc>
            </w:tr>
            <w:tr w14:paraId="3259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673" w:type="dxa"/>
                  <w:gridSpan w:val="8"/>
                  <w:vAlign w:val="center"/>
                </w:tcPr>
                <w:p w14:paraId="4A431588">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无组织排放总计</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t/a）</w:t>
                  </w:r>
                </w:p>
              </w:tc>
            </w:tr>
            <w:tr w14:paraId="457D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814" w:type="dxa"/>
                  <w:gridSpan w:val="4"/>
                  <w:vMerge w:val="restart"/>
                  <w:vAlign w:val="center"/>
                </w:tcPr>
                <w:p w14:paraId="215004FA">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无组织排放总计</w:t>
                  </w:r>
                </w:p>
              </w:tc>
              <w:tc>
                <w:tcPr>
                  <w:tcW w:w="686" w:type="dxa"/>
                  <w:vAlign w:val="center"/>
                </w:tcPr>
                <w:p w14:paraId="15DBA4BE">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颗粒物</w:t>
                  </w:r>
                </w:p>
              </w:tc>
              <w:tc>
                <w:tcPr>
                  <w:tcW w:w="4173" w:type="dxa"/>
                  <w:gridSpan w:val="3"/>
                  <w:vAlign w:val="center"/>
                </w:tcPr>
                <w:p w14:paraId="264BD029">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0.731</w:t>
                  </w:r>
                </w:p>
              </w:tc>
            </w:tr>
            <w:tr w14:paraId="655A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814" w:type="dxa"/>
                  <w:gridSpan w:val="4"/>
                  <w:vMerge w:val="continue"/>
                  <w:vAlign w:val="center"/>
                </w:tcPr>
                <w:p w14:paraId="7B69A485">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686" w:type="dxa"/>
                  <w:vAlign w:val="center"/>
                </w:tcPr>
                <w:p w14:paraId="1ED9787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非甲烷总烃</w:t>
                  </w:r>
                </w:p>
              </w:tc>
              <w:tc>
                <w:tcPr>
                  <w:tcW w:w="4173" w:type="dxa"/>
                  <w:gridSpan w:val="3"/>
                  <w:vAlign w:val="center"/>
                </w:tcPr>
                <w:p w14:paraId="17EFCB65">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spacing w:val="4"/>
                      <w:lang w:val="en-US" w:eastAsia="zh-CN"/>
                      <w14:textFill>
                        <w14:solidFill>
                          <w14:schemeClr w14:val="tx1"/>
                        </w14:solidFill>
                      </w14:textFill>
                    </w:rPr>
                  </w:pPr>
                  <w:r>
                    <w:rPr>
                      <w:rFonts w:hint="eastAsia" w:ascii="Times New Roman" w:hAnsi="Times New Roman" w:eastAsia="宋体" w:cs="Times New Roman"/>
                      <w:color w:val="000000" w:themeColor="text1"/>
                      <w:spacing w:val="4"/>
                      <w:lang w:val="en-US" w:eastAsia="zh-CN"/>
                      <w14:textFill>
                        <w14:solidFill>
                          <w14:schemeClr w14:val="tx1"/>
                        </w14:solidFill>
                      </w14:textFill>
                    </w:rPr>
                    <w:t>0.711</w:t>
                  </w:r>
                </w:p>
              </w:tc>
            </w:tr>
            <w:tr w14:paraId="0FBF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814" w:type="dxa"/>
                  <w:gridSpan w:val="4"/>
                  <w:vMerge w:val="continue"/>
                  <w:vAlign w:val="center"/>
                </w:tcPr>
                <w:p w14:paraId="62581EEA">
                  <w:pPr>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14:textFill>
                        <w14:solidFill>
                          <w14:schemeClr w14:val="tx1"/>
                        </w14:solidFill>
                      </w14:textFill>
                    </w:rPr>
                  </w:pPr>
                </w:p>
              </w:tc>
              <w:tc>
                <w:tcPr>
                  <w:tcW w:w="686" w:type="dxa"/>
                  <w:vAlign w:val="center"/>
                </w:tcPr>
                <w:p w14:paraId="69A6F509">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苯系物</w:t>
                  </w:r>
                </w:p>
              </w:tc>
              <w:tc>
                <w:tcPr>
                  <w:tcW w:w="4173" w:type="dxa"/>
                  <w:gridSpan w:val="3"/>
                  <w:vAlign w:val="center"/>
                </w:tcPr>
                <w:p w14:paraId="4513480A">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0.079</w:t>
                  </w:r>
                </w:p>
              </w:tc>
            </w:tr>
          </w:tbl>
          <w:p w14:paraId="5C9559D7">
            <w:pPr>
              <w:pStyle w:val="301"/>
              <w:spacing w:line="240" w:lineRule="auto"/>
              <w:ind w:firstLine="0" w:firstLineChars="0"/>
              <w:jc w:val="center"/>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表</w:t>
            </w:r>
            <w:r>
              <w:rPr>
                <w:rFonts w:hint="eastAsia"/>
                <w:b/>
                <w:color w:val="000000" w:themeColor="text1"/>
                <w:sz w:val="21"/>
                <w:szCs w:val="21"/>
                <w14:textFill>
                  <w14:solidFill>
                    <w14:schemeClr w14:val="tx1"/>
                  </w14:solidFill>
                </w14:textFill>
              </w:rPr>
              <w:t>4</w:t>
            </w:r>
            <w:r>
              <w:rPr>
                <w:b/>
                <w:color w:val="000000" w:themeColor="text1"/>
                <w:sz w:val="21"/>
                <w:szCs w:val="21"/>
                <w14:textFill>
                  <w14:solidFill>
                    <w14:schemeClr w14:val="tx1"/>
                  </w14:solidFill>
                </w14:textFill>
              </w:rPr>
              <w:t>-</w:t>
            </w:r>
            <w:r>
              <w:rPr>
                <w:rFonts w:hint="eastAsia"/>
                <w:b/>
                <w:color w:val="000000" w:themeColor="text1"/>
                <w:sz w:val="21"/>
                <w:szCs w:val="21"/>
                <w:lang w:val="en-US" w:eastAsia="zh-CN"/>
                <w14:textFill>
                  <w14:solidFill>
                    <w14:schemeClr w14:val="tx1"/>
                  </w14:solidFill>
                </w14:textFill>
              </w:rPr>
              <w:t>10</w:t>
            </w:r>
            <w:r>
              <w:rPr>
                <w:rFonts w:hint="eastAsia"/>
                <w:b/>
                <w:color w:val="000000" w:themeColor="text1"/>
                <w:sz w:val="21"/>
                <w:szCs w:val="21"/>
                <w14:textFill>
                  <w14:solidFill>
                    <w14:schemeClr w14:val="tx1"/>
                  </w14:solidFill>
                </w14:textFill>
              </w:rPr>
              <w:t xml:space="preserve"> 大气污染物年排放量核算表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7"/>
              <w:gridCol w:w="2558"/>
              <w:gridCol w:w="2558"/>
            </w:tblGrid>
            <w:tr w14:paraId="07E7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57" w:type="dxa"/>
                  <w:vAlign w:val="center"/>
                </w:tcPr>
                <w:p w14:paraId="6DF189B9">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序号</w:t>
                  </w:r>
                </w:p>
              </w:tc>
              <w:tc>
                <w:tcPr>
                  <w:tcW w:w="2558" w:type="dxa"/>
                  <w:vAlign w:val="center"/>
                </w:tcPr>
                <w:p w14:paraId="663D618F">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污染物</w:t>
                  </w:r>
                </w:p>
              </w:tc>
              <w:tc>
                <w:tcPr>
                  <w:tcW w:w="2558" w:type="dxa"/>
                  <w:vAlign w:val="center"/>
                </w:tcPr>
                <w:p w14:paraId="5BD4A5C1">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年排放量（t/a）</w:t>
                  </w:r>
                </w:p>
              </w:tc>
            </w:tr>
            <w:tr w14:paraId="6DAE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7" w:type="dxa"/>
                  <w:vAlign w:val="center"/>
                </w:tcPr>
                <w:p w14:paraId="6375F15E">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w:t>
                  </w:r>
                </w:p>
              </w:tc>
              <w:tc>
                <w:tcPr>
                  <w:tcW w:w="2558" w:type="dxa"/>
                  <w:vAlign w:val="center"/>
                </w:tcPr>
                <w:p w14:paraId="3EB97CC3">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颗粒物</w:t>
                  </w:r>
                </w:p>
              </w:tc>
              <w:tc>
                <w:tcPr>
                  <w:tcW w:w="2558" w:type="dxa"/>
                  <w:vAlign w:val="center"/>
                </w:tcPr>
                <w:p w14:paraId="6CF427F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40.377</w:t>
                  </w:r>
                </w:p>
              </w:tc>
            </w:tr>
            <w:tr w14:paraId="108F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7" w:type="dxa"/>
                  <w:vAlign w:val="center"/>
                </w:tcPr>
                <w:p w14:paraId="50146415">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p>
              </w:tc>
              <w:tc>
                <w:tcPr>
                  <w:tcW w:w="2558" w:type="dxa"/>
                  <w:vAlign w:val="center"/>
                </w:tcPr>
                <w:p w14:paraId="39505DF5">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非甲烷总烃</w:t>
                  </w:r>
                </w:p>
              </w:tc>
              <w:tc>
                <w:tcPr>
                  <w:tcW w:w="2558" w:type="dxa"/>
                  <w:vAlign w:val="center"/>
                </w:tcPr>
                <w:p w14:paraId="5B31622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1.226</w:t>
                  </w:r>
                </w:p>
              </w:tc>
            </w:tr>
            <w:tr w14:paraId="5530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7" w:type="dxa"/>
                  <w:vAlign w:val="center"/>
                </w:tcPr>
                <w:p w14:paraId="6F987954">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w:t>
                  </w:r>
                </w:p>
              </w:tc>
              <w:tc>
                <w:tcPr>
                  <w:tcW w:w="2558" w:type="dxa"/>
                  <w:vAlign w:val="center"/>
                </w:tcPr>
                <w:p w14:paraId="47738353">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苯系物</w:t>
                  </w:r>
                </w:p>
              </w:tc>
              <w:tc>
                <w:tcPr>
                  <w:tcW w:w="2558" w:type="dxa"/>
                  <w:vAlign w:val="center"/>
                </w:tcPr>
                <w:p w14:paraId="3581F21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0.108</w:t>
                  </w:r>
                </w:p>
              </w:tc>
            </w:tr>
          </w:tbl>
          <w:p w14:paraId="68A48583">
            <w:pPr>
              <w:pStyle w:val="301"/>
              <w:ind w:firstLine="0" w:firstLineChars="0"/>
              <w:rPr>
                <w:color w:val="000000" w:themeColor="text1"/>
                <w14:textFill>
                  <w14:solidFill>
                    <w14:schemeClr w14:val="tx1"/>
                  </w14:solidFill>
                </w14:textFill>
              </w:rPr>
            </w:pPr>
          </w:p>
          <w:p w14:paraId="51EC4B9D">
            <w:pPr>
              <w:pStyle w:val="301"/>
              <w:ind w:firstLine="0" w:firstLineChars="0"/>
              <w:rPr>
                <w:b/>
                <w:color w:val="000000" w:themeColor="text1"/>
                <w14:textFill>
                  <w14:solidFill>
                    <w14:schemeClr w14:val="tx1"/>
                  </w14:solidFill>
                </w14:textFill>
              </w:rPr>
            </w:pPr>
            <w:r>
              <w:rPr>
                <w:rFonts w:hint="eastAsia"/>
                <w:b/>
                <w:color w:val="000000" w:themeColor="text1"/>
                <w14:textFill>
                  <w14:solidFill>
                    <w14:schemeClr w14:val="tx1"/>
                  </w14:solidFill>
                </w14:textFill>
              </w:rPr>
              <w:t>2、各环保措施的技术经济可行性分析</w:t>
            </w:r>
          </w:p>
          <w:p w14:paraId="37D0A204">
            <w:pPr>
              <w:pStyle w:val="301"/>
              <w:spacing w:line="240" w:lineRule="auto"/>
              <w:ind w:firstLine="0" w:firstLineChars="0"/>
              <w:jc w:val="center"/>
              <w:rPr>
                <w:b/>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表4</w:t>
            </w:r>
            <w:r>
              <w:rPr>
                <w:b/>
                <w:color w:val="000000" w:themeColor="text1"/>
                <w:sz w:val="21"/>
                <w:szCs w:val="21"/>
                <w14:textFill>
                  <w14:solidFill>
                    <w14:schemeClr w14:val="tx1"/>
                  </w14:solidFill>
                </w14:textFill>
              </w:rPr>
              <w:t>-</w:t>
            </w:r>
            <w:r>
              <w:rPr>
                <w:rFonts w:hint="eastAsia"/>
                <w:b/>
                <w:color w:val="000000" w:themeColor="text1"/>
                <w:sz w:val="21"/>
                <w:szCs w:val="21"/>
                <w:lang w:val="en-US" w:eastAsia="zh-CN"/>
                <w14:textFill>
                  <w14:solidFill>
                    <w14:schemeClr w14:val="tx1"/>
                  </w14:solidFill>
                </w14:textFill>
              </w:rPr>
              <w:t>11</w:t>
            </w:r>
            <w:r>
              <w:rPr>
                <w:rFonts w:hint="eastAsia"/>
                <w:b/>
                <w:color w:val="000000" w:themeColor="text1"/>
                <w:sz w:val="21"/>
                <w:szCs w:val="21"/>
                <w14:textFill>
                  <w14:solidFill>
                    <w14:schemeClr w14:val="tx1"/>
                  </w14:solidFill>
                </w14:textFill>
              </w:rPr>
              <w:t xml:space="preserve"> 项目全厂废气可行性处理技术分析</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67"/>
              <w:gridCol w:w="2693"/>
              <w:gridCol w:w="1701"/>
              <w:gridCol w:w="1134"/>
              <w:gridCol w:w="726"/>
            </w:tblGrid>
            <w:tr w14:paraId="75BE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79757B72">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污染物</w:t>
                  </w:r>
                </w:p>
              </w:tc>
              <w:tc>
                <w:tcPr>
                  <w:tcW w:w="567" w:type="dxa"/>
                  <w:vAlign w:val="center"/>
                </w:tcPr>
                <w:p w14:paraId="2B0DBCE6">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产生工序</w:t>
                  </w:r>
                </w:p>
              </w:tc>
              <w:tc>
                <w:tcPr>
                  <w:tcW w:w="2694" w:type="dxa"/>
                  <w:vAlign w:val="center"/>
                </w:tcPr>
                <w:p w14:paraId="4914A064">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治理依据</w:t>
                  </w:r>
                </w:p>
              </w:tc>
              <w:tc>
                <w:tcPr>
                  <w:tcW w:w="1701" w:type="dxa"/>
                  <w:vAlign w:val="center"/>
                </w:tcPr>
                <w:p w14:paraId="3759F831">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可行技术</w:t>
                  </w:r>
                </w:p>
              </w:tc>
              <w:tc>
                <w:tcPr>
                  <w:tcW w:w="1134" w:type="dxa"/>
                  <w:vAlign w:val="center"/>
                </w:tcPr>
                <w:p w14:paraId="11933DCE">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本项目采用技术</w:t>
                  </w:r>
                </w:p>
              </w:tc>
              <w:tc>
                <w:tcPr>
                  <w:tcW w:w="726" w:type="dxa"/>
                  <w:vAlign w:val="center"/>
                </w:tcPr>
                <w:p w14:paraId="58B6BEAF">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是否为可行技术</w:t>
                  </w:r>
                </w:p>
              </w:tc>
            </w:tr>
            <w:tr w14:paraId="0EF2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51" w:type="dxa"/>
                  <w:vAlign w:val="center"/>
                </w:tcPr>
                <w:p w14:paraId="18A84BC5">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非甲烷总烃</w:t>
                  </w:r>
                </w:p>
              </w:tc>
              <w:tc>
                <w:tcPr>
                  <w:tcW w:w="567" w:type="dxa"/>
                  <w:vMerge w:val="restart"/>
                  <w:vAlign w:val="center"/>
                </w:tcPr>
                <w:p w14:paraId="0B6F7D71">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浇注、刷胶、喷漆</w:t>
                  </w:r>
                </w:p>
              </w:tc>
              <w:tc>
                <w:tcPr>
                  <w:tcW w:w="2694" w:type="dxa"/>
                  <w:vMerge w:val="restart"/>
                  <w:vAlign w:val="center"/>
                </w:tcPr>
                <w:p w14:paraId="4F2C065B">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《广东省生态环境厅关于印发工业源挥发性有机物和氮氧化物减排量核算方法的通知》（粤环函</w:t>
                  </w:r>
                  <w:r>
                    <w:rPr>
                      <w:rFonts w:hint="default" w:ascii="Times New Roman" w:hAnsi="Times New Roman" w:cs="Times New Roman"/>
                      <w:color w:val="auto"/>
                      <w:sz w:val="21"/>
                      <w:szCs w:val="21"/>
                      <w:highlight w:val="none"/>
                    </w:rPr>
                    <w:t>〔202</w:t>
                  </w: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w:t>
                  </w:r>
                  <w:r>
                    <w:rPr>
                      <w:rFonts w:cs="Times New Roman"/>
                      <w:color w:val="000000" w:themeColor="text1"/>
                      <w:sz w:val="21"/>
                      <w:szCs w:val="21"/>
                      <w14:textFill>
                        <w14:solidFill>
                          <w14:schemeClr w14:val="tx1"/>
                        </w14:solidFill>
                      </w14:textFill>
                    </w:rPr>
                    <w:t>538号）</w:t>
                  </w:r>
                </w:p>
              </w:tc>
              <w:tc>
                <w:tcPr>
                  <w:tcW w:w="1701" w:type="dxa"/>
                  <w:vMerge w:val="restart"/>
                  <w:vAlign w:val="center"/>
                </w:tcPr>
                <w:p w14:paraId="66FCB4A3">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直接燃烧法、吸附/热力燃烧法、蓄热式热力燃烧法、催化燃烧法、光解、其他吸附法</w:t>
                  </w:r>
                </w:p>
              </w:tc>
              <w:tc>
                <w:tcPr>
                  <w:tcW w:w="1134" w:type="dxa"/>
                  <w:vMerge w:val="restart"/>
                  <w:vAlign w:val="center"/>
                </w:tcPr>
                <w:p w14:paraId="07AABA6B">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二级活性炭吸附</w:t>
                  </w:r>
                </w:p>
              </w:tc>
              <w:tc>
                <w:tcPr>
                  <w:tcW w:w="726" w:type="dxa"/>
                  <w:vMerge w:val="restart"/>
                  <w:vAlign w:val="center"/>
                </w:tcPr>
                <w:p w14:paraId="3BBE4F3F">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是</w:t>
                  </w:r>
                </w:p>
              </w:tc>
            </w:tr>
            <w:tr w14:paraId="3B20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1ACBBC71">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苯系物</w:t>
                  </w:r>
                </w:p>
              </w:tc>
              <w:tc>
                <w:tcPr>
                  <w:tcW w:w="567" w:type="dxa"/>
                  <w:vMerge w:val="continue"/>
                  <w:vAlign w:val="center"/>
                </w:tcPr>
                <w:p w14:paraId="15090DC6">
                  <w:pPr>
                    <w:pStyle w:val="301"/>
                    <w:spacing w:line="240" w:lineRule="auto"/>
                    <w:ind w:firstLine="0" w:firstLineChars="0"/>
                    <w:rPr>
                      <w:color w:val="000000" w:themeColor="text1"/>
                      <w:sz w:val="21"/>
                      <w:szCs w:val="21"/>
                      <w14:textFill>
                        <w14:solidFill>
                          <w14:schemeClr w14:val="tx1"/>
                        </w14:solidFill>
                      </w14:textFill>
                    </w:rPr>
                  </w:pPr>
                </w:p>
              </w:tc>
              <w:tc>
                <w:tcPr>
                  <w:tcW w:w="2694" w:type="dxa"/>
                  <w:vMerge w:val="continue"/>
                  <w:vAlign w:val="center"/>
                </w:tcPr>
                <w:p w14:paraId="17622CCA">
                  <w:pPr>
                    <w:pStyle w:val="301"/>
                    <w:spacing w:line="240" w:lineRule="auto"/>
                    <w:ind w:firstLine="0" w:firstLineChars="0"/>
                    <w:rPr>
                      <w:color w:val="000000" w:themeColor="text1"/>
                      <w:sz w:val="21"/>
                      <w:szCs w:val="21"/>
                      <w14:textFill>
                        <w14:solidFill>
                          <w14:schemeClr w14:val="tx1"/>
                        </w14:solidFill>
                      </w14:textFill>
                    </w:rPr>
                  </w:pPr>
                </w:p>
              </w:tc>
              <w:tc>
                <w:tcPr>
                  <w:tcW w:w="1701" w:type="dxa"/>
                  <w:vMerge w:val="continue"/>
                  <w:vAlign w:val="center"/>
                </w:tcPr>
                <w:p w14:paraId="2C5CFC47">
                  <w:pPr>
                    <w:pStyle w:val="301"/>
                    <w:spacing w:line="240" w:lineRule="auto"/>
                    <w:ind w:firstLine="0" w:firstLineChars="0"/>
                    <w:rPr>
                      <w:color w:val="000000" w:themeColor="text1"/>
                      <w:sz w:val="21"/>
                      <w:szCs w:val="21"/>
                      <w14:textFill>
                        <w14:solidFill>
                          <w14:schemeClr w14:val="tx1"/>
                        </w14:solidFill>
                      </w14:textFill>
                    </w:rPr>
                  </w:pPr>
                </w:p>
              </w:tc>
              <w:tc>
                <w:tcPr>
                  <w:tcW w:w="1134" w:type="dxa"/>
                  <w:vMerge w:val="continue"/>
                  <w:vAlign w:val="center"/>
                </w:tcPr>
                <w:p w14:paraId="064700CB">
                  <w:pPr>
                    <w:pStyle w:val="301"/>
                    <w:spacing w:line="240" w:lineRule="auto"/>
                    <w:ind w:firstLine="0" w:firstLineChars="0"/>
                    <w:rPr>
                      <w:color w:val="000000" w:themeColor="text1"/>
                      <w:sz w:val="21"/>
                      <w:szCs w:val="21"/>
                      <w14:textFill>
                        <w14:solidFill>
                          <w14:schemeClr w14:val="tx1"/>
                        </w14:solidFill>
                      </w14:textFill>
                    </w:rPr>
                  </w:pPr>
                </w:p>
              </w:tc>
              <w:tc>
                <w:tcPr>
                  <w:tcW w:w="726" w:type="dxa"/>
                  <w:vMerge w:val="continue"/>
                  <w:vAlign w:val="center"/>
                </w:tcPr>
                <w:p w14:paraId="6CF62CC8">
                  <w:pPr>
                    <w:pStyle w:val="301"/>
                    <w:spacing w:line="240" w:lineRule="auto"/>
                    <w:ind w:firstLine="0" w:firstLineChars="0"/>
                    <w:rPr>
                      <w:color w:val="000000" w:themeColor="text1"/>
                      <w:sz w:val="21"/>
                      <w:szCs w:val="21"/>
                      <w14:textFill>
                        <w14:solidFill>
                          <w14:schemeClr w14:val="tx1"/>
                        </w14:solidFill>
                      </w14:textFill>
                    </w:rPr>
                  </w:pPr>
                </w:p>
              </w:tc>
            </w:tr>
            <w:tr w14:paraId="4633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49DDBF4A">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颗粒物</w:t>
                  </w:r>
                </w:p>
              </w:tc>
              <w:tc>
                <w:tcPr>
                  <w:tcW w:w="567" w:type="dxa"/>
                  <w:vAlign w:val="center"/>
                </w:tcPr>
                <w:p w14:paraId="5B0043D6">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喷漆</w:t>
                  </w:r>
                </w:p>
              </w:tc>
              <w:tc>
                <w:tcPr>
                  <w:tcW w:w="2694" w:type="dxa"/>
                  <w:vAlign w:val="center"/>
                </w:tcPr>
                <w:p w14:paraId="34374D4C">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《排放源统计调查产排污核算方法和系数手册》（公告2021 年第24 号）中211木质家具制造行业</w:t>
                  </w:r>
                </w:p>
              </w:tc>
              <w:tc>
                <w:tcPr>
                  <w:tcW w:w="1701" w:type="dxa"/>
                  <w:vAlign w:val="center"/>
                </w:tcPr>
                <w:p w14:paraId="489D2D4F">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其他（化学纤维过滤）</w:t>
                  </w:r>
                </w:p>
              </w:tc>
              <w:tc>
                <w:tcPr>
                  <w:tcW w:w="1134" w:type="dxa"/>
                  <w:vAlign w:val="center"/>
                </w:tcPr>
                <w:p w14:paraId="50DFFB3A">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干式过滤器</w:t>
                  </w:r>
                </w:p>
              </w:tc>
              <w:tc>
                <w:tcPr>
                  <w:tcW w:w="726" w:type="dxa"/>
                  <w:vAlign w:val="center"/>
                </w:tcPr>
                <w:p w14:paraId="3BB5BD82">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是</w:t>
                  </w:r>
                </w:p>
              </w:tc>
            </w:tr>
            <w:tr w14:paraId="39C1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7618A306">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颗粒物</w:t>
                  </w:r>
                </w:p>
              </w:tc>
              <w:tc>
                <w:tcPr>
                  <w:tcW w:w="567" w:type="dxa"/>
                  <w:vAlign w:val="center"/>
                </w:tcPr>
                <w:p w14:paraId="2A33112C">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制孔、抛丸</w:t>
                  </w:r>
                </w:p>
              </w:tc>
              <w:tc>
                <w:tcPr>
                  <w:tcW w:w="2694" w:type="dxa"/>
                  <w:vAlign w:val="center"/>
                </w:tcPr>
                <w:p w14:paraId="04267F5C">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第二次全国污染源普查核算的《排放源统计调查产排污核算方法和系数手册——33金属行业系数手册》</w:t>
                  </w:r>
                </w:p>
              </w:tc>
              <w:tc>
                <w:tcPr>
                  <w:tcW w:w="1701" w:type="dxa"/>
                  <w:vAlign w:val="center"/>
                </w:tcPr>
                <w:p w14:paraId="53F08CA4">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袋式除尘器</w:t>
                  </w:r>
                </w:p>
              </w:tc>
              <w:tc>
                <w:tcPr>
                  <w:tcW w:w="1134" w:type="dxa"/>
                  <w:vAlign w:val="center"/>
                </w:tcPr>
                <w:p w14:paraId="4E504D76">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袋式除尘器</w:t>
                  </w:r>
                </w:p>
              </w:tc>
              <w:tc>
                <w:tcPr>
                  <w:tcW w:w="726" w:type="dxa"/>
                  <w:vAlign w:val="center"/>
                </w:tcPr>
                <w:p w14:paraId="79B8988E">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是</w:t>
                  </w:r>
                </w:p>
              </w:tc>
            </w:tr>
          </w:tbl>
          <w:p w14:paraId="3596089B">
            <w:pPr>
              <w:pStyle w:val="301"/>
              <w:ind w:firstLine="0" w:firstLineChars="0"/>
              <w:rPr>
                <w:b/>
                <w:color w:val="000000" w:themeColor="text1"/>
                <w14:textFill>
                  <w14:solidFill>
                    <w14:schemeClr w14:val="tx1"/>
                  </w14:solidFill>
                </w14:textFill>
              </w:rPr>
            </w:pPr>
          </w:p>
          <w:p w14:paraId="57D4EC7D">
            <w:pPr>
              <w:pStyle w:val="301"/>
              <w:spacing w:line="240" w:lineRule="auto"/>
              <w:ind w:firstLine="0" w:firstLineChars="0"/>
              <w:jc w:val="center"/>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表</w:t>
            </w:r>
            <w:r>
              <w:rPr>
                <w:rFonts w:hint="eastAsia"/>
                <w:b/>
                <w:color w:val="000000" w:themeColor="text1"/>
                <w:sz w:val="21"/>
                <w:szCs w:val="21"/>
                <w14:textFill>
                  <w14:solidFill>
                    <w14:schemeClr w14:val="tx1"/>
                  </w14:solidFill>
                </w14:textFill>
              </w:rPr>
              <w:t>4</w:t>
            </w:r>
            <w:r>
              <w:rPr>
                <w:b/>
                <w:color w:val="000000" w:themeColor="text1"/>
                <w:sz w:val="21"/>
                <w:szCs w:val="21"/>
                <w14:textFill>
                  <w14:solidFill>
                    <w14:schemeClr w14:val="tx1"/>
                  </w14:solidFill>
                </w14:textFill>
              </w:rPr>
              <w:t>-</w:t>
            </w:r>
            <w:r>
              <w:rPr>
                <w:rFonts w:hint="eastAsia"/>
                <w:b/>
                <w:color w:val="000000" w:themeColor="text1"/>
                <w:sz w:val="21"/>
                <w:szCs w:val="21"/>
                <w:lang w:val="en-US" w:eastAsia="zh-CN"/>
                <w14:textFill>
                  <w14:solidFill>
                    <w14:schemeClr w14:val="tx1"/>
                  </w14:solidFill>
                </w14:textFill>
              </w:rPr>
              <w:t>12</w:t>
            </w:r>
            <w:r>
              <w:rPr>
                <w:rFonts w:hint="eastAsia"/>
                <w:b/>
                <w:color w:val="000000" w:themeColor="text1"/>
                <w:sz w:val="21"/>
                <w:szCs w:val="21"/>
                <w14:textFill>
                  <w14:solidFill>
                    <w14:schemeClr w14:val="tx1"/>
                  </w14:solidFill>
                </w14:textFill>
              </w:rPr>
              <w:t xml:space="preserve"> 项目全厂废气排放口一览表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709"/>
              <w:gridCol w:w="708"/>
              <w:gridCol w:w="699"/>
              <w:gridCol w:w="577"/>
              <w:gridCol w:w="709"/>
              <w:gridCol w:w="709"/>
              <w:gridCol w:w="690"/>
              <w:gridCol w:w="768"/>
              <w:gridCol w:w="768"/>
              <w:gridCol w:w="768"/>
            </w:tblGrid>
            <w:tr w14:paraId="3F37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694D2EEB">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排放口编号</w:t>
                  </w:r>
                </w:p>
              </w:tc>
              <w:tc>
                <w:tcPr>
                  <w:tcW w:w="709" w:type="dxa"/>
                  <w:vAlign w:val="center"/>
                </w:tcPr>
                <w:p w14:paraId="510DE7BA">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废气类型</w:t>
                  </w:r>
                </w:p>
              </w:tc>
              <w:tc>
                <w:tcPr>
                  <w:tcW w:w="708" w:type="dxa"/>
                  <w:vAlign w:val="center"/>
                </w:tcPr>
                <w:p w14:paraId="1D7FBC2A">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污染物种类</w:t>
                  </w:r>
                </w:p>
              </w:tc>
              <w:tc>
                <w:tcPr>
                  <w:tcW w:w="1276" w:type="dxa"/>
                  <w:gridSpan w:val="2"/>
                  <w:vAlign w:val="center"/>
                </w:tcPr>
                <w:p w14:paraId="486258D2">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排放口地理坐标</w:t>
                  </w:r>
                </w:p>
              </w:tc>
              <w:tc>
                <w:tcPr>
                  <w:tcW w:w="709" w:type="dxa"/>
                  <w:vAlign w:val="center"/>
                </w:tcPr>
                <w:p w14:paraId="7FF647A7">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治理措施</w:t>
                  </w:r>
                </w:p>
              </w:tc>
              <w:tc>
                <w:tcPr>
                  <w:tcW w:w="709" w:type="dxa"/>
                  <w:vAlign w:val="center"/>
                </w:tcPr>
                <w:p w14:paraId="2627C9EE">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是否为可行技术</w:t>
                  </w:r>
                </w:p>
              </w:tc>
              <w:tc>
                <w:tcPr>
                  <w:tcW w:w="690" w:type="dxa"/>
                  <w:vAlign w:val="center"/>
                </w:tcPr>
                <w:p w14:paraId="5F7A7777">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排气量m</w:t>
                  </w:r>
                  <w:r>
                    <w:rPr>
                      <w:rFonts w:cs="Times New Roman"/>
                      <w:color w:val="000000" w:themeColor="text1"/>
                      <w:sz w:val="21"/>
                      <w:szCs w:val="21"/>
                      <w:vertAlign w:val="superscript"/>
                      <w14:textFill>
                        <w14:solidFill>
                          <w14:schemeClr w14:val="tx1"/>
                        </w14:solidFill>
                      </w14:textFill>
                    </w:rPr>
                    <w:t>3</w:t>
                  </w:r>
                  <w:r>
                    <w:rPr>
                      <w:rFonts w:cs="Times New Roman"/>
                      <w:color w:val="000000" w:themeColor="text1"/>
                      <w:sz w:val="21"/>
                      <w:szCs w:val="21"/>
                      <w14:textFill>
                        <w14:solidFill>
                          <w14:schemeClr w14:val="tx1"/>
                        </w14:solidFill>
                      </w14:textFill>
                    </w:rPr>
                    <w:t>/h</w:t>
                  </w:r>
                </w:p>
              </w:tc>
              <w:tc>
                <w:tcPr>
                  <w:tcW w:w="768" w:type="dxa"/>
                  <w:vAlign w:val="center"/>
                </w:tcPr>
                <w:p w14:paraId="7845FF6C">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排气筒高度m</w:t>
                  </w:r>
                </w:p>
              </w:tc>
              <w:tc>
                <w:tcPr>
                  <w:tcW w:w="768" w:type="dxa"/>
                  <w:vAlign w:val="center"/>
                </w:tcPr>
                <w:p w14:paraId="3064C15B">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排气筒出口内径m</w:t>
                  </w:r>
                </w:p>
              </w:tc>
              <w:tc>
                <w:tcPr>
                  <w:tcW w:w="768" w:type="dxa"/>
                  <w:vAlign w:val="center"/>
                </w:tcPr>
                <w:p w14:paraId="245A81EC">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烟气温度℃</w:t>
                  </w:r>
                </w:p>
              </w:tc>
            </w:tr>
            <w:tr w14:paraId="57F5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43138389">
                  <w:pPr>
                    <w:pStyle w:val="301"/>
                    <w:spacing w:line="240" w:lineRule="auto"/>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DA001</w:t>
                  </w:r>
                </w:p>
              </w:tc>
              <w:tc>
                <w:tcPr>
                  <w:tcW w:w="709" w:type="dxa"/>
                  <w:vAlign w:val="center"/>
                </w:tcPr>
                <w:p w14:paraId="45650200">
                  <w:pPr>
                    <w:adjustRightInd w:val="0"/>
                    <w:snapToGrid w:val="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有组织</w:t>
                  </w:r>
                </w:p>
              </w:tc>
              <w:tc>
                <w:tcPr>
                  <w:tcW w:w="708" w:type="dxa"/>
                  <w:vAlign w:val="center"/>
                </w:tcPr>
                <w:p w14:paraId="2D461735">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699" w:type="dxa"/>
                  <w:vAlign w:val="center"/>
                </w:tcPr>
                <w:p w14:paraId="3795AE01">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113°24′47.407″</w:t>
                  </w:r>
                </w:p>
              </w:tc>
              <w:tc>
                <w:tcPr>
                  <w:tcW w:w="577" w:type="dxa"/>
                  <w:vAlign w:val="center"/>
                </w:tcPr>
                <w:p w14:paraId="0B911D7F">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25°7′50.349″</w:t>
                  </w:r>
                </w:p>
              </w:tc>
              <w:tc>
                <w:tcPr>
                  <w:tcW w:w="709" w:type="dxa"/>
                  <w:vAlign w:val="center"/>
                </w:tcPr>
                <w:p w14:paraId="5AE0D398">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布袋除尘装置</w:t>
                  </w:r>
                </w:p>
              </w:tc>
              <w:tc>
                <w:tcPr>
                  <w:tcW w:w="709" w:type="dxa"/>
                  <w:vAlign w:val="center"/>
                </w:tcPr>
                <w:p w14:paraId="7E300386">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是</w:t>
                  </w:r>
                </w:p>
              </w:tc>
              <w:tc>
                <w:tcPr>
                  <w:tcW w:w="690" w:type="dxa"/>
                  <w:vAlign w:val="center"/>
                </w:tcPr>
                <w:p w14:paraId="30E69D4F">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62000</w:t>
                  </w:r>
                </w:p>
              </w:tc>
              <w:tc>
                <w:tcPr>
                  <w:tcW w:w="768" w:type="dxa"/>
                  <w:vAlign w:val="center"/>
                </w:tcPr>
                <w:p w14:paraId="44F335C9">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15</w:t>
                  </w:r>
                </w:p>
              </w:tc>
              <w:tc>
                <w:tcPr>
                  <w:tcW w:w="768" w:type="dxa"/>
                  <w:vAlign w:val="center"/>
                </w:tcPr>
                <w:p w14:paraId="612B7F1B">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1.1</w:t>
                  </w:r>
                </w:p>
              </w:tc>
              <w:tc>
                <w:tcPr>
                  <w:tcW w:w="768" w:type="dxa"/>
                  <w:vAlign w:val="center"/>
                </w:tcPr>
                <w:p w14:paraId="2D713BF2">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80</w:t>
                  </w:r>
                </w:p>
              </w:tc>
            </w:tr>
            <w:tr w14:paraId="3BD9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3911E6D8">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D</w:t>
                  </w:r>
                  <w:r>
                    <w:rPr>
                      <w:rFonts w:ascii="Times New Roman" w:hAnsi="Times New Roman" w:eastAsia="宋体" w:cs="Times New Roman"/>
                      <w:color w:val="000000" w:themeColor="text1"/>
                      <w:szCs w:val="21"/>
                      <w14:textFill>
                        <w14:solidFill>
                          <w14:schemeClr w14:val="tx1"/>
                        </w14:solidFill>
                      </w14:textFill>
                    </w:rPr>
                    <w:t>A002</w:t>
                  </w:r>
                </w:p>
              </w:tc>
              <w:tc>
                <w:tcPr>
                  <w:tcW w:w="709" w:type="dxa"/>
                  <w:vAlign w:val="center"/>
                </w:tcPr>
                <w:p w14:paraId="76CB8383">
                  <w:pPr>
                    <w:adjustRightInd w:val="0"/>
                    <w:snapToGrid w:val="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有组织</w:t>
                  </w:r>
                </w:p>
              </w:tc>
              <w:tc>
                <w:tcPr>
                  <w:tcW w:w="708" w:type="dxa"/>
                  <w:vAlign w:val="center"/>
                </w:tcPr>
                <w:p w14:paraId="0FF14E31">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699" w:type="dxa"/>
                  <w:vAlign w:val="center"/>
                </w:tcPr>
                <w:p w14:paraId="0736B95F">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113°24′47.286″</w:t>
                  </w:r>
                </w:p>
              </w:tc>
              <w:tc>
                <w:tcPr>
                  <w:tcW w:w="577" w:type="dxa"/>
                  <w:vAlign w:val="center"/>
                </w:tcPr>
                <w:p w14:paraId="547E78D8">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25°7′50.420″</w:t>
                  </w:r>
                </w:p>
              </w:tc>
              <w:tc>
                <w:tcPr>
                  <w:tcW w:w="709" w:type="dxa"/>
                  <w:vAlign w:val="center"/>
                </w:tcPr>
                <w:p w14:paraId="083BFD96">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布袋除尘装置</w:t>
                  </w:r>
                </w:p>
              </w:tc>
              <w:tc>
                <w:tcPr>
                  <w:tcW w:w="709" w:type="dxa"/>
                  <w:vAlign w:val="center"/>
                </w:tcPr>
                <w:p w14:paraId="3D9A6B1D">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是</w:t>
                  </w:r>
                </w:p>
              </w:tc>
              <w:tc>
                <w:tcPr>
                  <w:tcW w:w="690" w:type="dxa"/>
                  <w:vAlign w:val="center"/>
                </w:tcPr>
                <w:p w14:paraId="2E7942B3">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23000</w:t>
                  </w:r>
                </w:p>
              </w:tc>
              <w:tc>
                <w:tcPr>
                  <w:tcW w:w="768" w:type="dxa"/>
                  <w:vAlign w:val="center"/>
                </w:tcPr>
                <w:p w14:paraId="55CF065D">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5</w:t>
                  </w:r>
                </w:p>
              </w:tc>
              <w:tc>
                <w:tcPr>
                  <w:tcW w:w="768" w:type="dxa"/>
                  <w:vAlign w:val="center"/>
                </w:tcPr>
                <w:p w14:paraId="54FA3EFE">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.65</w:t>
                  </w:r>
                </w:p>
              </w:tc>
              <w:tc>
                <w:tcPr>
                  <w:tcW w:w="768" w:type="dxa"/>
                  <w:vAlign w:val="center"/>
                </w:tcPr>
                <w:p w14:paraId="4872FA8E">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8</w:t>
                  </w:r>
                  <w:r>
                    <w:rPr>
                      <w:rFonts w:ascii="Times New Roman" w:hAnsi="Times New Roman" w:eastAsia="宋体" w:cs="Times New Roman"/>
                      <w:color w:val="000000" w:themeColor="text1"/>
                      <w:szCs w:val="21"/>
                      <w14:textFill>
                        <w14:solidFill>
                          <w14:schemeClr w14:val="tx1"/>
                        </w14:solidFill>
                      </w14:textFill>
                    </w:rPr>
                    <w:t>0</w:t>
                  </w:r>
                </w:p>
              </w:tc>
            </w:tr>
            <w:tr w14:paraId="2F88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7E4521A3">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D</w:t>
                  </w:r>
                  <w:r>
                    <w:rPr>
                      <w:rFonts w:ascii="Times New Roman" w:hAnsi="Times New Roman" w:eastAsia="宋体" w:cs="Times New Roman"/>
                      <w:color w:val="000000" w:themeColor="text1"/>
                      <w:szCs w:val="21"/>
                      <w14:textFill>
                        <w14:solidFill>
                          <w14:schemeClr w14:val="tx1"/>
                        </w14:solidFill>
                      </w14:textFill>
                    </w:rPr>
                    <w:t>A003</w:t>
                  </w:r>
                </w:p>
              </w:tc>
              <w:tc>
                <w:tcPr>
                  <w:tcW w:w="709" w:type="dxa"/>
                  <w:vAlign w:val="center"/>
                </w:tcPr>
                <w:p w14:paraId="4CA79A58">
                  <w:pPr>
                    <w:adjustRightInd w:val="0"/>
                    <w:snapToGrid w:val="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有组织</w:t>
                  </w:r>
                </w:p>
              </w:tc>
              <w:tc>
                <w:tcPr>
                  <w:tcW w:w="708" w:type="dxa"/>
                  <w:vAlign w:val="center"/>
                </w:tcPr>
                <w:p w14:paraId="3BBFE18F">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699" w:type="dxa"/>
                  <w:vAlign w:val="center"/>
                </w:tcPr>
                <w:p w14:paraId="0ECD35E5">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113°24′46.166″</w:t>
                  </w:r>
                </w:p>
              </w:tc>
              <w:tc>
                <w:tcPr>
                  <w:tcW w:w="577" w:type="dxa"/>
                  <w:vAlign w:val="center"/>
                </w:tcPr>
                <w:p w14:paraId="5849942F">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25°7′50.729″</w:t>
                  </w:r>
                </w:p>
              </w:tc>
              <w:tc>
                <w:tcPr>
                  <w:tcW w:w="709" w:type="dxa"/>
                  <w:vAlign w:val="center"/>
                </w:tcPr>
                <w:p w14:paraId="6D20C9E2">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布袋除尘装置</w:t>
                  </w:r>
                </w:p>
              </w:tc>
              <w:tc>
                <w:tcPr>
                  <w:tcW w:w="709" w:type="dxa"/>
                  <w:vAlign w:val="center"/>
                </w:tcPr>
                <w:p w14:paraId="04578FD5">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是</w:t>
                  </w:r>
                </w:p>
              </w:tc>
              <w:tc>
                <w:tcPr>
                  <w:tcW w:w="690" w:type="dxa"/>
                  <w:vAlign w:val="center"/>
                </w:tcPr>
                <w:p w14:paraId="6BC2B4C3">
                  <w:pPr>
                    <w:adjustRightInd w:val="0"/>
                    <w:snapToGrid w:val="0"/>
                    <w:jc w:val="center"/>
                    <w:rPr>
                      <w:rFonts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18000</w:t>
                  </w:r>
                </w:p>
              </w:tc>
              <w:tc>
                <w:tcPr>
                  <w:tcW w:w="768" w:type="dxa"/>
                  <w:vAlign w:val="center"/>
                </w:tcPr>
                <w:p w14:paraId="5C881A41">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5</w:t>
                  </w:r>
                </w:p>
              </w:tc>
              <w:tc>
                <w:tcPr>
                  <w:tcW w:w="768" w:type="dxa"/>
                  <w:vAlign w:val="center"/>
                </w:tcPr>
                <w:p w14:paraId="4C6CC276">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.6</w:t>
                  </w:r>
                </w:p>
              </w:tc>
              <w:tc>
                <w:tcPr>
                  <w:tcW w:w="768" w:type="dxa"/>
                  <w:vAlign w:val="center"/>
                </w:tcPr>
                <w:p w14:paraId="728EE7AC">
                  <w:pPr>
                    <w:adjustRightInd w:val="0"/>
                    <w:snapToGrid w:val="0"/>
                    <w:jc w:val="center"/>
                    <w:rPr>
                      <w:rFonts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0</w:t>
                  </w:r>
                </w:p>
              </w:tc>
            </w:tr>
            <w:tr w14:paraId="5430F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71B0040F">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DA004</w:t>
                  </w:r>
                </w:p>
              </w:tc>
              <w:tc>
                <w:tcPr>
                  <w:tcW w:w="709" w:type="dxa"/>
                  <w:vAlign w:val="center"/>
                </w:tcPr>
                <w:p w14:paraId="0898B9E0">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有组织</w:t>
                  </w:r>
                </w:p>
              </w:tc>
              <w:tc>
                <w:tcPr>
                  <w:tcW w:w="708" w:type="dxa"/>
                  <w:vAlign w:val="center"/>
                </w:tcPr>
                <w:p w14:paraId="661F74C1">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颗粒物</w:t>
                  </w:r>
                </w:p>
              </w:tc>
              <w:tc>
                <w:tcPr>
                  <w:tcW w:w="699" w:type="dxa"/>
                  <w:vAlign w:val="center"/>
                </w:tcPr>
                <w:p w14:paraId="5FCEFAA9">
                  <w:pPr>
                    <w:pStyle w:val="301"/>
                    <w:spacing w:line="240" w:lineRule="auto"/>
                    <w:ind w:firstLine="0" w:firstLineChars="0"/>
                    <w:jc w:val="center"/>
                    <w:rPr>
                      <w:rFonts w:eastAsia="Times New Roman" w:cs="Times New Roman"/>
                      <w:color w:val="000000" w:themeColor="text1"/>
                      <w:spacing w:val="2"/>
                      <w:sz w:val="20"/>
                      <w:szCs w:val="20"/>
                      <w14:textFill>
                        <w14:solidFill>
                          <w14:schemeClr w14:val="tx1"/>
                        </w14:solidFill>
                      </w14:textFill>
                    </w:rPr>
                  </w:pPr>
                  <w:r>
                    <w:rPr>
                      <w:rFonts w:eastAsia="Times New Roman" w:cs="Times New Roman"/>
                      <w:color w:val="000000" w:themeColor="text1"/>
                      <w:spacing w:val="2"/>
                      <w:sz w:val="20"/>
                      <w:szCs w:val="20"/>
                      <w14:textFill>
                        <w14:solidFill>
                          <w14:schemeClr w14:val="tx1"/>
                        </w14:solidFill>
                      </w14:textFill>
                    </w:rPr>
                    <w:t>113°24′3.724″</w:t>
                  </w:r>
                </w:p>
              </w:tc>
              <w:tc>
                <w:tcPr>
                  <w:tcW w:w="577" w:type="dxa"/>
                  <w:vAlign w:val="center"/>
                </w:tcPr>
                <w:p w14:paraId="22730A7A">
                  <w:pPr>
                    <w:pStyle w:val="301"/>
                    <w:spacing w:line="240" w:lineRule="auto"/>
                    <w:ind w:firstLine="0" w:firstLineChars="0"/>
                    <w:jc w:val="center"/>
                    <w:rPr>
                      <w:rFonts w:eastAsia="Times New Roman" w:cs="Times New Roman"/>
                      <w:color w:val="000000" w:themeColor="text1"/>
                      <w:spacing w:val="2"/>
                      <w:sz w:val="20"/>
                      <w:szCs w:val="20"/>
                      <w14:textFill>
                        <w14:solidFill>
                          <w14:schemeClr w14:val="tx1"/>
                        </w14:solidFill>
                      </w14:textFill>
                    </w:rPr>
                  </w:pPr>
                  <w:r>
                    <w:rPr>
                      <w:rFonts w:eastAsia="Times New Roman" w:cs="Times New Roman"/>
                      <w:color w:val="000000" w:themeColor="text1"/>
                      <w:spacing w:val="2"/>
                      <w:sz w:val="20"/>
                      <w:szCs w:val="20"/>
                      <w14:textFill>
                        <w14:solidFill>
                          <w14:schemeClr w14:val="tx1"/>
                        </w14:solidFill>
                      </w14:textFill>
                    </w:rPr>
                    <w:t>24°8</w:t>
                  </w:r>
                  <w:r>
                    <w:rPr>
                      <w:rFonts w:eastAsia="Times New Roman" w:cs="Times New Roman"/>
                      <w:color w:val="000000" w:themeColor="text1"/>
                      <w:spacing w:val="-32"/>
                      <w:sz w:val="20"/>
                      <w:szCs w:val="20"/>
                      <w14:textFill>
                        <w14:solidFill>
                          <w14:schemeClr w14:val="tx1"/>
                        </w14:solidFill>
                      </w14:textFill>
                    </w:rPr>
                    <w:t xml:space="preserve"> </w:t>
                  </w:r>
                  <w:r>
                    <w:rPr>
                      <w:rFonts w:eastAsia="Times New Roman" w:cs="Times New Roman"/>
                      <w:color w:val="000000" w:themeColor="text1"/>
                      <w:spacing w:val="2"/>
                      <w:sz w:val="20"/>
                      <w:szCs w:val="20"/>
                      <w14:textFill>
                        <w14:solidFill>
                          <w14:schemeClr w14:val="tx1"/>
                        </w14:solidFill>
                      </w14:textFill>
                    </w:rPr>
                    <w:t>′8.112″</w:t>
                  </w:r>
                </w:p>
              </w:tc>
              <w:tc>
                <w:tcPr>
                  <w:tcW w:w="709" w:type="dxa"/>
                  <w:vAlign w:val="center"/>
                </w:tcPr>
                <w:p w14:paraId="32659F12">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布袋除尘器</w:t>
                  </w:r>
                </w:p>
              </w:tc>
              <w:tc>
                <w:tcPr>
                  <w:tcW w:w="709" w:type="dxa"/>
                  <w:vAlign w:val="center"/>
                </w:tcPr>
                <w:p w14:paraId="7F944A94">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是</w:t>
                  </w:r>
                </w:p>
              </w:tc>
              <w:tc>
                <w:tcPr>
                  <w:tcW w:w="690" w:type="dxa"/>
                  <w:vAlign w:val="center"/>
                </w:tcPr>
                <w:p w14:paraId="76FE162F">
                  <w:pPr>
                    <w:pStyle w:val="301"/>
                    <w:spacing w:line="240" w:lineRule="auto"/>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3000</w:t>
                  </w:r>
                </w:p>
              </w:tc>
              <w:tc>
                <w:tcPr>
                  <w:tcW w:w="768" w:type="dxa"/>
                  <w:vAlign w:val="center"/>
                </w:tcPr>
                <w:p w14:paraId="0CA6042F">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15</w:t>
                  </w:r>
                </w:p>
              </w:tc>
              <w:tc>
                <w:tcPr>
                  <w:tcW w:w="768" w:type="dxa"/>
                  <w:vAlign w:val="center"/>
                </w:tcPr>
                <w:p w14:paraId="57FB4355">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0.5</w:t>
                  </w:r>
                </w:p>
              </w:tc>
              <w:tc>
                <w:tcPr>
                  <w:tcW w:w="768" w:type="dxa"/>
                  <w:vAlign w:val="center"/>
                </w:tcPr>
                <w:p w14:paraId="5D52FFED">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25</w:t>
                  </w:r>
                </w:p>
              </w:tc>
            </w:tr>
            <w:tr w14:paraId="6629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568" w:type="dxa"/>
                  <w:vMerge w:val="restart"/>
                  <w:vAlign w:val="center"/>
                </w:tcPr>
                <w:p w14:paraId="3D2BD373">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DA005</w:t>
                  </w:r>
                </w:p>
              </w:tc>
              <w:tc>
                <w:tcPr>
                  <w:tcW w:w="709" w:type="dxa"/>
                  <w:vMerge w:val="restart"/>
                  <w:vAlign w:val="center"/>
                </w:tcPr>
                <w:p w14:paraId="555BAC35">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有组织</w:t>
                  </w:r>
                </w:p>
              </w:tc>
              <w:tc>
                <w:tcPr>
                  <w:tcW w:w="708" w:type="dxa"/>
                  <w:vAlign w:val="center"/>
                </w:tcPr>
                <w:p w14:paraId="38EA4765">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非甲烷总烃</w:t>
                  </w:r>
                </w:p>
              </w:tc>
              <w:tc>
                <w:tcPr>
                  <w:tcW w:w="699" w:type="dxa"/>
                  <w:vMerge w:val="restart"/>
                  <w:vAlign w:val="center"/>
                </w:tcPr>
                <w:p w14:paraId="075D10CD">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eastAsia="Times New Roman" w:cs="Times New Roman"/>
                      <w:color w:val="000000" w:themeColor="text1"/>
                      <w:spacing w:val="2"/>
                      <w:sz w:val="20"/>
                      <w:szCs w:val="20"/>
                      <w14:textFill>
                        <w14:solidFill>
                          <w14:schemeClr w14:val="tx1"/>
                        </w14:solidFill>
                      </w14:textFill>
                    </w:rPr>
                    <w:t>113°24′3.924″</w:t>
                  </w:r>
                </w:p>
              </w:tc>
              <w:tc>
                <w:tcPr>
                  <w:tcW w:w="577" w:type="dxa"/>
                  <w:vMerge w:val="restart"/>
                  <w:vAlign w:val="center"/>
                </w:tcPr>
                <w:p w14:paraId="0EC1B4E0">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eastAsia="Times New Roman" w:cs="Times New Roman"/>
                      <w:color w:val="000000" w:themeColor="text1"/>
                      <w:spacing w:val="2"/>
                      <w:sz w:val="20"/>
                      <w:szCs w:val="20"/>
                      <w14:textFill>
                        <w14:solidFill>
                          <w14:schemeClr w14:val="tx1"/>
                        </w14:solidFill>
                      </w14:textFill>
                    </w:rPr>
                    <w:t>24°8</w:t>
                  </w:r>
                  <w:r>
                    <w:rPr>
                      <w:rFonts w:eastAsia="Times New Roman" w:cs="Times New Roman"/>
                      <w:color w:val="000000" w:themeColor="text1"/>
                      <w:spacing w:val="-32"/>
                      <w:sz w:val="20"/>
                      <w:szCs w:val="20"/>
                      <w14:textFill>
                        <w14:solidFill>
                          <w14:schemeClr w14:val="tx1"/>
                        </w14:solidFill>
                      </w14:textFill>
                    </w:rPr>
                    <w:t xml:space="preserve"> </w:t>
                  </w:r>
                  <w:r>
                    <w:rPr>
                      <w:rFonts w:eastAsia="Times New Roman" w:cs="Times New Roman"/>
                      <w:color w:val="000000" w:themeColor="text1"/>
                      <w:spacing w:val="2"/>
                      <w:sz w:val="20"/>
                      <w:szCs w:val="20"/>
                      <w14:textFill>
                        <w14:solidFill>
                          <w14:schemeClr w14:val="tx1"/>
                        </w14:solidFill>
                      </w14:textFill>
                    </w:rPr>
                    <w:t>′8.412″</w:t>
                  </w:r>
                </w:p>
              </w:tc>
              <w:tc>
                <w:tcPr>
                  <w:tcW w:w="709" w:type="dxa"/>
                  <w:vMerge w:val="restart"/>
                  <w:vAlign w:val="center"/>
                </w:tcPr>
                <w:p w14:paraId="3844BE48">
                  <w:pPr>
                    <w:pStyle w:val="301"/>
                    <w:spacing w:line="240" w:lineRule="auto"/>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二级活性炭吸附</w:t>
                  </w:r>
                </w:p>
              </w:tc>
              <w:tc>
                <w:tcPr>
                  <w:tcW w:w="709" w:type="dxa"/>
                  <w:vMerge w:val="restart"/>
                  <w:vAlign w:val="center"/>
                </w:tcPr>
                <w:p w14:paraId="40449FE1">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是</w:t>
                  </w:r>
                </w:p>
              </w:tc>
              <w:tc>
                <w:tcPr>
                  <w:tcW w:w="690" w:type="dxa"/>
                  <w:vMerge w:val="restart"/>
                  <w:vAlign w:val="center"/>
                </w:tcPr>
                <w:p w14:paraId="23B65EC5">
                  <w:pPr>
                    <w:pStyle w:val="301"/>
                    <w:spacing w:line="240" w:lineRule="auto"/>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20000</w:t>
                  </w:r>
                </w:p>
              </w:tc>
              <w:tc>
                <w:tcPr>
                  <w:tcW w:w="768" w:type="dxa"/>
                  <w:vMerge w:val="restart"/>
                  <w:vAlign w:val="center"/>
                </w:tcPr>
                <w:p w14:paraId="265E71DA">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15</w:t>
                  </w:r>
                </w:p>
              </w:tc>
              <w:tc>
                <w:tcPr>
                  <w:tcW w:w="768" w:type="dxa"/>
                  <w:vMerge w:val="restart"/>
                  <w:vAlign w:val="center"/>
                </w:tcPr>
                <w:p w14:paraId="10427A36">
                  <w:pPr>
                    <w:pStyle w:val="301"/>
                    <w:spacing w:line="240" w:lineRule="auto"/>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cs="Times New Roman"/>
                      <w:color w:val="000000" w:themeColor="text1"/>
                      <w:sz w:val="21"/>
                      <w:szCs w:val="21"/>
                      <w14:textFill>
                        <w14:solidFill>
                          <w14:schemeClr w14:val="tx1"/>
                        </w14:solidFill>
                      </w14:textFill>
                    </w:rPr>
                    <w:t>0.</w:t>
                  </w:r>
                  <w:r>
                    <w:rPr>
                      <w:rFonts w:hint="eastAsia" w:cs="Times New Roman"/>
                      <w:color w:val="000000" w:themeColor="text1"/>
                      <w:sz w:val="21"/>
                      <w:szCs w:val="21"/>
                      <w:lang w:val="en-US" w:eastAsia="zh-CN"/>
                      <w14:textFill>
                        <w14:solidFill>
                          <w14:schemeClr w14:val="tx1"/>
                        </w14:solidFill>
                      </w14:textFill>
                    </w:rPr>
                    <w:t>6</w:t>
                  </w:r>
                </w:p>
              </w:tc>
              <w:tc>
                <w:tcPr>
                  <w:tcW w:w="768" w:type="dxa"/>
                  <w:vMerge w:val="restart"/>
                  <w:vAlign w:val="center"/>
                </w:tcPr>
                <w:p w14:paraId="622231A2">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25</w:t>
                  </w:r>
                </w:p>
              </w:tc>
            </w:tr>
            <w:tr w14:paraId="448D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Merge w:val="continue"/>
                  <w:vAlign w:val="center"/>
                </w:tcPr>
                <w:p w14:paraId="592C9512">
                  <w:pPr>
                    <w:pStyle w:val="301"/>
                    <w:spacing w:line="240" w:lineRule="auto"/>
                    <w:ind w:firstLine="0" w:firstLineChars="0"/>
                    <w:rPr>
                      <w:color w:val="000000" w:themeColor="text1"/>
                      <w:sz w:val="21"/>
                      <w:szCs w:val="21"/>
                      <w14:textFill>
                        <w14:solidFill>
                          <w14:schemeClr w14:val="tx1"/>
                        </w14:solidFill>
                      </w14:textFill>
                    </w:rPr>
                  </w:pPr>
                </w:p>
              </w:tc>
              <w:tc>
                <w:tcPr>
                  <w:tcW w:w="709" w:type="dxa"/>
                  <w:vMerge w:val="continue"/>
                  <w:vAlign w:val="center"/>
                </w:tcPr>
                <w:p w14:paraId="1E5FBADE">
                  <w:pPr>
                    <w:pStyle w:val="301"/>
                    <w:spacing w:line="240" w:lineRule="auto"/>
                    <w:ind w:firstLine="0" w:firstLineChars="0"/>
                    <w:rPr>
                      <w:color w:val="000000" w:themeColor="text1"/>
                      <w:sz w:val="21"/>
                      <w:szCs w:val="21"/>
                      <w14:textFill>
                        <w14:solidFill>
                          <w14:schemeClr w14:val="tx1"/>
                        </w14:solidFill>
                      </w14:textFill>
                    </w:rPr>
                  </w:pPr>
                </w:p>
              </w:tc>
              <w:tc>
                <w:tcPr>
                  <w:tcW w:w="708" w:type="dxa"/>
                  <w:vAlign w:val="center"/>
                </w:tcPr>
                <w:p w14:paraId="59909CA1">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苯系物</w:t>
                  </w:r>
                </w:p>
              </w:tc>
              <w:tc>
                <w:tcPr>
                  <w:tcW w:w="699" w:type="dxa"/>
                  <w:vMerge w:val="continue"/>
                  <w:vAlign w:val="center"/>
                </w:tcPr>
                <w:p w14:paraId="1BD5BF5B">
                  <w:pPr>
                    <w:pStyle w:val="301"/>
                    <w:spacing w:line="240" w:lineRule="auto"/>
                    <w:ind w:firstLine="0" w:firstLineChars="0"/>
                    <w:rPr>
                      <w:rFonts w:eastAsia="Times New Roman" w:cs="Times New Roman"/>
                      <w:color w:val="000000" w:themeColor="text1"/>
                      <w:spacing w:val="2"/>
                      <w:sz w:val="20"/>
                      <w:szCs w:val="20"/>
                      <w14:textFill>
                        <w14:solidFill>
                          <w14:schemeClr w14:val="tx1"/>
                        </w14:solidFill>
                      </w14:textFill>
                    </w:rPr>
                  </w:pPr>
                </w:p>
              </w:tc>
              <w:tc>
                <w:tcPr>
                  <w:tcW w:w="577" w:type="dxa"/>
                  <w:vMerge w:val="continue"/>
                  <w:vAlign w:val="center"/>
                </w:tcPr>
                <w:p w14:paraId="721ACAFD">
                  <w:pPr>
                    <w:pStyle w:val="301"/>
                    <w:spacing w:line="240" w:lineRule="auto"/>
                    <w:ind w:firstLine="0" w:firstLineChars="0"/>
                    <w:rPr>
                      <w:rFonts w:eastAsia="Times New Roman" w:cs="Times New Roman"/>
                      <w:color w:val="000000" w:themeColor="text1"/>
                      <w:spacing w:val="2"/>
                      <w:sz w:val="20"/>
                      <w:szCs w:val="20"/>
                      <w14:textFill>
                        <w14:solidFill>
                          <w14:schemeClr w14:val="tx1"/>
                        </w14:solidFill>
                      </w14:textFill>
                    </w:rPr>
                  </w:pPr>
                </w:p>
              </w:tc>
              <w:tc>
                <w:tcPr>
                  <w:tcW w:w="709" w:type="dxa"/>
                  <w:vMerge w:val="continue"/>
                  <w:vAlign w:val="center"/>
                </w:tcPr>
                <w:p w14:paraId="08EA5050">
                  <w:pPr>
                    <w:pStyle w:val="301"/>
                    <w:spacing w:line="240" w:lineRule="auto"/>
                    <w:ind w:firstLine="0" w:firstLineChars="0"/>
                    <w:rPr>
                      <w:color w:val="000000" w:themeColor="text1"/>
                      <w:sz w:val="21"/>
                      <w:szCs w:val="21"/>
                      <w14:textFill>
                        <w14:solidFill>
                          <w14:schemeClr w14:val="tx1"/>
                        </w14:solidFill>
                      </w14:textFill>
                    </w:rPr>
                  </w:pPr>
                </w:p>
              </w:tc>
              <w:tc>
                <w:tcPr>
                  <w:tcW w:w="709" w:type="dxa"/>
                  <w:vMerge w:val="continue"/>
                  <w:vAlign w:val="center"/>
                </w:tcPr>
                <w:p w14:paraId="2017BF0B">
                  <w:pPr>
                    <w:pStyle w:val="301"/>
                    <w:spacing w:line="240" w:lineRule="auto"/>
                    <w:ind w:firstLine="0" w:firstLineChars="0"/>
                    <w:rPr>
                      <w:color w:val="000000" w:themeColor="text1"/>
                      <w:sz w:val="21"/>
                      <w:szCs w:val="21"/>
                      <w14:textFill>
                        <w14:solidFill>
                          <w14:schemeClr w14:val="tx1"/>
                        </w14:solidFill>
                      </w14:textFill>
                    </w:rPr>
                  </w:pPr>
                </w:p>
              </w:tc>
              <w:tc>
                <w:tcPr>
                  <w:tcW w:w="690" w:type="dxa"/>
                  <w:vMerge w:val="continue"/>
                  <w:vAlign w:val="center"/>
                </w:tcPr>
                <w:p w14:paraId="4A08C264">
                  <w:pPr>
                    <w:pStyle w:val="301"/>
                    <w:spacing w:line="240" w:lineRule="auto"/>
                    <w:ind w:firstLine="0" w:firstLineChars="0"/>
                    <w:rPr>
                      <w:color w:val="000000" w:themeColor="text1"/>
                      <w:sz w:val="21"/>
                      <w:szCs w:val="21"/>
                      <w14:textFill>
                        <w14:solidFill>
                          <w14:schemeClr w14:val="tx1"/>
                        </w14:solidFill>
                      </w14:textFill>
                    </w:rPr>
                  </w:pPr>
                </w:p>
              </w:tc>
              <w:tc>
                <w:tcPr>
                  <w:tcW w:w="768" w:type="dxa"/>
                  <w:vMerge w:val="continue"/>
                  <w:vAlign w:val="center"/>
                </w:tcPr>
                <w:p w14:paraId="4D165569">
                  <w:pPr>
                    <w:pStyle w:val="301"/>
                    <w:spacing w:line="240" w:lineRule="auto"/>
                    <w:ind w:firstLine="0" w:firstLineChars="0"/>
                    <w:rPr>
                      <w:color w:val="000000" w:themeColor="text1"/>
                      <w:sz w:val="21"/>
                      <w:szCs w:val="21"/>
                      <w14:textFill>
                        <w14:solidFill>
                          <w14:schemeClr w14:val="tx1"/>
                        </w14:solidFill>
                      </w14:textFill>
                    </w:rPr>
                  </w:pPr>
                </w:p>
              </w:tc>
              <w:tc>
                <w:tcPr>
                  <w:tcW w:w="768" w:type="dxa"/>
                  <w:vMerge w:val="continue"/>
                  <w:vAlign w:val="center"/>
                </w:tcPr>
                <w:p w14:paraId="6CD78A3D">
                  <w:pPr>
                    <w:pStyle w:val="301"/>
                    <w:spacing w:line="240" w:lineRule="auto"/>
                    <w:ind w:firstLine="0" w:firstLineChars="0"/>
                    <w:rPr>
                      <w:color w:val="000000" w:themeColor="text1"/>
                      <w:sz w:val="21"/>
                      <w:szCs w:val="21"/>
                      <w14:textFill>
                        <w14:solidFill>
                          <w14:schemeClr w14:val="tx1"/>
                        </w14:solidFill>
                      </w14:textFill>
                    </w:rPr>
                  </w:pPr>
                </w:p>
              </w:tc>
              <w:tc>
                <w:tcPr>
                  <w:tcW w:w="768" w:type="dxa"/>
                  <w:vMerge w:val="continue"/>
                  <w:vAlign w:val="center"/>
                </w:tcPr>
                <w:p w14:paraId="23DF31FC">
                  <w:pPr>
                    <w:pStyle w:val="301"/>
                    <w:spacing w:line="240" w:lineRule="auto"/>
                    <w:ind w:firstLine="0" w:firstLineChars="0"/>
                    <w:rPr>
                      <w:color w:val="000000" w:themeColor="text1"/>
                      <w:sz w:val="21"/>
                      <w:szCs w:val="21"/>
                      <w14:textFill>
                        <w14:solidFill>
                          <w14:schemeClr w14:val="tx1"/>
                        </w14:solidFill>
                      </w14:textFill>
                    </w:rPr>
                  </w:pPr>
                </w:p>
              </w:tc>
            </w:tr>
            <w:tr w14:paraId="0AFF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Merge w:val="continue"/>
                  <w:vAlign w:val="center"/>
                </w:tcPr>
                <w:p w14:paraId="159755CA">
                  <w:pPr>
                    <w:pStyle w:val="301"/>
                    <w:spacing w:line="240" w:lineRule="auto"/>
                    <w:ind w:firstLine="0" w:firstLineChars="0"/>
                    <w:rPr>
                      <w:color w:val="000000" w:themeColor="text1"/>
                      <w:sz w:val="21"/>
                      <w:szCs w:val="21"/>
                      <w14:textFill>
                        <w14:solidFill>
                          <w14:schemeClr w14:val="tx1"/>
                        </w14:solidFill>
                      </w14:textFill>
                    </w:rPr>
                  </w:pPr>
                </w:p>
              </w:tc>
              <w:tc>
                <w:tcPr>
                  <w:tcW w:w="709" w:type="dxa"/>
                  <w:vMerge w:val="continue"/>
                  <w:vAlign w:val="center"/>
                </w:tcPr>
                <w:p w14:paraId="69C2F3DB">
                  <w:pPr>
                    <w:pStyle w:val="301"/>
                    <w:spacing w:line="240" w:lineRule="auto"/>
                    <w:ind w:firstLine="0" w:firstLineChars="0"/>
                    <w:rPr>
                      <w:color w:val="000000" w:themeColor="text1"/>
                      <w:sz w:val="21"/>
                      <w:szCs w:val="21"/>
                      <w14:textFill>
                        <w14:solidFill>
                          <w14:schemeClr w14:val="tx1"/>
                        </w14:solidFill>
                      </w14:textFill>
                    </w:rPr>
                  </w:pPr>
                </w:p>
              </w:tc>
              <w:tc>
                <w:tcPr>
                  <w:tcW w:w="708" w:type="dxa"/>
                  <w:vAlign w:val="center"/>
                </w:tcPr>
                <w:p w14:paraId="771211B7">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颗粒物</w:t>
                  </w:r>
                </w:p>
              </w:tc>
              <w:tc>
                <w:tcPr>
                  <w:tcW w:w="699" w:type="dxa"/>
                  <w:vMerge w:val="continue"/>
                  <w:vAlign w:val="center"/>
                </w:tcPr>
                <w:p w14:paraId="0B3E8EAC">
                  <w:pPr>
                    <w:pStyle w:val="301"/>
                    <w:spacing w:line="240" w:lineRule="auto"/>
                    <w:ind w:firstLine="0" w:firstLineChars="0"/>
                    <w:rPr>
                      <w:rFonts w:eastAsia="Times New Roman" w:cs="Times New Roman"/>
                      <w:color w:val="000000" w:themeColor="text1"/>
                      <w:spacing w:val="2"/>
                      <w:sz w:val="20"/>
                      <w:szCs w:val="20"/>
                      <w14:textFill>
                        <w14:solidFill>
                          <w14:schemeClr w14:val="tx1"/>
                        </w14:solidFill>
                      </w14:textFill>
                    </w:rPr>
                  </w:pPr>
                </w:p>
              </w:tc>
              <w:tc>
                <w:tcPr>
                  <w:tcW w:w="577" w:type="dxa"/>
                  <w:vMerge w:val="continue"/>
                  <w:vAlign w:val="center"/>
                </w:tcPr>
                <w:p w14:paraId="79F41341">
                  <w:pPr>
                    <w:pStyle w:val="301"/>
                    <w:spacing w:line="240" w:lineRule="auto"/>
                    <w:ind w:firstLine="0" w:firstLineChars="0"/>
                    <w:rPr>
                      <w:rFonts w:eastAsia="Times New Roman" w:cs="Times New Roman"/>
                      <w:color w:val="000000" w:themeColor="text1"/>
                      <w:spacing w:val="2"/>
                      <w:sz w:val="20"/>
                      <w:szCs w:val="20"/>
                      <w14:textFill>
                        <w14:solidFill>
                          <w14:schemeClr w14:val="tx1"/>
                        </w14:solidFill>
                      </w14:textFill>
                    </w:rPr>
                  </w:pPr>
                </w:p>
              </w:tc>
              <w:tc>
                <w:tcPr>
                  <w:tcW w:w="709" w:type="dxa"/>
                  <w:vAlign w:val="center"/>
                </w:tcPr>
                <w:p w14:paraId="23939C5A">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水喷淋+</w:t>
                  </w:r>
                  <w:r>
                    <w:rPr>
                      <w:color w:val="000000" w:themeColor="text1"/>
                      <w:sz w:val="21"/>
                      <w:szCs w:val="21"/>
                      <w14:textFill>
                        <w14:solidFill>
                          <w14:schemeClr w14:val="tx1"/>
                        </w14:solidFill>
                      </w14:textFill>
                    </w:rPr>
                    <w:t>干式过滤器</w:t>
                  </w:r>
                </w:p>
              </w:tc>
              <w:tc>
                <w:tcPr>
                  <w:tcW w:w="709" w:type="dxa"/>
                  <w:vAlign w:val="center"/>
                </w:tcPr>
                <w:p w14:paraId="70E1E65C">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是</w:t>
                  </w:r>
                </w:p>
              </w:tc>
              <w:tc>
                <w:tcPr>
                  <w:tcW w:w="690" w:type="dxa"/>
                  <w:vMerge w:val="continue"/>
                  <w:vAlign w:val="center"/>
                </w:tcPr>
                <w:p w14:paraId="254F4412">
                  <w:pPr>
                    <w:pStyle w:val="301"/>
                    <w:spacing w:line="240" w:lineRule="auto"/>
                    <w:ind w:firstLine="0" w:firstLineChars="0"/>
                    <w:rPr>
                      <w:color w:val="000000" w:themeColor="text1"/>
                      <w:sz w:val="21"/>
                      <w:szCs w:val="21"/>
                      <w14:textFill>
                        <w14:solidFill>
                          <w14:schemeClr w14:val="tx1"/>
                        </w14:solidFill>
                      </w14:textFill>
                    </w:rPr>
                  </w:pPr>
                </w:p>
              </w:tc>
              <w:tc>
                <w:tcPr>
                  <w:tcW w:w="768" w:type="dxa"/>
                  <w:vMerge w:val="continue"/>
                  <w:vAlign w:val="center"/>
                </w:tcPr>
                <w:p w14:paraId="6CF328B3">
                  <w:pPr>
                    <w:pStyle w:val="301"/>
                    <w:spacing w:line="240" w:lineRule="auto"/>
                    <w:ind w:firstLine="0" w:firstLineChars="0"/>
                    <w:rPr>
                      <w:color w:val="000000" w:themeColor="text1"/>
                      <w:sz w:val="21"/>
                      <w:szCs w:val="21"/>
                      <w14:textFill>
                        <w14:solidFill>
                          <w14:schemeClr w14:val="tx1"/>
                        </w14:solidFill>
                      </w14:textFill>
                    </w:rPr>
                  </w:pPr>
                </w:p>
              </w:tc>
              <w:tc>
                <w:tcPr>
                  <w:tcW w:w="768" w:type="dxa"/>
                  <w:vMerge w:val="continue"/>
                  <w:vAlign w:val="center"/>
                </w:tcPr>
                <w:p w14:paraId="476D43C7">
                  <w:pPr>
                    <w:pStyle w:val="301"/>
                    <w:spacing w:line="240" w:lineRule="auto"/>
                    <w:ind w:firstLine="0" w:firstLineChars="0"/>
                    <w:rPr>
                      <w:color w:val="000000" w:themeColor="text1"/>
                      <w:sz w:val="21"/>
                      <w:szCs w:val="21"/>
                      <w14:textFill>
                        <w14:solidFill>
                          <w14:schemeClr w14:val="tx1"/>
                        </w14:solidFill>
                      </w14:textFill>
                    </w:rPr>
                  </w:pPr>
                </w:p>
              </w:tc>
              <w:tc>
                <w:tcPr>
                  <w:tcW w:w="768" w:type="dxa"/>
                  <w:vMerge w:val="continue"/>
                  <w:vAlign w:val="center"/>
                </w:tcPr>
                <w:p w14:paraId="45CE00BC">
                  <w:pPr>
                    <w:pStyle w:val="301"/>
                    <w:spacing w:line="240" w:lineRule="auto"/>
                    <w:ind w:firstLine="0" w:firstLineChars="0"/>
                    <w:rPr>
                      <w:color w:val="000000" w:themeColor="text1"/>
                      <w:sz w:val="21"/>
                      <w:szCs w:val="21"/>
                      <w14:textFill>
                        <w14:solidFill>
                          <w14:schemeClr w14:val="tx1"/>
                        </w14:solidFill>
                      </w14:textFill>
                    </w:rPr>
                  </w:pPr>
                </w:p>
              </w:tc>
            </w:tr>
          </w:tbl>
          <w:p w14:paraId="57E490E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注：DA001~DA003为现有项目铸造线的排气筒。该部分排气筒保留不变。</w:t>
            </w:r>
          </w:p>
          <w:p w14:paraId="3EC146D6">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根据上表各个排气筒的排气量和排气筒出口内径可知，排气筒</w:t>
            </w:r>
            <w:r>
              <w:rPr>
                <w:rFonts w:hint="eastAsia" w:ascii="Times New Roman" w:hAnsi="Times New Roman" w:eastAsia="宋体" w:cs="Times New Roman"/>
                <w:bCs/>
                <w:color w:val="000000" w:themeColor="text1"/>
                <w:sz w:val="24"/>
                <w:lang w:val="zh-CN"/>
                <w14:textFill>
                  <w14:solidFill>
                    <w14:schemeClr w14:val="tx1"/>
                  </w14:solidFill>
                </w14:textFill>
              </w:rPr>
              <w:t>排气筒DA001的烟气流速约为</w:t>
            </w:r>
            <w:r>
              <w:rPr>
                <w:rFonts w:ascii="Times New Roman" w:hAnsi="Times New Roman" w:eastAsia="宋体" w:cs="Times New Roman"/>
                <w:bCs/>
                <w:color w:val="000000" w:themeColor="text1"/>
                <w:sz w:val="24"/>
                <w:lang w:val="zh-CN"/>
                <w14:textFill>
                  <w14:solidFill>
                    <w14:schemeClr w14:val="tx1"/>
                  </w14:solidFill>
                </w14:textFill>
              </w:rPr>
              <w:t>18.2</w:t>
            </w:r>
            <w:r>
              <w:rPr>
                <w:rFonts w:hint="eastAsia" w:ascii="Times New Roman" w:hAnsi="Times New Roman" w:eastAsia="宋体" w:cs="Times New Roman"/>
                <w:bCs/>
                <w:color w:val="000000" w:themeColor="text1"/>
                <w:sz w:val="24"/>
                <w:lang w:val="zh-CN"/>
                <w14:textFill>
                  <w14:solidFill>
                    <w14:schemeClr w14:val="tx1"/>
                  </w14:solidFill>
                </w14:textFill>
              </w:rPr>
              <w:t>m/s、DA00</w:t>
            </w:r>
            <w:r>
              <w:rPr>
                <w:rFonts w:ascii="Times New Roman" w:hAnsi="Times New Roman" w:eastAsia="宋体" w:cs="Times New Roman"/>
                <w:bCs/>
                <w:color w:val="000000" w:themeColor="text1"/>
                <w:sz w:val="24"/>
                <w:lang w:val="zh-CN"/>
                <w14:textFill>
                  <w14:solidFill>
                    <w14:schemeClr w14:val="tx1"/>
                  </w14:solidFill>
                </w14:textFill>
              </w:rPr>
              <w:t>2</w:t>
            </w:r>
            <w:r>
              <w:rPr>
                <w:rFonts w:hint="eastAsia" w:ascii="Times New Roman" w:hAnsi="Times New Roman" w:eastAsia="宋体" w:cs="Times New Roman"/>
                <w:bCs/>
                <w:color w:val="000000" w:themeColor="text1"/>
                <w:sz w:val="24"/>
                <w:lang w:val="zh-CN"/>
                <w14:textFill>
                  <w14:solidFill>
                    <w14:schemeClr w14:val="tx1"/>
                  </w14:solidFill>
                </w14:textFill>
              </w:rPr>
              <w:t>排气筒的烟气流速约为</w:t>
            </w:r>
            <w:r>
              <w:rPr>
                <w:rFonts w:ascii="Times New Roman" w:hAnsi="Times New Roman" w:eastAsia="宋体" w:cs="Times New Roman"/>
                <w:bCs/>
                <w:color w:val="000000" w:themeColor="text1"/>
                <w:sz w:val="24"/>
                <w:lang w:val="zh-CN"/>
                <w14:textFill>
                  <w14:solidFill>
                    <w14:schemeClr w14:val="tx1"/>
                  </w14:solidFill>
                </w14:textFill>
              </w:rPr>
              <w:t>19.4</w:t>
            </w:r>
            <w:r>
              <w:rPr>
                <w:rFonts w:hint="eastAsia" w:ascii="Times New Roman" w:hAnsi="Times New Roman" w:eastAsia="宋体" w:cs="Times New Roman"/>
                <w:bCs/>
                <w:color w:val="000000" w:themeColor="text1"/>
                <w:sz w:val="24"/>
                <w:lang w:val="zh-CN"/>
                <w14:textFill>
                  <w14:solidFill>
                    <w14:schemeClr w14:val="tx1"/>
                  </w14:solidFill>
                </w14:textFill>
              </w:rPr>
              <w:t>m/s、DA00</w:t>
            </w:r>
            <w:r>
              <w:rPr>
                <w:rFonts w:ascii="Times New Roman" w:hAnsi="Times New Roman" w:eastAsia="宋体" w:cs="Times New Roman"/>
                <w:bCs/>
                <w:color w:val="000000" w:themeColor="text1"/>
                <w:sz w:val="24"/>
                <w:lang w:val="zh-CN"/>
                <w14:textFill>
                  <w14:solidFill>
                    <w14:schemeClr w14:val="tx1"/>
                  </w14:solidFill>
                </w14:textFill>
              </w:rPr>
              <w:t>3</w:t>
            </w:r>
            <w:r>
              <w:rPr>
                <w:rFonts w:hint="eastAsia" w:ascii="Times New Roman" w:hAnsi="Times New Roman" w:eastAsia="宋体" w:cs="Times New Roman"/>
                <w:bCs/>
                <w:color w:val="000000" w:themeColor="text1"/>
                <w:sz w:val="24"/>
                <w:lang w:val="zh-CN"/>
                <w14:textFill>
                  <w14:solidFill>
                    <w14:schemeClr w14:val="tx1"/>
                  </w14:solidFill>
                </w14:textFill>
              </w:rPr>
              <w:t>排气筒的烟气流速约为1</w:t>
            </w:r>
            <w:r>
              <w:rPr>
                <w:rFonts w:ascii="Times New Roman" w:hAnsi="Times New Roman" w:eastAsia="宋体" w:cs="Times New Roman"/>
                <w:bCs/>
                <w:color w:val="000000" w:themeColor="text1"/>
                <w:sz w:val="24"/>
                <w:lang w:val="zh-CN"/>
                <w14:textFill>
                  <w14:solidFill>
                    <w14:schemeClr w14:val="tx1"/>
                  </w14:solidFill>
                </w14:textFill>
              </w:rPr>
              <w:t>7.7</w:t>
            </w:r>
            <w:r>
              <w:rPr>
                <w:rFonts w:hint="eastAsia" w:ascii="Times New Roman" w:hAnsi="Times New Roman" w:eastAsia="宋体" w:cs="Times New Roman"/>
                <w:bCs/>
                <w:color w:val="000000" w:themeColor="text1"/>
                <w:sz w:val="24"/>
                <w:lang w:val="zh-CN"/>
                <w14:textFill>
                  <w14:solidFill>
                    <w14:schemeClr w14:val="tx1"/>
                  </w14:solidFill>
                </w14:textFill>
              </w:rPr>
              <w:t>m/s、</w:t>
            </w:r>
            <w:r>
              <w:rPr>
                <w:rFonts w:hint="eastAsia" w:ascii="Times New Roman" w:hAnsi="Times New Roman" w:eastAsia="宋体" w:cs="Times New Roman"/>
                <w:color w:val="000000" w:themeColor="text1"/>
                <w:sz w:val="24"/>
                <w14:textFill>
                  <w14:solidFill>
                    <w14:schemeClr w14:val="tx1"/>
                  </w14:solidFill>
                </w14:textFill>
              </w:rPr>
              <w:t>DA00</w:t>
            </w:r>
            <w:r>
              <w:rPr>
                <w:rFonts w:ascii="Times New Roman" w:hAnsi="Times New Roman" w:eastAsia="宋体" w:cs="Times New Roman"/>
                <w:color w:val="000000" w:themeColor="text1"/>
                <w:sz w:val="24"/>
                <w14:textFill>
                  <w14:solidFill>
                    <w14:schemeClr w14:val="tx1"/>
                  </w14:solidFill>
                </w14:textFill>
              </w:rPr>
              <w:t>4</w:t>
            </w:r>
            <w:r>
              <w:rPr>
                <w:rFonts w:hint="eastAsia" w:ascii="Times New Roman" w:hAnsi="Times New Roman" w:eastAsia="宋体" w:cs="Times New Roman"/>
                <w:color w:val="000000" w:themeColor="text1"/>
                <w:sz w:val="24"/>
                <w14:textFill>
                  <w14:solidFill>
                    <w14:schemeClr w14:val="tx1"/>
                  </w14:solidFill>
                </w14:textFill>
              </w:rPr>
              <w:t>的烟气流速约为</w:t>
            </w:r>
            <w:r>
              <w:rPr>
                <w:rFonts w:ascii="Times New Roman" w:hAnsi="Times New Roman" w:eastAsia="宋体" w:cs="Times New Roman"/>
                <w:color w:val="000000" w:themeColor="text1"/>
                <w:sz w:val="24"/>
                <w14:textFill>
                  <w14:solidFill>
                    <w14:schemeClr w14:val="tx1"/>
                  </w14:solidFill>
                </w14:textFill>
              </w:rPr>
              <w:t>1</w:t>
            </w:r>
            <w:r>
              <w:rPr>
                <w:rFonts w:hint="eastAsia" w:ascii="Times New Roman" w:hAnsi="Times New Roman" w:eastAsia="宋体" w:cs="Times New Roman"/>
                <w:color w:val="000000" w:themeColor="text1"/>
                <w:sz w:val="24"/>
                <w:lang w:val="en-US" w:eastAsia="zh-CN"/>
                <w14:textFill>
                  <w14:solidFill>
                    <w14:schemeClr w14:val="tx1"/>
                  </w14:solidFill>
                </w14:textFill>
              </w:rPr>
              <w:t>8.39</w:t>
            </w:r>
            <w:r>
              <w:rPr>
                <w:rFonts w:hint="eastAsia" w:ascii="Times New Roman" w:hAnsi="Times New Roman" w:eastAsia="宋体" w:cs="Times New Roman"/>
                <w:color w:val="000000" w:themeColor="text1"/>
                <w:sz w:val="24"/>
                <w14:textFill>
                  <w14:solidFill>
                    <w14:schemeClr w14:val="tx1"/>
                  </w14:solidFill>
                </w14:textFill>
              </w:rPr>
              <w:t>m/s、DA00</w:t>
            </w:r>
            <w:r>
              <w:rPr>
                <w:rFonts w:ascii="Times New Roman" w:hAnsi="Times New Roman" w:eastAsia="宋体" w:cs="Times New Roman"/>
                <w:color w:val="000000" w:themeColor="text1"/>
                <w:sz w:val="24"/>
                <w14:textFill>
                  <w14:solidFill>
                    <w14:schemeClr w14:val="tx1"/>
                  </w14:solidFill>
                </w14:textFill>
              </w:rPr>
              <w:t>5</w:t>
            </w:r>
            <w:r>
              <w:rPr>
                <w:rFonts w:hint="eastAsia" w:ascii="Times New Roman" w:hAnsi="Times New Roman" w:eastAsia="宋体" w:cs="Times New Roman"/>
                <w:color w:val="000000" w:themeColor="text1"/>
                <w:sz w:val="24"/>
                <w14:textFill>
                  <w14:solidFill>
                    <w14:schemeClr w14:val="tx1"/>
                  </w14:solidFill>
                </w14:textFill>
              </w:rPr>
              <w:t>的烟气</w:t>
            </w:r>
            <w:r>
              <w:rPr>
                <w:rFonts w:ascii="Times New Roman" w:hAnsi="Times New Roman" w:eastAsia="宋体" w:cs="Times New Roman"/>
                <w:color w:val="000000" w:themeColor="text1"/>
                <w:sz w:val="24"/>
                <w14:textFill>
                  <w14:solidFill>
                    <w14:schemeClr w14:val="tx1"/>
                  </w14:solidFill>
                </w14:textFill>
              </w:rPr>
              <w:t>流速约为</w:t>
            </w:r>
            <w:r>
              <w:rPr>
                <w:rFonts w:hint="eastAsia" w:ascii="Times New Roman" w:hAnsi="Times New Roman" w:eastAsia="宋体" w:cs="Times New Roman"/>
                <w:color w:val="000000" w:themeColor="text1"/>
                <w:sz w:val="24"/>
                <w:lang w:val="en-US" w:eastAsia="zh-CN"/>
                <w14:textFill>
                  <w14:solidFill>
                    <w14:schemeClr w14:val="tx1"/>
                  </w14:solidFill>
                </w14:textFill>
              </w:rPr>
              <w:t>19.65</w:t>
            </w:r>
            <w:r>
              <w:rPr>
                <w:rFonts w:ascii="Times New Roman" w:hAnsi="Times New Roman" w:eastAsia="宋体" w:cs="Times New Roman"/>
                <w:color w:val="000000" w:themeColor="text1"/>
                <w:sz w:val="24"/>
                <w14:textFill>
                  <w14:solidFill>
                    <w14:schemeClr w14:val="tx1"/>
                  </w14:solidFill>
                </w14:textFill>
              </w:rPr>
              <w:t>m/s，均</w:t>
            </w:r>
            <w:r>
              <w:rPr>
                <w:rFonts w:hint="eastAsia" w:ascii="Times New Roman" w:hAnsi="Times New Roman" w:eastAsia="宋体" w:cs="Times New Roman"/>
                <w:color w:val="000000" w:themeColor="text1"/>
                <w:sz w:val="24"/>
                <w14:textFill>
                  <w14:solidFill>
                    <w14:schemeClr w14:val="tx1"/>
                  </w14:solidFill>
                </w14:textFill>
              </w:rPr>
              <w:t>在15m/s~20m/s之间，排气筒风量及出口口径设计合理。</w:t>
            </w:r>
          </w:p>
          <w:p w14:paraId="69BA9293">
            <w:pPr>
              <w:pStyle w:val="301"/>
              <w:ind w:firstLine="0" w:firstLineChars="0"/>
              <w:rPr>
                <w:b/>
                <w:color w:val="000000" w:themeColor="text1"/>
                <w14:textFill>
                  <w14:solidFill>
                    <w14:schemeClr w14:val="tx1"/>
                  </w14:solidFill>
                </w14:textFill>
              </w:rPr>
            </w:pPr>
            <w:r>
              <w:rPr>
                <w:rFonts w:hint="eastAsia"/>
                <w:b/>
                <w:color w:val="000000" w:themeColor="text1"/>
                <w14:textFill>
                  <w14:solidFill>
                    <w14:schemeClr w14:val="tx1"/>
                  </w14:solidFill>
                </w14:textFill>
              </w:rPr>
              <w:t>3</w:t>
            </w:r>
            <w:r>
              <w:rPr>
                <w:b/>
                <w:color w:val="000000" w:themeColor="text1"/>
                <w14:textFill>
                  <w14:solidFill>
                    <w14:schemeClr w14:val="tx1"/>
                  </w14:solidFill>
                </w14:textFill>
              </w:rPr>
              <w:t>、达标情况</w:t>
            </w:r>
          </w:p>
          <w:p w14:paraId="19A68746">
            <w:pPr>
              <w:pStyle w:val="301"/>
              <w:spacing w:line="240" w:lineRule="auto"/>
              <w:ind w:firstLine="0" w:firstLineChars="0"/>
              <w:jc w:val="center"/>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表</w:t>
            </w:r>
            <w:r>
              <w:rPr>
                <w:rFonts w:hint="eastAsia"/>
                <w:b/>
                <w:color w:val="000000" w:themeColor="text1"/>
                <w:sz w:val="21"/>
                <w:szCs w:val="21"/>
                <w14:textFill>
                  <w14:solidFill>
                    <w14:schemeClr w14:val="tx1"/>
                  </w14:solidFill>
                </w14:textFill>
              </w:rPr>
              <w:t>4</w:t>
            </w:r>
            <w:r>
              <w:rPr>
                <w:b/>
                <w:color w:val="000000" w:themeColor="text1"/>
                <w:sz w:val="21"/>
                <w:szCs w:val="21"/>
                <w14:textFill>
                  <w14:solidFill>
                    <w14:schemeClr w14:val="tx1"/>
                  </w14:solidFill>
                </w14:textFill>
              </w:rPr>
              <w:t>-</w:t>
            </w:r>
            <w:r>
              <w:rPr>
                <w:rFonts w:hint="eastAsia"/>
                <w:b/>
                <w:color w:val="000000" w:themeColor="text1"/>
                <w:sz w:val="21"/>
                <w:szCs w:val="21"/>
                <w:lang w:val="en-US" w:eastAsia="zh-CN"/>
                <w14:textFill>
                  <w14:solidFill>
                    <w14:schemeClr w14:val="tx1"/>
                  </w14:solidFill>
                </w14:textFill>
              </w:rPr>
              <w:t>13</w:t>
            </w:r>
            <w:r>
              <w:rPr>
                <w:rFonts w:hint="eastAsia"/>
                <w:b/>
                <w:color w:val="000000" w:themeColor="text1"/>
                <w:sz w:val="21"/>
                <w:szCs w:val="21"/>
                <w14:textFill>
                  <w14:solidFill>
                    <w14:schemeClr w14:val="tx1"/>
                  </w14:solidFill>
                </w14:textFill>
              </w:rPr>
              <w:t xml:space="preserve"> 达标情况分析</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185"/>
              <w:gridCol w:w="1226"/>
              <w:gridCol w:w="1072"/>
              <w:gridCol w:w="1243"/>
              <w:gridCol w:w="1131"/>
              <w:gridCol w:w="1016"/>
            </w:tblGrid>
            <w:tr w14:paraId="0D01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vAlign w:val="center"/>
                </w:tcPr>
                <w:p w14:paraId="238AE500">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排放口</w:t>
                  </w:r>
                </w:p>
              </w:tc>
              <w:tc>
                <w:tcPr>
                  <w:tcW w:w="1185" w:type="dxa"/>
                  <w:vAlign w:val="center"/>
                </w:tcPr>
                <w:p w14:paraId="5E06E57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1226" w:type="dxa"/>
                  <w:vAlign w:val="center"/>
                </w:tcPr>
                <w:p w14:paraId="236C3FF4">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产生浓度mg/m</w:t>
                  </w:r>
                  <w:r>
                    <w:rPr>
                      <w:color w:val="000000" w:themeColor="text1"/>
                      <w:sz w:val="21"/>
                      <w:szCs w:val="21"/>
                      <w:vertAlign w:val="superscript"/>
                      <w14:textFill>
                        <w14:solidFill>
                          <w14:schemeClr w14:val="tx1"/>
                        </w14:solidFill>
                      </w14:textFill>
                    </w:rPr>
                    <w:t>3</w:t>
                  </w:r>
                </w:p>
              </w:tc>
              <w:tc>
                <w:tcPr>
                  <w:tcW w:w="1072" w:type="dxa"/>
                  <w:vAlign w:val="center"/>
                </w:tcPr>
                <w:p w14:paraId="0ADE43BE">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治理设施</w:t>
                  </w:r>
                </w:p>
              </w:tc>
              <w:tc>
                <w:tcPr>
                  <w:tcW w:w="1243" w:type="dxa"/>
                  <w:vAlign w:val="center"/>
                </w:tcPr>
                <w:p w14:paraId="0830AF26">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排放浓度mg/m</w:t>
                  </w:r>
                  <w:r>
                    <w:rPr>
                      <w:color w:val="000000" w:themeColor="text1"/>
                      <w:sz w:val="21"/>
                      <w:szCs w:val="21"/>
                      <w:vertAlign w:val="superscript"/>
                      <w14:textFill>
                        <w14:solidFill>
                          <w14:schemeClr w14:val="tx1"/>
                        </w14:solidFill>
                      </w14:textFill>
                    </w:rPr>
                    <w:t>3</w:t>
                  </w:r>
                </w:p>
              </w:tc>
              <w:tc>
                <w:tcPr>
                  <w:tcW w:w="1131" w:type="dxa"/>
                  <w:vAlign w:val="center"/>
                </w:tcPr>
                <w:p w14:paraId="4EBC0A0A">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标准限值mg/m</w:t>
                  </w:r>
                  <w:r>
                    <w:rPr>
                      <w:color w:val="000000" w:themeColor="text1"/>
                      <w:sz w:val="21"/>
                      <w:szCs w:val="21"/>
                      <w:vertAlign w:val="superscript"/>
                      <w14:textFill>
                        <w14:solidFill>
                          <w14:schemeClr w14:val="tx1"/>
                        </w14:solidFill>
                      </w14:textFill>
                    </w:rPr>
                    <w:t>3</w:t>
                  </w:r>
                </w:p>
              </w:tc>
              <w:tc>
                <w:tcPr>
                  <w:tcW w:w="1016" w:type="dxa"/>
                  <w:vAlign w:val="center"/>
                </w:tcPr>
                <w:p w14:paraId="38B86DBC">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达标判断</w:t>
                  </w:r>
                </w:p>
              </w:tc>
            </w:tr>
            <w:tr w14:paraId="2AF3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572" w:type="dxa"/>
                  <w:vAlign w:val="center"/>
                </w:tcPr>
                <w:p w14:paraId="79539A23">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DA001</w:t>
                  </w:r>
                </w:p>
              </w:tc>
              <w:tc>
                <w:tcPr>
                  <w:tcW w:w="848" w:type="dxa"/>
                  <w:vAlign w:val="center"/>
                </w:tcPr>
                <w:p w14:paraId="0D00E795">
                  <w:pPr>
                    <w:pStyle w:val="301"/>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颗粒物</w:t>
                  </w:r>
                </w:p>
              </w:tc>
              <w:tc>
                <w:tcPr>
                  <w:tcW w:w="877" w:type="dxa"/>
                  <w:vAlign w:val="center"/>
                </w:tcPr>
                <w:p w14:paraId="40DE2162">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4339.994</w:t>
                  </w:r>
                </w:p>
              </w:tc>
              <w:tc>
                <w:tcPr>
                  <w:tcW w:w="767" w:type="dxa"/>
                  <w:vAlign w:val="center"/>
                </w:tcPr>
                <w:p w14:paraId="060C5CAB">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布袋除尘器</w:t>
                  </w:r>
                </w:p>
              </w:tc>
              <w:tc>
                <w:tcPr>
                  <w:tcW w:w="889" w:type="dxa"/>
                  <w:vAlign w:val="center"/>
                </w:tcPr>
                <w:p w14:paraId="7F3AA3E9">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19.107</w:t>
                  </w:r>
                </w:p>
              </w:tc>
              <w:tc>
                <w:tcPr>
                  <w:tcW w:w="809" w:type="dxa"/>
                  <w:vAlign w:val="center"/>
                </w:tcPr>
                <w:p w14:paraId="6B9EE6D1">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30</w:t>
                  </w:r>
                </w:p>
              </w:tc>
              <w:tc>
                <w:tcPr>
                  <w:tcW w:w="727" w:type="dxa"/>
                  <w:vAlign w:val="center"/>
                </w:tcPr>
                <w:p w14:paraId="2564642F">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达标</w:t>
                  </w:r>
                </w:p>
              </w:tc>
            </w:tr>
            <w:tr w14:paraId="76D8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572" w:type="dxa"/>
                  <w:vAlign w:val="center"/>
                </w:tcPr>
                <w:p w14:paraId="5AEEA414">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DA002</w:t>
                  </w:r>
                </w:p>
              </w:tc>
              <w:tc>
                <w:tcPr>
                  <w:tcW w:w="848" w:type="dxa"/>
                  <w:vAlign w:val="center"/>
                </w:tcPr>
                <w:p w14:paraId="7125DA51">
                  <w:pPr>
                    <w:pStyle w:val="301"/>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颗粒物</w:t>
                  </w:r>
                </w:p>
              </w:tc>
              <w:tc>
                <w:tcPr>
                  <w:tcW w:w="877" w:type="dxa"/>
                  <w:vAlign w:val="center"/>
                </w:tcPr>
                <w:p w14:paraId="7B93E359">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1049.669</w:t>
                  </w:r>
                </w:p>
              </w:tc>
              <w:tc>
                <w:tcPr>
                  <w:tcW w:w="767" w:type="dxa"/>
                  <w:vAlign w:val="center"/>
                </w:tcPr>
                <w:p w14:paraId="549A4EBA">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布袋除尘器</w:t>
                  </w:r>
                </w:p>
              </w:tc>
              <w:tc>
                <w:tcPr>
                  <w:tcW w:w="889" w:type="dxa"/>
                  <w:vAlign w:val="center"/>
                </w:tcPr>
                <w:p w14:paraId="0C8A2B2F">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8.932</w:t>
                  </w:r>
                </w:p>
              </w:tc>
              <w:tc>
                <w:tcPr>
                  <w:tcW w:w="809" w:type="dxa"/>
                  <w:vAlign w:val="center"/>
                </w:tcPr>
                <w:p w14:paraId="69A4AF37">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30</w:t>
                  </w:r>
                </w:p>
              </w:tc>
              <w:tc>
                <w:tcPr>
                  <w:tcW w:w="727" w:type="dxa"/>
                  <w:vAlign w:val="center"/>
                </w:tcPr>
                <w:p w14:paraId="4F484CC6">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达标</w:t>
                  </w:r>
                </w:p>
              </w:tc>
            </w:tr>
            <w:tr w14:paraId="5556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572" w:type="dxa"/>
                  <w:vAlign w:val="center"/>
                </w:tcPr>
                <w:p w14:paraId="4921650F">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DA003</w:t>
                  </w:r>
                </w:p>
              </w:tc>
              <w:tc>
                <w:tcPr>
                  <w:tcW w:w="848" w:type="dxa"/>
                  <w:vAlign w:val="center"/>
                </w:tcPr>
                <w:p w14:paraId="440A0D4F">
                  <w:pPr>
                    <w:pStyle w:val="301"/>
                    <w:spacing w:line="240" w:lineRule="auto"/>
                    <w:ind w:firstLine="0" w:firstLineChars="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颗粒物</w:t>
                  </w:r>
                </w:p>
              </w:tc>
              <w:tc>
                <w:tcPr>
                  <w:tcW w:w="877" w:type="dxa"/>
                  <w:vAlign w:val="center"/>
                </w:tcPr>
                <w:p w14:paraId="7AA1090C">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501.875</w:t>
                  </w:r>
                </w:p>
              </w:tc>
              <w:tc>
                <w:tcPr>
                  <w:tcW w:w="767" w:type="dxa"/>
                  <w:vAlign w:val="center"/>
                </w:tcPr>
                <w:p w14:paraId="3B1586F8">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布袋除尘器</w:t>
                  </w:r>
                </w:p>
              </w:tc>
              <w:tc>
                <w:tcPr>
                  <w:tcW w:w="889" w:type="dxa"/>
                  <w:vAlign w:val="center"/>
                </w:tcPr>
                <w:p w14:paraId="3AC524CE">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25.094</w:t>
                  </w:r>
                </w:p>
              </w:tc>
              <w:tc>
                <w:tcPr>
                  <w:tcW w:w="809" w:type="dxa"/>
                  <w:vAlign w:val="center"/>
                </w:tcPr>
                <w:p w14:paraId="0912720C">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30</w:t>
                  </w:r>
                </w:p>
              </w:tc>
              <w:tc>
                <w:tcPr>
                  <w:tcW w:w="727" w:type="dxa"/>
                  <w:vAlign w:val="center"/>
                </w:tcPr>
                <w:p w14:paraId="39FB3F18">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达标</w:t>
                  </w:r>
                </w:p>
              </w:tc>
            </w:tr>
            <w:tr w14:paraId="075B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572" w:type="dxa"/>
                  <w:vAlign w:val="center"/>
                </w:tcPr>
                <w:p w14:paraId="1F4B241A">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D</w:t>
                  </w:r>
                  <w:r>
                    <w:rPr>
                      <w:color w:val="000000" w:themeColor="text1"/>
                      <w:sz w:val="21"/>
                      <w:szCs w:val="21"/>
                      <w14:textFill>
                        <w14:solidFill>
                          <w14:schemeClr w14:val="tx1"/>
                        </w14:solidFill>
                      </w14:textFill>
                    </w:rPr>
                    <w:t>A004</w:t>
                  </w:r>
                </w:p>
              </w:tc>
              <w:tc>
                <w:tcPr>
                  <w:tcW w:w="848" w:type="dxa"/>
                  <w:vAlign w:val="center"/>
                </w:tcPr>
                <w:p w14:paraId="20B4B0AB">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颗粒物</w:t>
                  </w:r>
                </w:p>
              </w:tc>
              <w:tc>
                <w:tcPr>
                  <w:tcW w:w="877" w:type="dxa"/>
                  <w:vAlign w:val="center"/>
                </w:tcPr>
                <w:p w14:paraId="4EEA64F0">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color w:val="000000" w:themeColor="text1"/>
                      <w:sz w:val="21"/>
                      <w:szCs w:val="21"/>
                      <w14:textFill>
                        <w14:solidFill>
                          <w14:schemeClr w14:val="tx1"/>
                        </w14:solidFill>
                      </w14:textFill>
                    </w:rPr>
                    <w:t>1</w:t>
                  </w:r>
                  <w:r>
                    <w:rPr>
                      <w:rFonts w:hint="eastAsia"/>
                      <w:color w:val="000000" w:themeColor="text1"/>
                      <w:sz w:val="21"/>
                      <w:szCs w:val="21"/>
                      <w:lang w:val="en-US" w:eastAsia="zh-CN"/>
                      <w14:textFill>
                        <w14:solidFill>
                          <w14:schemeClr w14:val="tx1"/>
                        </w14:solidFill>
                      </w14:textFill>
                    </w:rPr>
                    <w:t>19.327</w:t>
                  </w:r>
                </w:p>
              </w:tc>
              <w:tc>
                <w:tcPr>
                  <w:tcW w:w="767" w:type="dxa"/>
                  <w:vAlign w:val="center"/>
                </w:tcPr>
                <w:p w14:paraId="112F3CB5">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布袋除尘器</w:t>
                  </w:r>
                </w:p>
              </w:tc>
              <w:tc>
                <w:tcPr>
                  <w:tcW w:w="889" w:type="dxa"/>
                  <w:vAlign w:val="center"/>
                </w:tcPr>
                <w:p w14:paraId="1AA13305">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color w:val="000000" w:themeColor="text1"/>
                      <w:sz w:val="21"/>
                      <w:szCs w:val="21"/>
                      <w14:textFill>
                        <w14:solidFill>
                          <w14:schemeClr w14:val="tx1"/>
                        </w14:solidFill>
                      </w14:textFill>
                    </w:rPr>
                    <w:t>5.</w:t>
                  </w:r>
                  <w:r>
                    <w:rPr>
                      <w:rFonts w:hint="eastAsia"/>
                      <w:color w:val="000000" w:themeColor="text1"/>
                      <w:sz w:val="21"/>
                      <w:szCs w:val="21"/>
                      <w:lang w:val="en-US" w:eastAsia="zh-CN"/>
                      <w14:textFill>
                        <w14:solidFill>
                          <w14:schemeClr w14:val="tx1"/>
                        </w14:solidFill>
                      </w14:textFill>
                    </w:rPr>
                    <w:t>967</w:t>
                  </w:r>
                </w:p>
              </w:tc>
              <w:tc>
                <w:tcPr>
                  <w:tcW w:w="809" w:type="dxa"/>
                  <w:vAlign w:val="center"/>
                </w:tcPr>
                <w:p w14:paraId="352EF6FF">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w:t>
                  </w:r>
                  <w:r>
                    <w:rPr>
                      <w:color w:val="000000" w:themeColor="text1"/>
                      <w:sz w:val="21"/>
                      <w:szCs w:val="21"/>
                      <w14:textFill>
                        <w14:solidFill>
                          <w14:schemeClr w14:val="tx1"/>
                        </w14:solidFill>
                      </w14:textFill>
                    </w:rPr>
                    <w:t>20</w:t>
                  </w:r>
                </w:p>
              </w:tc>
              <w:tc>
                <w:tcPr>
                  <w:tcW w:w="727" w:type="dxa"/>
                  <w:vAlign w:val="center"/>
                </w:tcPr>
                <w:p w14:paraId="65C6669B">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达标</w:t>
                  </w:r>
                </w:p>
              </w:tc>
            </w:tr>
            <w:tr w14:paraId="5FBE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572" w:type="dxa"/>
                  <w:vMerge w:val="restart"/>
                  <w:vAlign w:val="center"/>
                </w:tcPr>
                <w:p w14:paraId="2A9FAD7E">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D</w:t>
                  </w:r>
                  <w:r>
                    <w:rPr>
                      <w:color w:val="000000" w:themeColor="text1"/>
                      <w:sz w:val="21"/>
                      <w:szCs w:val="21"/>
                      <w14:textFill>
                        <w14:solidFill>
                          <w14:schemeClr w14:val="tx1"/>
                        </w14:solidFill>
                      </w14:textFill>
                    </w:rPr>
                    <w:t>A005</w:t>
                  </w:r>
                </w:p>
              </w:tc>
              <w:tc>
                <w:tcPr>
                  <w:tcW w:w="848" w:type="dxa"/>
                  <w:vAlign w:val="center"/>
                </w:tcPr>
                <w:p w14:paraId="4ACF9510">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非甲烷总烃</w:t>
                  </w:r>
                </w:p>
              </w:tc>
              <w:tc>
                <w:tcPr>
                  <w:tcW w:w="877" w:type="dxa"/>
                  <w:vAlign w:val="center"/>
                </w:tcPr>
                <w:p w14:paraId="18965BEF">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53.612</w:t>
                  </w:r>
                </w:p>
              </w:tc>
              <w:tc>
                <w:tcPr>
                  <w:tcW w:w="767" w:type="dxa"/>
                  <w:vMerge w:val="restart"/>
                  <w:vAlign w:val="center"/>
                </w:tcPr>
                <w:p w14:paraId="5B51A07C">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二级活性炭吸附</w:t>
                  </w:r>
                </w:p>
              </w:tc>
              <w:tc>
                <w:tcPr>
                  <w:tcW w:w="889" w:type="dxa"/>
                  <w:vAlign w:val="center"/>
                </w:tcPr>
                <w:p w14:paraId="56E59C81">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10.733</w:t>
                  </w:r>
                </w:p>
              </w:tc>
              <w:tc>
                <w:tcPr>
                  <w:tcW w:w="809" w:type="dxa"/>
                  <w:vAlign w:val="center"/>
                </w:tcPr>
                <w:p w14:paraId="41B1DED3">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80</w:t>
                  </w:r>
                </w:p>
              </w:tc>
              <w:tc>
                <w:tcPr>
                  <w:tcW w:w="727" w:type="dxa"/>
                  <w:vAlign w:val="center"/>
                </w:tcPr>
                <w:p w14:paraId="134C3D17">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达标</w:t>
                  </w:r>
                </w:p>
              </w:tc>
            </w:tr>
            <w:tr w14:paraId="46AB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vMerge w:val="continue"/>
                  <w:vAlign w:val="center"/>
                </w:tcPr>
                <w:p w14:paraId="1A5CE831">
                  <w:pPr>
                    <w:pStyle w:val="301"/>
                    <w:spacing w:line="240" w:lineRule="auto"/>
                    <w:ind w:firstLine="0" w:firstLineChars="0"/>
                    <w:jc w:val="center"/>
                    <w:rPr>
                      <w:color w:val="000000" w:themeColor="text1"/>
                      <w:sz w:val="21"/>
                      <w:szCs w:val="21"/>
                      <w14:textFill>
                        <w14:solidFill>
                          <w14:schemeClr w14:val="tx1"/>
                        </w14:solidFill>
                      </w14:textFill>
                    </w:rPr>
                  </w:pPr>
                </w:p>
              </w:tc>
              <w:tc>
                <w:tcPr>
                  <w:tcW w:w="1185" w:type="dxa"/>
                  <w:vAlign w:val="center"/>
                </w:tcPr>
                <w:p w14:paraId="79445C44">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苯系物</w:t>
                  </w:r>
                </w:p>
              </w:tc>
              <w:tc>
                <w:tcPr>
                  <w:tcW w:w="1226" w:type="dxa"/>
                  <w:vAlign w:val="center"/>
                </w:tcPr>
                <w:p w14:paraId="4E948CF2">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3.060</w:t>
                  </w:r>
                </w:p>
              </w:tc>
              <w:tc>
                <w:tcPr>
                  <w:tcW w:w="1072" w:type="dxa"/>
                  <w:vMerge w:val="continue"/>
                  <w:vAlign w:val="center"/>
                </w:tcPr>
                <w:p w14:paraId="33EFFDA7">
                  <w:pPr>
                    <w:pStyle w:val="301"/>
                    <w:spacing w:line="240" w:lineRule="auto"/>
                    <w:ind w:firstLine="0" w:firstLineChars="0"/>
                    <w:jc w:val="center"/>
                    <w:rPr>
                      <w:color w:val="000000" w:themeColor="text1"/>
                      <w:sz w:val="21"/>
                      <w:szCs w:val="21"/>
                      <w14:textFill>
                        <w14:solidFill>
                          <w14:schemeClr w14:val="tx1"/>
                        </w14:solidFill>
                      </w14:textFill>
                    </w:rPr>
                  </w:pPr>
                </w:p>
              </w:tc>
              <w:tc>
                <w:tcPr>
                  <w:tcW w:w="1243" w:type="dxa"/>
                  <w:vAlign w:val="center"/>
                </w:tcPr>
                <w:p w14:paraId="1E079B74">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0</w:t>
                  </w:r>
                  <w:r>
                    <w:rPr>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612</w:t>
                  </w:r>
                </w:p>
              </w:tc>
              <w:tc>
                <w:tcPr>
                  <w:tcW w:w="1131" w:type="dxa"/>
                  <w:vAlign w:val="center"/>
                </w:tcPr>
                <w:p w14:paraId="24E37FD1">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w:t>
                  </w:r>
                  <w:r>
                    <w:rPr>
                      <w:color w:val="000000" w:themeColor="text1"/>
                      <w:sz w:val="21"/>
                      <w:szCs w:val="21"/>
                      <w14:textFill>
                        <w14:solidFill>
                          <w14:schemeClr w14:val="tx1"/>
                        </w14:solidFill>
                      </w14:textFill>
                    </w:rPr>
                    <w:t>0</w:t>
                  </w:r>
                </w:p>
              </w:tc>
              <w:tc>
                <w:tcPr>
                  <w:tcW w:w="1016" w:type="dxa"/>
                  <w:vAlign w:val="center"/>
                </w:tcPr>
                <w:p w14:paraId="48AF3013">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达标</w:t>
                  </w:r>
                </w:p>
              </w:tc>
            </w:tr>
            <w:tr w14:paraId="31B8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vMerge w:val="continue"/>
                  <w:vAlign w:val="center"/>
                </w:tcPr>
                <w:p w14:paraId="24555A8C">
                  <w:pPr>
                    <w:pStyle w:val="301"/>
                    <w:spacing w:line="240" w:lineRule="auto"/>
                    <w:ind w:firstLine="0" w:firstLineChars="0"/>
                    <w:jc w:val="center"/>
                    <w:rPr>
                      <w:color w:val="000000" w:themeColor="text1"/>
                      <w:sz w:val="21"/>
                      <w:szCs w:val="21"/>
                      <w14:textFill>
                        <w14:solidFill>
                          <w14:schemeClr w14:val="tx1"/>
                        </w14:solidFill>
                      </w14:textFill>
                    </w:rPr>
                  </w:pPr>
                </w:p>
              </w:tc>
              <w:tc>
                <w:tcPr>
                  <w:tcW w:w="1185" w:type="dxa"/>
                  <w:vAlign w:val="center"/>
                </w:tcPr>
                <w:p w14:paraId="797F620E">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颗粒物</w:t>
                  </w:r>
                </w:p>
              </w:tc>
              <w:tc>
                <w:tcPr>
                  <w:tcW w:w="1226" w:type="dxa"/>
                  <w:vAlign w:val="center"/>
                </w:tcPr>
                <w:p w14:paraId="26E1B1F1">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6.906</w:t>
                  </w:r>
                </w:p>
              </w:tc>
              <w:tc>
                <w:tcPr>
                  <w:tcW w:w="1072" w:type="dxa"/>
                  <w:vAlign w:val="center"/>
                </w:tcPr>
                <w:p w14:paraId="3B7431F5">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水喷淋+</w:t>
                  </w:r>
                  <w:r>
                    <w:rPr>
                      <w:rFonts w:hint="eastAsia"/>
                      <w:color w:val="000000" w:themeColor="text1"/>
                      <w:sz w:val="21"/>
                      <w:szCs w:val="21"/>
                      <w14:textFill>
                        <w14:solidFill>
                          <w14:schemeClr w14:val="tx1"/>
                        </w14:solidFill>
                      </w14:textFill>
                    </w:rPr>
                    <w:t>干式</w:t>
                  </w:r>
                  <w:r>
                    <w:rPr>
                      <w:color w:val="000000" w:themeColor="text1"/>
                      <w:sz w:val="21"/>
                      <w:szCs w:val="21"/>
                      <w14:textFill>
                        <w14:solidFill>
                          <w14:schemeClr w14:val="tx1"/>
                        </w14:solidFill>
                      </w14:textFill>
                    </w:rPr>
                    <w:t>过滤器</w:t>
                  </w:r>
                </w:p>
              </w:tc>
              <w:tc>
                <w:tcPr>
                  <w:tcW w:w="1243" w:type="dxa"/>
                  <w:vAlign w:val="center"/>
                </w:tcPr>
                <w:p w14:paraId="73AD61D0">
                  <w:pPr>
                    <w:pStyle w:val="301"/>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0.691</w:t>
                  </w:r>
                </w:p>
              </w:tc>
              <w:tc>
                <w:tcPr>
                  <w:tcW w:w="1131" w:type="dxa"/>
                  <w:vAlign w:val="center"/>
                </w:tcPr>
                <w:p w14:paraId="5D8E5249">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w:t>
                  </w:r>
                  <w:r>
                    <w:rPr>
                      <w:color w:val="000000" w:themeColor="text1"/>
                      <w:sz w:val="21"/>
                      <w:szCs w:val="21"/>
                      <w14:textFill>
                        <w14:solidFill>
                          <w14:schemeClr w14:val="tx1"/>
                        </w14:solidFill>
                      </w14:textFill>
                    </w:rPr>
                    <w:t>20</w:t>
                  </w:r>
                </w:p>
              </w:tc>
              <w:tc>
                <w:tcPr>
                  <w:tcW w:w="1016" w:type="dxa"/>
                  <w:vAlign w:val="center"/>
                </w:tcPr>
                <w:p w14:paraId="37F79FC0">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达标</w:t>
                  </w:r>
                </w:p>
              </w:tc>
            </w:tr>
          </w:tbl>
          <w:p w14:paraId="6263085F">
            <w:pPr>
              <w:pStyle w:val="301"/>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注：DA001（熔炼废气、造型、浇注废气、砂处理废气）执行《铸造工业大气污染物排放标准》（GB39726-2020）中表1金属熔炼（化）——电弧炉、感应电炉、精炼炉等其他熔炼（化）炉、保温炉颗粒物排放标准、《铸造工业大气污染物排放标准》（GB39726-2020）中表1造型——自硬砂及干砂等造型设备颗粒物排放标准、《铸造工业大气污染物排放标准》（GB39726-2020）中表1浇注——浇注区颗粒物排放标准、《铸造工业大气污染物排放标准》（GB39726-2020）中表1砂处理、废砂再生——砂处理及废砂再生设备颗粒物排放标准；DA002（落砂废气</w:t>
            </w:r>
          </w:p>
          <w:p w14:paraId="588A077F">
            <w:pPr>
              <w:pStyle w:val="30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打磨废气）执行《铸造工业大气污染物排放标准》（GB39726-2020）中表1落砂、清理——落砂机、抛（喷）丸机等清理设备颗粒物排放标准、</w:t>
            </w:r>
          </w:p>
          <w:p w14:paraId="497BE46B">
            <w:pPr>
              <w:pStyle w:val="301"/>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铸造工业大气污染物排放标准》（GB39726-2020）中表1其他生产工序或设备、设施颗粒物排放标准；DA003（抛丸废气）执行《铸造工业大气污染物排放标准》（GB39726-2020）中表1落砂、清理——落砂机、抛（喷）丸机等清理设备颗粒物排放标准。</w:t>
            </w:r>
          </w:p>
          <w:p w14:paraId="376BA9DB">
            <w:pPr>
              <w:pStyle w:val="301"/>
              <w:ind w:firstLine="0" w:firstLineChars="0"/>
              <w:rPr>
                <w:rFonts w:hint="eastAsia"/>
                <w:b/>
                <w:color w:val="000000" w:themeColor="text1"/>
                <w14:textFill>
                  <w14:solidFill>
                    <w14:schemeClr w14:val="tx1"/>
                  </w14:solidFill>
                </w14:textFill>
              </w:rPr>
            </w:pPr>
          </w:p>
          <w:p w14:paraId="7F5FA170">
            <w:pPr>
              <w:pStyle w:val="301"/>
              <w:ind w:firstLine="0" w:firstLineChars="0"/>
              <w:rPr>
                <w:rFonts w:hint="eastAsia"/>
                <w:b/>
                <w:color w:val="000000" w:themeColor="text1"/>
                <w14:textFill>
                  <w14:solidFill>
                    <w14:schemeClr w14:val="tx1"/>
                  </w14:solidFill>
                </w14:textFill>
              </w:rPr>
            </w:pPr>
          </w:p>
          <w:p w14:paraId="30F6B836">
            <w:pPr>
              <w:pStyle w:val="301"/>
              <w:ind w:firstLine="0" w:firstLineChars="0"/>
              <w:rPr>
                <w:b/>
                <w:color w:val="000000" w:themeColor="text1"/>
                <w14:textFill>
                  <w14:solidFill>
                    <w14:schemeClr w14:val="tx1"/>
                  </w14:solidFill>
                </w14:textFill>
              </w:rPr>
            </w:pPr>
            <w:r>
              <w:rPr>
                <w:rFonts w:hint="eastAsia"/>
                <w:b/>
                <w:color w:val="000000" w:themeColor="text1"/>
                <w14:textFill>
                  <w14:solidFill>
                    <w14:schemeClr w14:val="tx1"/>
                  </w14:solidFill>
                </w14:textFill>
              </w:rPr>
              <w:t>4、监测计划</w:t>
            </w:r>
          </w:p>
          <w:p w14:paraId="4DEDB146">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根据《排污单位自行监测技术指南 总则》（HJ819-2017）、《排污许可证申请与 核发技术规范 总则》（HJ942-2018），本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污染物监测计划见下表。</w:t>
            </w:r>
          </w:p>
          <w:p w14:paraId="21EB6FBF">
            <w:pPr>
              <w:pStyle w:val="301"/>
              <w:spacing w:line="240" w:lineRule="auto"/>
              <w:ind w:firstLine="422"/>
              <w:jc w:val="center"/>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表</w:t>
            </w:r>
            <w:r>
              <w:rPr>
                <w:rFonts w:hint="eastAsia"/>
                <w:b/>
                <w:color w:val="000000" w:themeColor="text1"/>
                <w:sz w:val="21"/>
                <w:szCs w:val="21"/>
                <w14:textFill>
                  <w14:solidFill>
                    <w14:schemeClr w14:val="tx1"/>
                  </w14:solidFill>
                </w14:textFill>
              </w:rPr>
              <w:t>4</w:t>
            </w:r>
            <w:r>
              <w:rPr>
                <w:b/>
                <w:color w:val="000000" w:themeColor="text1"/>
                <w:sz w:val="21"/>
                <w:szCs w:val="21"/>
                <w14:textFill>
                  <w14:solidFill>
                    <w14:schemeClr w14:val="tx1"/>
                  </w14:solidFill>
                </w14:textFill>
              </w:rPr>
              <w:t>-1</w:t>
            </w:r>
            <w:r>
              <w:rPr>
                <w:rFonts w:hint="eastAsia"/>
                <w:b/>
                <w:color w:val="000000" w:themeColor="text1"/>
                <w:sz w:val="21"/>
                <w:szCs w:val="21"/>
                <w:lang w:val="en-US" w:eastAsia="zh-CN"/>
                <w14:textFill>
                  <w14:solidFill>
                    <w14:schemeClr w14:val="tx1"/>
                  </w14:solidFill>
                </w14:textFill>
              </w:rPr>
              <w:t>4</w:t>
            </w:r>
            <w:r>
              <w:rPr>
                <w:rFonts w:hint="eastAsia"/>
                <w:b/>
                <w:color w:val="000000" w:themeColor="text1"/>
                <w:sz w:val="21"/>
                <w:szCs w:val="21"/>
                <w14:textFill>
                  <w14:solidFill>
                    <w14:schemeClr w14:val="tx1"/>
                  </w14:solidFill>
                </w14:textFill>
              </w:rPr>
              <w:t xml:space="preserve"> 有组织废气监测方案</w:t>
            </w:r>
          </w:p>
          <w:tbl>
            <w:tblPr>
              <w:tblStyle w:val="18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9"/>
              <w:gridCol w:w="1918"/>
              <w:gridCol w:w="1918"/>
              <w:gridCol w:w="1918"/>
            </w:tblGrid>
            <w:tr w14:paraId="72EE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9" w:type="dxa"/>
                  <w:vAlign w:val="center"/>
                </w:tcPr>
                <w:p w14:paraId="3C103AB2">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监测点位</w:t>
                  </w:r>
                </w:p>
              </w:tc>
              <w:tc>
                <w:tcPr>
                  <w:tcW w:w="1918" w:type="dxa"/>
                  <w:vAlign w:val="center"/>
                </w:tcPr>
                <w:p w14:paraId="55A88120">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监测指标</w:t>
                  </w:r>
                </w:p>
              </w:tc>
              <w:tc>
                <w:tcPr>
                  <w:tcW w:w="1918" w:type="dxa"/>
                  <w:vAlign w:val="center"/>
                </w:tcPr>
                <w:p w14:paraId="3C6E86E3">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监测频次</w:t>
                  </w:r>
                </w:p>
              </w:tc>
              <w:tc>
                <w:tcPr>
                  <w:tcW w:w="1918" w:type="dxa"/>
                  <w:vAlign w:val="center"/>
                </w:tcPr>
                <w:p w14:paraId="77397945">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执行排放标准</w:t>
                  </w:r>
                </w:p>
              </w:tc>
            </w:tr>
            <w:tr w14:paraId="38FBE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9" w:type="dxa"/>
                  <w:vAlign w:val="center"/>
                </w:tcPr>
                <w:p w14:paraId="4BD8B116">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DA00</w:t>
                  </w:r>
                  <w:r>
                    <w:rPr>
                      <w:color w:val="000000" w:themeColor="text1"/>
                      <w:sz w:val="21"/>
                      <w:szCs w:val="21"/>
                      <w14:textFill>
                        <w14:solidFill>
                          <w14:schemeClr w14:val="tx1"/>
                        </w14:solidFill>
                      </w14:textFill>
                    </w:rPr>
                    <w:t>4</w:t>
                  </w:r>
                </w:p>
              </w:tc>
              <w:tc>
                <w:tcPr>
                  <w:tcW w:w="1918" w:type="dxa"/>
                  <w:vAlign w:val="center"/>
                </w:tcPr>
                <w:p w14:paraId="530E8078">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颗粒物</w:t>
                  </w:r>
                </w:p>
              </w:tc>
              <w:tc>
                <w:tcPr>
                  <w:tcW w:w="1918" w:type="dxa"/>
                  <w:vAlign w:val="center"/>
                </w:tcPr>
                <w:p w14:paraId="6E634F83">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 次/季度</w:t>
                  </w:r>
                </w:p>
              </w:tc>
              <w:tc>
                <w:tcPr>
                  <w:tcW w:w="1918" w:type="dxa"/>
                  <w:vAlign w:val="center"/>
                </w:tcPr>
                <w:p w14:paraId="72EE3F36">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广东省《大气污染物排放限值》（</w:t>
                  </w:r>
                  <w:r>
                    <w:rPr>
                      <w:color w:val="000000" w:themeColor="text1"/>
                      <w:sz w:val="21"/>
                      <w:szCs w:val="21"/>
                      <w14:textFill>
                        <w14:solidFill>
                          <w14:schemeClr w14:val="tx1"/>
                        </w14:solidFill>
                      </w14:textFill>
                    </w:rPr>
                    <w:t>DB44/27-2001</w:t>
                  </w:r>
                  <w:r>
                    <w:rPr>
                      <w:rFonts w:hint="eastAsia"/>
                      <w:color w:val="000000" w:themeColor="text1"/>
                      <w:sz w:val="21"/>
                      <w:szCs w:val="21"/>
                      <w14:textFill>
                        <w14:solidFill>
                          <w14:schemeClr w14:val="tx1"/>
                        </w14:solidFill>
                      </w14:textFill>
                    </w:rPr>
                    <w:t>）第二时段排放浓度限值</w:t>
                  </w:r>
                </w:p>
              </w:tc>
            </w:tr>
            <w:tr w14:paraId="03ACC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919" w:type="dxa"/>
                  <w:vMerge w:val="restart"/>
                  <w:vAlign w:val="center"/>
                </w:tcPr>
                <w:p w14:paraId="38EE3BE3">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DA00</w:t>
                  </w:r>
                  <w:r>
                    <w:rPr>
                      <w:color w:val="000000" w:themeColor="text1"/>
                      <w:sz w:val="21"/>
                      <w:szCs w:val="21"/>
                      <w14:textFill>
                        <w14:solidFill>
                          <w14:schemeClr w14:val="tx1"/>
                        </w14:solidFill>
                      </w14:textFill>
                    </w:rPr>
                    <w:t>5</w:t>
                  </w:r>
                </w:p>
              </w:tc>
              <w:tc>
                <w:tcPr>
                  <w:tcW w:w="1918" w:type="dxa"/>
                  <w:vAlign w:val="center"/>
                </w:tcPr>
                <w:p w14:paraId="267C55B3">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苯系物</w:t>
                  </w:r>
                </w:p>
              </w:tc>
              <w:tc>
                <w:tcPr>
                  <w:tcW w:w="1918" w:type="dxa"/>
                  <w:vMerge w:val="restart"/>
                  <w:vAlign w:val="center"/>
                </w:tcPr>
                <w:p w14:paraId="0AF06C87">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 次/季度</w:t>
                  </w:r>
                </w:p>
              </w:tc>
              <w:tc>
                <w:tcPr>
                  <w:tcW w:w="1918" w:type="dxa"/>
                  <w:vMerge w:val="restart"/>
                  <w:vAlign w:val="center"/>
                </w:tcPr>
                <w:p w14:paraId="448028DF">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《固定污染源挥发性有机物综合排放标准》（DB44/2367-2022）表1排放限值要求</w:t>
                  </w:r>
                </w:p>
              </w:tc>
            </w:tr>
            <w:tr w14:paraId="7E33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919" w:type="dxa"/>
                  <w:vMerge w:val="continue"/>
                  <w:vAlign w:val="center"/>
                </w:tcPr>
                <w:p w14:paraId="160806B5">
                  <w:pPr>
                    <w:spacing w:before="145" w:line="223" w:lineRule="auto"/>
                    <w:rPr>
                      <w:rFonts w:ascii="宋体" w:hAnsi="宋体" w:eastAsia="宋体" w:cs="宋体"/>
                      <w:color w:val="000000" w:themeColor="text1"/>
                      <w:sz w:val="20"/>
                      <w14:textFill>
                        <w14:solidFill>
                          <w14:schemeClr w14:val="tx1"/>
                        </w14:solidFill>
                      </w14:textFill>
                    </w:rPr>
                  </w:pPr>
                </w:p>
              </w:tc>
              <w:tc>
                <w:tcPr>
                  <w:tcW w:w="1918" w:type="dxa"/>
                  <w:vAlign w:val="center"/>
                </w:tcPr>
                <w:p w14:paraId="4CF613BD">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TVO</w:t>
                  </w:r>
                  <w:r>
                    <w:rPr>
                      <w:color w:val="000000" w:themeColor="text1"/>
                      <w:sz w:val="21"/>
                      <w:szCs w:val="21"/>
                      <w14:textFill>
                        <w14:solidFill>
                          <w14:schemeClr w14:val="tx1"/>
                        </w14:solidFill>
                      </w14:textFill>
                    </w:rPr>
                    <w:t>C</w:t>
                  </w:r>
                </w:p>
              </w:tc>
              <w:tc>
                <w:tcPr>
                  <w:tcW w:w="1918" w:type="dxa"/>
                  <w:vMerge w:val="continue"/>
                  <w:vAlign w:val="center"/>
                </w:tcPr>
                <w:p w14:paraId="1760062A">
                  <w:pPr>
                    <w:spacing w:before="145" w:line="223" w:lineRule="auto"/>
                    <w:rPr>
                      <w:rFonts w:ascii="宋体" w:hAnsi="宋体" w:eastAsia="宋体" w:cs="宋体"/>
                      <w:color w:val="000000" w:themeColor="text1"/>
                      <w:sz w:val="20"/>
                      <w14:textFill>
                        <w14:solidFill>
                          <w14:schemeClr w14:val="tx1"/>
                        </w14:solidFill>
                      </w14:textFill>
                    </w:rPr>
                  </w:pPr>
                </w:p>
              </w:tc>
              <w:tc>
                <w:tcPr>
                  <w:tcW w:w="1918" w:type="dxa"/>
                  <w:vMerge w:val="continue"/>
                  <w:vAlign w:val="center"/>
                </w:tcPr>
                <w:p w14:paraId="59D93E31">
                  <w:pPr>
                    <w:spacing w:before="145" w:line="223" w:lineRule="auto"/>
                    <w:rPr>
                      <w:rFonts w:ascii="宋体" w:hAnsi="宋体" w:eastAsia="宋体" w:cs="宋体"/>
                      <w:color w:val="000000" w:themeColor="text1"/>
                      <w:sz w:val="20"/>
                      <w14:textFill>
                        <w14:solidFill>
                          <w14:schemeClr w14:val="tx1"/>
                        </w14:solidFill>
                      </w14:textFill>
                    </w:rPr>
                  </w:pPr>
                </w:p>
              </w:tc>
            </w:tr>
            <w:tr w14:paraId="008E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9" w:type="dxa"/>
                  <w:vMerge w:val="continue"/>
                  <w:vAlign w:val="center"/>
                </w:tcPr>
                <w:p w14:paraId="21B9D903">
                  <w:pPr>
                    <w:spacing w:before="145" w:line="223" w:lineRule="auto"/>
                    <w:rPr>
                      <w:rFonts w:ascii="宋体" w:hAnsi="宋体" w:eastAsia="宋体" w:cs="宋体"/>
                      <w:color w:val="000000" w:themeColor="text1"/>
                      <w:sz w:val="20"/>
                      <w14:textFill>
                        <w14:solidFill>
                          <w14:schemeClr w14:val="tx1"/>
                        </w14:solidFill>
                      </w14:textFill>
                    </w:rPr>
                  </w:pPr>
                </w:p>
              </w:tc>
              <w:tc>
                <w:tcPr>
                  <w:tcW w:w="1918" w:type="dxa"/>
                  <w:vAlign w:val="center"/>
                </w:tcPr>
                <w:p w14:paraId="71C6FAAA">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NMHC</w:t>
                  </w:r>
                </w:p>
              </w:tc>
              <w:tc>
                <w:tcPr>
                  <w:tcW w:w="1918" w:type="dxa"/>
                  <w:vMerge w:val="continue"/>
                  <w:vAlign w:val="center"/>
                </w:tcPr>
                <w:p w14:paraId="798B3CE5">
                  <w:pPr>
                    <w:spacing w:before="145" w:line="223" w:lineRule="auto"/>
                    <w:rPr>
                      <w:rFonts w:ascii="宋体" w:hAnsi="宋体" w:eastAsia="宋体" w:cs="宋体"/>
                      <w:color w:val="000000" w:themeColor="text1"/>
                      <w:sz w:val="20"/>
                      <w14:textFill>
                        <w14:solidFill>
                          <w14:schemeClr w14:val="tx1"/>
                        </w14:solidFill>
                      </w14:textFill>
                    </w:rPr>
                  </w:pPr>
                </w:p>
              </w:tc>
              <w:tc>
                <w:tcPr>
                  <w:tcW w:w="1918" w:type="dxa"/>
                  <w:vMerge w:val="continue"/>
                  <w:vAlign w:val="center"/>
                </w:tcPr>
                <w:p w14:paraId="6DAC282E">
                  <w:pPr>
                    <w:spacing w:before="145" w:line="223" w:lineRule="auto"/>
                    <w:rPr>
                      <w:rFonts w:ascii="宋体" w:hAnsi="宋体" w:eastAsia="宋体" w:cs="宋体"/>
                      <w:color w:val="000000" w:themeColor="text1"/>
                      <w:sz w:val="20"/>
                      <w14:textFill>
                        <w14:solidFill>
                          <w14:schemeClr w14:val="tx1"/>
                        </w14:solidFill>
                      </w14:textFill>
                    </w:rPr>
                  </w:pPr>
                </w:p>
              </w:tc>
            </w:tr>
            <w:tr w14:paraId="6E2D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9" w:type="dxa"/>
                  <w:vMerge w:val="continue"/>
                  <w:vAlign w:val="center"/>
                </w:tcPr>
                <w:p w14:paraId="4F67E057">
                  <w:pPr>
                    <w:pStyle w:val="301"/>
                    <w:ind w:firstLine="0" w:firstLineChars="0"/>
                    <w:jc w:val="center"/>
                    <w:rPr>
                      <w:color w:val="000000" w:themeColor="text1"/>
                      <w:sz w:val="21"/>
                      <w:szCs w:val="21"/>
                      <w14:textFill>
                        <w14:solidFill>
                          <w14:schemeClr w14:val="tx1"/>
                        </w14:solidFill>
                      </w14:textFill>
                    </w:rPr>
                  </w:pPr>
                </w:p>
              </w:tc>
              <w:tc>
                <w:tcPr>
                  <w:tcW w:w="1918" w:type="dxa"/>
                  <w:vAlign w:val="center"/>
                </w:tcPr>
                <w:p w14:paraId="5F1642EB">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颗粒物</w:t>
                  </w:r>
                </w:p>
              </w:tc>
              <w:tc>
                <w:tcPr>
                  <w:tcW w:w="1918" w:type="dxa"/>
                  <w:vAlign w:val="center"/>
                </w:tcPr>
                <w:p w14:paraId="74121EFD">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1 次/季度</w:t>
                  </w:r>
                </w:p>
              </w:tc>
              <w:tc>
                <w:tcPr>
                  <w:tcW w:w="1918" w:type="dxa"/>
                  <w:vAlign w:val="center"/>
                </w:tcPr>
                <w:p w14:paraId="763BC625">
                  <w:pPr>
                    <w:spacing w:before="145"/>
                    <w:jc w:val="center"/>
                    <w:rPr>
                      <w:rFonts w:ascii="宋体" w:hAnsi="宋体" w:eastAsia="宋体" w:cs="宋体"/>
                      <w:color w:val="000000" w:themeColor="text1"/>
                      <w:sz w:val="20"/>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广东省《大气污染物排放限值》（DB44/27-2001）第二时段排放浓度限值</w:t>
                  </w:r>
                </w:p>
              </w:tc>
            </w:tr>
            <w:tr w14:paraId="161E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9" w:type="dxa"/>
                  <w:vMerge w:val="continue"/>
                  <w:vAlign w:val="center"/>
                </w:tcPr>
                <w:p w14:paraId="512683E5">
                  <w:pPr>
                    <w:pStyle w:val="301"/>
                    <w:ind w:firstLine="0" w:firstLineChars="0"/>
                    <w:jc w:val="center"/>
                    <w:rPr>
                      <w:color w:val="000000" w:themeColor="text1"/>
                      <w:sz w:val="21"/>
                      <w:szCs w:val="21"/>
                      <w14:textFill>
                        <w14:solidFill>
                          <w14:schemeClr w14:val="tx1"/>
                        </w14:solidFill>
                      </w14:textFill>
                    </w:rPr>
                  </w:pPr>
                </w:p>
              </w:tc>
              <w:tc>
                <w:tcPr>
                  <w:tcW w:w="1918" w:type="dxa"/>
                  <w:vAlign w:val="center"/>
                </w:tcPr>
                <w:p w14:paraId="4D9EBBA9">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臭气浓度</w:t>
                  </w:r>
                </w:p>
              </w:tc>
              <w:tc>
                <w:tcPr>
                  <w:tcW w:w="1918" w:type="dxa"/>
                  <w:vAlign w:val="center"/>
                </w:tcPr>
                <w:p w14:paraId="5D922992">
                  <w:pPr>
                    <w:pStyle w:val="301"/>
                    <w:spacing w:line="240" w:lineRule="auto"/>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1次/季度</w:t>
                  </w:r>
                </w:p>
              </w:tc>
              <w:tc>
                <w:tcPr>
                  <w:tcW w:w="1918" w:type="dxa"/>
                  <w:vAlign w:val="center"/>
                </w:tcPr>
                <w:p w14:paraId="4B51A473">
                  <w:pPr>
                    <w:spacing w:before="145"/>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《恶臭污染物排放标准》（GB14554-93）表2恶臭污染物排放标准值</w:t>
                  </w:r>
                </w:p>
              </w:tc>
            </w:tr>
          </w:tbl>
          <w:p w14:paraId="0A7A13BC">
            <w:pPr>
              <w:pStyle w:val="301"/>
              <w:ind w:firstLine="0" w:firstLineChars="0"/>
              <w:rPr>
                <w:b/>
                <w:color w:val="000000" w:themeColor="text1"/>
                <w14:textFill>
                  <w14:solidFill>
                    <w14:schemeClr w14:val="tx1"/>
                  </w14:solidFill>
                </w14:textFill>
              </w:rPr>
            </w:pPr>
          </w:p>
          <w:p w14:paraId="0853C2E1">
            <w:pPr>
              <w:pStyle w:val="301"/>
              <w:spacing w:line="240" w:lineRule="auto"/>
              <w:ind w:firstLine="0" w:firstLineChars="0"/>
              <w:jc w:val="center"/>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表</w:t>
            </w:r>
            <w:r>
              <w:rPr>
                <w:rFonts w:hint="eastAsia"/>
                <w:b/>
                <w:color w:val="000000" w:themeColor="text1"/>
                <w:sz w:val="21"/>
                <w:szCs w:val="21"/>
                <w14:textFill>
                  <w14:solidFill>
                    <w14:schemeClr w14:val="tx1"/>
                  </w14:solidFill>
                </w14:textFill>
              </w:rPr>
              <w:t>4</w:t>
            </w:r>
            <w:r>
              <w:rPr>
                <w:b/>
                <w:color w:val="000000" w:themeColor="text1"/>
                <w:sz w:val="21"/>
                <w:szCs w:val="21"/>
                <w14:textFill>
                  <w14:solidFill>
                    <w14:schemeClr w14:val="tx1"/>
                  </w14:solidFill>
                </w14:textFill>
              </w:rPr>
              <w:t>-1</w:t>
            </w:r>
            <w:r>
              <w:rPr>
                <w:rFonts w:hint="eastAsia"/>
                <w:b/>
                <w:color w:val="000000" w:themeColor="text1"/>
                <w:sz w:val="21"/>
                <w:szCs w:val="21"/>
                <w:lang w:val="en-US" w:eastAsia="zh-CN"/>
                <w14:textFill>
                  <w14:solidFill>
                    <w14:schemeClr w14:val="tx1"/>
                  </w14:solidFill>
                </w14:textFill>
              </w:rPr>
              <w:t>5</w:t>
            </w:r>
            <w:r>
              <w:rPr>
                <w:rFonts w:hint="eastAsia"/>
                <w:b/>
                <w:color w:val="000000" w:themeColor="text1"/>
                <w:sz w:val="21"/>
                <w:szCs w:val="21"/>
                <w14:textFill>
                  <w14:solidFill>
                    <w14:schemeClr w14:val="tx1"/>
                  </w14:solidFill>
                </w14:textFill>
              </w:rPr>
              <w:t xml:space="preserve"> 无组织废气监测计划</w:t>
            </w:r>
          </w:p>
          <w:tbl>
            <w:tblPr>
              <w:tblStyle w:val="3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5"/>
              <w:gridCol w:w="1014"/>
              <w:gridCol w:w="1123"/>
              <w:gridCol w:w="1407"/>
              <w:gridCol w:w="3154"/>
            </w:tblGrid>
            <w:tr w14:paraId="2191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 w:hRule="atLeast"/>
                <w:jc w:val="center"/>
              </w:trPr>
              <w:tc>
                <w:tcPr>
                  <w:tcW w:w="635" w:type="pct"/>
                  <w:vAlign w:val="center"/>
                </w:tcPr>
                <w:p w14:paraId="6414555C">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监测点位</w:t>
                  </w:r>
                </w:p>
              </w:tc>
              <w:tc>
                <w:tcPr>
                  <w:tcW w:w="661" w:type="pct"/>
                  <w:vAlign w:val="center"/>
                </w:tcPr>
                <w:p w14:paraId="7B1B9B8F">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监测指标</w:t>
                  </w:r>
                </w:p>
              </w:tc>
              <w:tc>
                <w:tcPr>
                  <w:tcW w:w="732" w:type="pct"/>
                  <w:vAlign w:val="center"/>
                </w:tcPr>
                <w:p w14:paraId="6D2BC7CA">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监测频次</w:t>
                  </w:r>
                </w:p>
              </w:tc>
              <w:tc>
                <w:tcPr>
                  <w:tcW w:w="917" w:type="pct"/>
                  <w:vAlign w:val="center"/>
                </w:tcPr>
                <w:p w14:paraId="439C808D">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监测方式</w:t>
                  </w:r>
                </w:p>
              </w:tc>
              <w:tc>
                <w:tcPr>
                  <w:tcW w:w="2056" w:type="pct"/>
                  <w:vAlign w:val="center"/>
                </w:tcPr>
                <w:p w14:paraId="65FC77EA">
                  <w:pPr>
                    <w:pStyle w:val="301"/>
                    <w:spacing w:line="240" w:lineRule="auto"/>
                    <w:ind w:firstLine="0" w:firstLineChars="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执行排放标准</w:t>
                  </w:r>
                </w:p>
              </w:tc>
            </w:tr>
            <w:tr w14:paraId="52FB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 w:hRule="atLeast"/>
                <w:jc w:val="center"/>
              </w:trPr>
              <w:tc>
                <w:tcPr>
                  <w:tcW w:w="634" w:type="pct"/>
                  <w:vMerge w:val="restart"/>
                  <w:vAlign w:val="center"/>
                </w:tcPr>
                <w:p w14:paraId="594E9D07">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厂界上风向、下风向</w:t>
                  </w:r>
                </w:p>
              </w:tc>
              <w:tc>
                <w:tcPr>
                  <w:tcW w:w="660" w:type="pct"/>
                  <w:vAlign w:val="center"/>
                </w:tcPr>
                <w:p w14:paraId="4C94E143">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非甲烷总烃</w:t>
                  </w:r>
                  <w:r>
                    <w:rPr>
                      <w:color w:val="000000" w:themeColor="text1"/>
                      <w:sz w:val="21"/>
                      <w:szCs w:val="21"/>
                      <w14:textFill>
                        <w14:solidFill>
                          <w14:schemeClr w14:val="tx1"/>
                        </w14:solidFill>
                      </w14:textFill>
                    </w:rPr>
                    <w:t>、苯系物</w:t>
                  </w:r>
                </w:p>
              </w:tc>
              <w:tc>
                <w:tcPr>
                  <w:tcW w:w="732" w:type="pct"/>
                  <w:vAlign w:val="center"/>
                </w:tcPr>
                <w:p w14:paraId="0692A8C0">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1次/季度</w:t>
                  </w:r>
                </w:p>
              </w:tc>
              <w:tc>
                <w:tcPr>
                  <w:tcW w:w="917" w:type="pct"/>
                  <w:vMerge w:val="restart"/>
                  <w:vAlign w:val="center"/>
                </w:tcPr>
                <w:p w14:paraId="43608652">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委托资质单位监测</w:t>
                  </w:r>
                </w:p>
              </w:tc>
              <w:tc>
                <w:tcPr>
                  <w:tcW w:w="2055" w:type="pct"/>
                  <w:vAlign w:val="center"/>
                </w:tcPr>
                <w:p w14:paraId="690DD6F2">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广东省《大气污染物排放限值》（DB 44/27－2001）第二时段无组织排放监控浓度限值</w:t>
                  </w:r>
                </w:p>
              </w:tc>
            </w:tr>
            <w:tr w14:paraId="0328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 w:hRule="atLeast"/>
                <w:jc w:val="center"/>
              </w:trPr>
              <w:tc>
                <w:tcPr>
                  <w:tcW w:w="635" w:type="pct"/>
                  <w:vMerge w:val="continue"/>
                  <w:vAlign w:val="center"/>
                </w:tcPr>
                <w:p w14:paraId="27185F86">
                  <w:pPr>
                    <w:pStyle w:val="301"/>
                    <w:spacing w:line="240" w:lineRule="auto"/>
                    <w:ind w:firstLine="0" w:firstLineChars="0"/>
                    <w:jc w:val="center"/>
                    <w:rPr>
                      <w:color w:val="000000" w:themeColor="text1"/>
                      <w:sz w:val="21"/>
                      <w:szCs w:val="21"/>
                      <w14:textFill>
                        <w14:solidFill>
                          <w14:schemeClr w14:val="tx1"/>
                        </w14:solidFill>
                      </w14:textFill>
                    </w:rPr>
                  </w:pPr>
                </w:p>
              </w:tc>
              <w:tc>
                <w:tcPr>
                  <w:tcW w:w="661" w:type="pct"/>
                  <w:vAlign w:val="center"/>
                </w:tcPr>
                <w:p w14:paraId="6D155A23">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颗粒物</w:t>
                  </w:r>
                </w:p>
              </w:tc>
              <w:tc>
                <w:tcPr>
                  <w:tcW w:w="732" w:type="pct"/>
                  <w:vAlign w:val="center"/>
                </w:tcPr>
                <w:p w14:paraId="672FF556">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1次/季度</w:t>
                  </w:r>
                </w:p>
              </w:tc>
              <w:tc>
                <w:tcPr>
                  <w:tcW w:w="917" w:type="pct"/>
                  <w:vMerge w:val="continue"/>
                  <w:vAlign w:val="center"/>
                </w:tcPr>
                <w:p w14:paraId="35E3D190">
                  <w:pPr>
                    <w:pStyle w:val="301"/>
                    <w:spacing w:line="240" w:lineRule="auto"/>
                    <w:ind w:firstLine="0" w:firstLineChars="0"/>
                    <w:jc w:val="center"/>
                    <w:rPr>
                      <w:color w:val="000000" w:themeColor="text1"/>
                      <w:sz w:val="21"/>
                      <w:szCs w:val="21"/>
                      <w14:textFill>
                        <w14:solidFill>
                          <w14:schemeClr w14:val="tx1"/>
                        </w14:solidFill>
                      </w14:textFill>
                    </w:rPr>
                  </w:pPr>
                </w:p>
              </w:tc>
              <w:tc>
                <w:tcPr>
                  <w:tcW w:w="2056" w:type="pct"/>
                  <w:vAlign w:val="center"/>
                </w:tcPr>
                <w:p w14:paraId="7FEB5BAC">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广东省《大气污染物排放限值》（DB 44/27－2001）第二时段无组织排放监控浓度限值</w:t>
                  </w:r>
                </w:p>
              </w:tc>
            </w:tr>
            <w:tr w14:paraId="7957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 w:hRule="atLeast"/>
                <w:jc w:val="center"/>
              </w:trPr>
              <w:tc>
                <w:tcPr>
                  <w:tcW w:w="635" w:type="pct"/>
                  <w:vMerge w:val="continue"/>
                  <w:vAlign w:val="center"/>
                </w:tcPr>
                <w:p w14:paraId="7790ED08">
                  <w:pPr>
                    <w:pStyle w:val="301"/>
                    <w:spacing w:line="240" w:lineRule="auto"/>
                    <w:ind w:firstLine="0" w:firstLineChars="0"/>
                    <w:jc w:val="center"/>
                    <w:rPr>
                      <w:color w:val="000000" w:themeColor="text1"/>
                      <w:sz w:val="21"/>
                      <w:szCs w:val="21"/>
                      <w14:textFill>
                        <w14:solidFill>
                          <w14:schemeClr w14:val="tx1"/>
                        </w14:solidFill>
                      </w14:textFill>
                    </w:rPr>
                  </w:pPr>
                </w:p>
              </w:tc>
              <w:tc>
                <w:tcPr>
                  <w:tcW w:w="661" w:type="pct"/>
                  <w:vAlign w:val="center"/>
                </w:tcPr>
                <w:p w14:paraId="0DE24884">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臭气浓度</w:t>
                  </w:r>
                </w:p>
              </w:tc>
              <w:tc>
                <w:tcPr>
                  <w:tcW w:w="732" w:type="pct"/>
                  <w:vAlign w:val="center"/>
                </w:tcPr>
                <w:p w14:paraId="3D04A620">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1次/季度</w:t>
                  </w:r>
                </w:p>
              </w:tc>
              <w:tc>
                <w:tcPr>
                  <w:tcW w:w="917" w:type="pct"/>
                  <w:vMerge w:val="continue"/>
                  <w:vAlign w:val="center"/>
                </w:tcPr>
                <w:p w14:paraId="7665FFF9">
                  <w:pPr>
                    <w:pStyle w:val="301"/>
                    <w:spacing w:line="240" w:lineRule="auto"/>
                    <w:ind w:firstLine="0" w:firstLineChars="0"/>
                    <w:jc w:val="center"/>
                    <w:rPr>
                      <w:color w:val="000000" w:themeColor="text1"/>
                      <w:sz w:val="21"/>
                      <w:szCs w:val="21"/>
                      <w14:textFill>
                        <w14:solidFill>
                          <w14:schemeClr w14:val="tx1"/>
                        </w14:solidFill>
                      </w14:textFill>
                    </w:rPr>
                  </w:pPr>
                </w:p>
              </w:tc>
              <w:tc>
                <w:tcPr>
                  <w:tcW w:w="2056" w:type="pct"/>
                  <w:vAlign w:val="center"/>
                </w:tcPr>
                <w:p w14:paraId="4219F84E">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《恶臭污染物排放标准》（GB14554-93）表1恶臭污染物厂界二级新扩改建标准值</w:t>
                  </w:r>
                </w:p>
              </w:tc>
            </w:tr>
            <w:tr w14:paraId="163A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6" w:hRule="atLeast"/>
                <w:jc w:val="center"/>
              </w:trPr>
              <w:tc>
                <w:tcPr>
                  <w:tcW w:w="635" w:type="pct"/>
                  <w:vAlign w:val="center"/>
                </w:tcPr>
                <w:p w14:paraId="50F0CECE">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厂区内</w:t>
                  </w:r>
                </w:p>
              </w:tc>
              <w:tc>
                <w:tcPr>
                  <w:tcW w:w="661" w:type="pct"/>
                  <w:vAlign w:val="center"/>
                </w:tcPr>
                <w:p w14:paraId="413A8CA8">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非甲烷总烃</w:t>
                  </w:r>
                </w:p>
              </w:tc>
              <w:tc>
                <w:tcPr>
                  <w:tcW w:w="732" w:type="pct"/>
                  <w:vAlign w:val="center"/>
                </w:tcPr>
                <w:p w14:paraId="7E32CF03">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1次/季度</w:t>
                  </w:r>
                </w:p>
              </w:tc>
              <w:tc>
                <w:tcPr>
                  <w:tcW w:w="917" w:type="pct"/>
                  <w:vMerge w:val="continue"/>
                  <w:vAlign w:val="center"/>
                </w:tcPr>
                <w:p w14:paraId="7E3C98F4">
                  <w:pPr>
                    <w:pStyle w:val="301"/>
                    <w:spacing w:line="240" w:lineRule="auto"/>
                    <w:ind w:firstLine="0" w:firstLineChars="0"/>
                    <w:jc w:val="center"/>
                    <w:rPr>
                      <w:color w:val="000000" w:themeColor="text1"/>
                      <w:sz w:val="21"/>
                      <w:szCs w:val="21"/>
                      <w14:textFill>
                        <w14:solidFill>
                          <w14:schemeClr w14:val="tx1"/>
                        </w14:solidFill>
                      </w14:textFill>
                    </w:rPr>
                  </w:pPr>
                </w:p>
              </w:tc>
              <w:tc>
                <w:tcPr>
                  <w:tcW w:w="2056" w:type="pct"/>
                  <w:vAlign w:val="center"/>
                </w:tcPr>
                <w:p w14:paraId="75C4B403">
                  <w:pPr>
                    <w:pStyle w:val="301"/>
                    <w:spacing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《固定污染源挥发性有机物综合排放标准》（DB44/2367-2022）表3限值</w:t>
                  </w:r>
                </w:p>
              </w:tc>
            </w:tr>
          </w:tbl>
          <w:p w14:paraId="54EEC17D">
            <w:pPr>
              <w:pStyle w:val="301"/>
              <w:rPr>
                <w:color w:val="000000" w:themeColor="text1"/>
                <w14:textFill>
                  <w14:solidFill>
                    <w14:schemeClr w14:val="tx1"/>
                  </w14:solidFill>
                </w14:textFill>
              </w:rPr>
            </w:pPr>
            <w:r>
              <w:rPr>
                <w:color w:val="000000" w:themeColor="text1"/>
                <w14:textFill>
                  <w14:solidFill>
                    <w14:schemeClr w14:val="tx1"/>
                  </w14:solidFill>
                </w14:textFill>
              </w:rPr>
              <w:t>根据2024年</w:t>
            </w:r>
            <w:r>
              <w:rPr>
                <w:rFonts w:hint="eastAsia"/>
                <w:color w:val="000000" w:themeColor="text1"/>
                <w14:textFill>
                  <w14:solidFill>
                    <w14:schemeClr w14:val="tx1"/>
                  </w14:solidFill>
                </w14:textFill>
              </w:rPr>
              <w:t>韶关市</w:t>
            </w:r>
            <w:r>
              <w:rPr>
                <w:color w:val="000000" w:themeColor="text1"/>
                <w14:textFill>
                  <w14:solidFill>
                    <w14:schemeClr w14:val="tx1"/>
                  </w14:solidFill>
                </w14:textFill>
              </w:rPr>
              <w:t>生态环境局公布的《</w:t>
            </w:r>
            <w:r>
              <w:rPr>
                <w:rFonts w:hint="eastAsia"/>
                <w:color w:val="000000" w:themeColor="text1"/>
                <w14:textFill>
                  <w14:solidFill>
                    <w14:schemeClr w14:val="tx1"/>
                  </w14:solidFill>
                </w14:textFill>
              </w:rPr>
              <w:t>202</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年韶关市生态环境状况公报</w:t>
            </w:r>
            <w:r>
              <w:rPr>
                <w:color w:val="000000" w:themeColor="text1"/>
                <w14:textFill>
                  <w14:solidFill>
                    <w14:schemeClr w14:val="tx1"/>
                  </w14:solidFill>
                </w14:textFill>
              </w:rPr>
              <w:t>》中</w:t>
            </w:r>
            <w:r>
              <w:rPr>
                <w:rFonts w:hint="eastAsia"/>
                <w:color w:val="000000" w:themeColor="text1"/>
                <w14:textFill>
                  <w14:solidFill>
                    <w14:schemeClr w14:val="tx1"/>
                  </w14:solidFill>
                </w14:textFill>
              </w:rPr>
              <w:t>韶关市</w:t>
            </w:r>
            <w:r>
              <w:rPr>
                <w:color w:val="000000" w:themeColor="text1"/>
                <w14:textFill>
                  <w14:solidFill>
                    <w14:schemeClr w14:val="tx1"/>
                  </w14:solidFill>
                </w14:textFill>
              </w:rPr>
              <w:t>环境空气质量数据，项目所在</w:t>
            </w:r>
            <w:r>
              <w:rPr>
                <w:rFonts w:hint="eastAsia"/>
                <w:color w:val="000000" w:themeColor="text1"/>
                <w14:textFill>
                  <w14:solidFill>
                    <w14:schemeClr w14:val="tx1"/>
                  </w14:solidFill>
                </w14:textFill>
              </w:rPr>
              <w:t>区域</w:t>
            </w:r>
            <w:r>
              <w:rPr>
                <w:color w:val="000000" w:themeColor="text1"/>
                <w14:textFill>
                  <w14:solidFill>
                    <w14:schemeClr w14:val="tx1"/>
                  </w14:solidFill>
                </w14:textFill>
              </w:rPr>
              <w:t>判定为达标区。</w:t>
            </w:r>
          </w:p>
          <w:p w14:paraId="6681B7B8">
            <w:pPr>
              <w:pStyle w:val="301"/>
              <w:rPr>
                <w:color w:val="000000" w:themeColor="text1"/>
                <w14:textFill>
                  <w14:solidFill>
                    <w14:schemeClr w14:val="tx1"/>
                  </w14:solidFill>
                </w14:textFill>
              </w:rPr>
            </w:pPr>
            <w:r>
              <w:rPr>
                <w:rFonts w:hint="eastAsia"/>
                <w:bCs/>
                <w:color w:val="000000" w:themeColor="text1"/>
                <w14:textFill>
                  <w14:solidFill>
                    <w14:schemeClr w14:val="tx1"/>
                  </w14:solidFill>
                </w14:textFill>
              </w:rPr>
              <w:t>本</w:t>
            </w:r>
            <w:r>
              <w:rPr>
                <w:rFonts w:hint="eastAsia"/>
                <w:bCs/>
                <w:color w:val="000000" w:themeColor="text1"/>
                <w:lang w:eastAsia="zh-CN"/>
                <w14:textFill>
                  <w14:solidFill>
                    <w14:schemeClr w14:val="tx1"/>
                  </w14:solidFill>
                </w14:textFill>
              </w:rPr>
              <w:t>项目</w:t>
            </w:r>
            <w:r>
              <w:rPr>
                <w:rFonts w:hint="eastAsia"/>
                <w:bCs/>
                <w:color w:val="000000" w:themeColor="text1"/>
                <w14:textFill>
                  <w14:solidFill>
                    <w14:schemeClr w14:val="tx1"/>
                  </w14:solidFill>
                </w14:textFill>
              </w:rPr>
              <w:t>位于</w:t>
            </w:r>
            <w:r>
              <w:rPr>
                <w:bCs/>
                <w:color w:val="000000" w:themeColor="text1"/>
                <w14:textFill>
                  <w14:solidFill>
                    <w14:schemeClr w14:val="tx1"/>
                  </w14:solidFill>
                </w14:textFill>
              </w:rPr>
              <w:t>韶关市乐昌市乐昌产业转移工业园环园东路</w:t>
            </w:r>
            <w:r>
              <w:rPr>
                <w:rFonts w:hint="eastAsia"/>
                <w:bCs/>
                <w:color w:val="000000" w:themeColor="text1"/>
                <w14:textFill>
                  <w14:solidFill>
                    <w14:schemeClr w14:val="tx1"/>
                  </w14:solidFill>
                </w14:textFill>
              </w:rPr>
              <w:t>1</w:t>
            </w:r>
            <w:r>
              <w:rPr>
                <w:bCs/>
                <w:color w:val="000000" w:themeColor="text1"/>
                <w14:textFill>
                  <w14:solidFill>
                    <w14:schemeClr w14:val="tx1"/>
                  </w14:solidFill>
                </w14:textFill>
              </w:rPr>
              <w:t>9号</w:t>
            </w:r>
            <w:r>
              <w:rPr>
                <w:rFonts w:hint="eastAsia"/>
                <w:bCs/>
                <w:color w:val="000000" w:themeColor="text1"/>
                <w14:textFill>
                  <w14:solidFill>
                    <w14:schemeClr w14:val="tx1"/>
                  </w14:solidFill>
                </w14:textFill>
              </w:rPr>
              <w:t>，项目厂界外5</w:t>
            </w:r>
            <w:r>
              <w:rPr>
                <w:bCs/>
                <w:color w:val="000000" w:themeColor="text1"/>
                <w14:textFill>
                  <w14:solidFill>
                    <w14:schemeClr w14:val="tx1"/>
                  </w14:solidFill>
                </w14:textFill>
              </w:rPr>
              <w:t>00米范围内无自然保护区、名胜古迹、珍贵动植物栖息地、人文遗址、文物保护单位等敏感目标，有王屋村、牛坪岗、王屋村村委会</w:t>
            </w:r>
            <w:r>
              <w:rPr>
                <w:color w:val="000000" w:themeColor="text1"/>
                <w14:textFill>
                  <w14:solidFill>
                    <w14:schemeClr w14:val="tx1"/>
                  </w14:solidFill>
                </w14:textFill>
              </w:rPr>
              <w:t>，最近的环境敏感点为</w:t>
            </w:r>
            <w:r>
              <w:rPr>
                <w:rFonts w:hint="eastAsia"/>
                <w:color w:val="000000" w:themeColor="text1"/>
                <w14:textFill>
                  <w14:solidFill>
                    <w14:schemeClr w14:val="tx1"/>
                  </w14:solidFill>
                </w14:textFill>
              </w:rPr>
              <w:t>东北面1</w:t>
            </w:r>
            <w:r>
              <w:rPr>
                <w:color w:val="000000" w:themeColor="text1"/>
                <w14:textFill>
                  <w14:solidFill>
                    <w14:schemeClr w14:val="tx1"/>
                  </w14:solidFill>
                </w14:textFill>
              </w:rPr>
              <w:t>20m的</w:t>
            </w:r>
            <w:r>
              <w:rPr>
                <w:rFonts w:hint="eastAsia"/>
                <w:bCs/>
                <w:color w:val="000000" w:themeColor="text1"/>
                <w14:textFill>
                  <w14:solidFill>
                    <w14:schemeClr w14:val="tx1"/>
                  </w14:solidFill>
                </w14:textFill>
              </w:rPr>
              <w:t>王屋村</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项目</w:t>
            </w:r>
            <w:r>
              <w:rPr>
                <w:color w:val="000000" w:themeColor="text1"/>
                <w14:textFill>
                  <w14:solidFill>
                    <w14:schemeClr w14:val="tx1"/>
                  </w14:solidFill>
                </w14:textFill>
              </w:rPr>
              <w:t>废气处理达标后对周边的敏感点影响较小</w:t>
            </w:r>
            <w:r>
              <w:rPr>
                <w:rFonts w:hint="eastAsia"/>
                <w:color w:val="000000" w:themeColor="text1"/>
                <w14:textFill>
                  <w14:solidFill>
                    <w14:schemeClr w14:val="tx1"/>
                  </w14:solidFill>
                </w14:textFill>
              </w:rPr>
              <w:t>。</w:t>
            </w:r>
          </w:p>
          <w:p w14:paraId="1971E97C">
            <w:pPr>
              <w:pStyle w:val="301"/>
              <w:ind w:firstLine="0" w:firstLineChars="0"/>
              <w:rPr>
                <w:b/>
                <w:color w:val="000000" w:themeColor="text1"/>
                <w14:textFill>
                  <w14:solidFill>
                    <w14:schemeClr w14:val="tx1"/>
                  </w14:solidFill>
                </w14:textFill>
              </w:rPr>
            </w:pPr>
            <w:r>
              <w:rPr>
                <w:b/>
                <w:color w:val="000000" w:themeColor="text1"/>
                <w14:textFill>
                  <w14:solidFill>
                    <w14:schemeClr w14:val="tx1"/>
                  </w14:solidFill>
                </w14:textFill>
              </w:rPr>
              <w:t>（</w:t>
            </w:r>
            <w:r>
              <w:rPr>
                <w:rFonts w:hint="eastAsia"/>
                <w:b/>
                <w:color w:val="000000" w:themeColor="text1"/>
                <w14:textFill>
                  <w14:solidFill>
                    <w14:schemeClr w14:val="tx1"/>
                  </w14:solidFill>
                </w14:textFill>
              </w:rPr>
              <w:t>1</w:t>
            </w:r>
            <w:r>
              <w:rPr>
                <w:b/>
                <w:color w:val="000000" w:themeColor="text1"/>
                <w14:textFill>
                  <w14:solidFill>
                    <w14:schemeClr w14:val="tx1"/>
                  </w14:solidFill>
                </w14:textFill>
              </w:rPr>
              <w:t>）制孔废气、抛丸废气</w:t>
            </w:r>
          </w:p>
          <w:p w14:paraId="4216F324">
            <w:pPr>
              <w:pStyle w:val="301"/>
              <w:rPr>
                <w:color w:val="000000" w:themeColor="text1"/>
                <w14:textFill>
                  <w14:solidFill>
                    <w14:schemeClr w14:val="tx1"/>
                  </w14:solidFill>
                </w14:textFill>
              </w:rPr>
            </w:pPr>
            <w:r>
              <w:rPr>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color w:val="000000" w:themeColor="text1"/>
                <w14:textFill>
                  <w14:solidFill>
                    <w14:schemeClr w14:val="tx1"/>
                  </w14:solidFill>
                </w14:textFill>
              </w:rPr>
              <w:t>产生的制孔废气经过集气罩收集</w:t>
            </w:r>
            <w:r>
              <w:rPr>
                <w:rFonts w:hint="eastAsia"/>
                <w:color w:val="000000" w:themeColor="text1"/>
                <w14:textFill>
                  <w14:solidFill>
                    <w14:schemeClr w14:val="tx1"/>
                  </w14:solidFill>
                </w14:textFill>
              </w:rPr>
              <w:t>后</w:t>
            </w:r>
            <w:r>
              <w:rPr>
                <w:color w:val="000000" w:themeColor="text1"/>
                <w14:textFill>
                  <w14:solidFill>
                    <w14:schemeClr w14:val="tx1"/>
                  </w14:solidFill>
                </w14:textFill>
              </w:rPr>
              <w:t>通过</w:t>
            </w:r>
            <w:r>
              <w:rPr>
                <w:rFonts w:hint="eastAsia"/>
                <w:color w:val="000000" w:themeColor="text1"/>
                <w14:textFill>
                  <w14:solidFill>
                    <w14:schemeClr w14:val="tx1"/>
                  </w14:solidFill>
                </w14:textFill>
              </w:rPr>
              <w:t>1套</w:t>
            </w:r>
            <w:r>
              <w:rPr>
                <w:color w:val="000000" w:themeColor="text1"/>
                <w14:textFill>
                  <w14:solidFill>
                    <w14:schemeClr w14:val="tx1"/>
                  </w14:solidFill>
                </w14:textFill>
              </w:rPr>
              <w:t>布袋除尘器处理后，汇同经抛丸设备</w:t>
            </w:r>
            <w:r>
              <w:rPr>
                <w:rFonts w:hint="eastAsia"/>
                <w:color w:val="000000" w:themeColor="text1"/>
                <w14:textFill>
                  <w14:solidFill>
                    <w14:schemeClr w14:val="tx1"/>
                  </w14:solidFill>
                </w14:textFill>
              </w:rPr>
              <w:t>自带</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袋式</w:t>
            </w:r>
            <w:r>
              <w:rPr>
                <w:color w:val="000000" w:themeColor="text1"/>
                <w14:textFill>
                  <w14:solidFill>
                    <w14:schemeClr w14:val="tx1"/>
                  </w14:solidFill>
                </w14:textFill>
              </w:rPr>
              <w:t>除尘器处理后的粉尘</w:t>
            </w:r>
            <w:r>
              <w:rPr>
                <w:rFonts w:hint="eastAsia"/>
                <w:color w:val="000000" w:themeColor="text1"/>
                <w14:textFill>
                  <w14:solidFill>
                    <w14:schemeClr w14:val="tx1"/>
                  </w14:solidFill>
                </w14:textFill>
              </w:rPr>
              <w:t>通过1</w:t>
            </w:r>
            <w:r>
              <w:rPr>
                <w:color w:val="000000" w:themeColor="text1"/>
                <w14:textFill>
                  <w14:solidFill>
                    <w14:schemeClr w14:val="tx1"/>
                  </w14:solidFill>
                </w14:textFill>
              </w:rPr>
              <w:t>5m排气筒高空排放（</w:t>
            </w:r>
            <w:r>
              <w:rPr>
                <w:rFonts w:hint="eastAsia"/>
                <w:color w:val="000000" w:themeColor="text1"/>
                <w14:textFill>
                  <w14:solidFill>
                    <w14:schemeClr w14:val="tx1"/>
                  </w14:solidFill>
                </w14:textFill>
              </w:rPr>
              <w:t>D</w:t>
            </w:r>
            <w:r>
              <w:rPr>
                <w:color w:val="000000" w:themeColor="text1"/>
                <w14:textFill>
                  <w14:solidFill>
                    <w14:schemeClr w14:val="tx1"/>
                  </w14:solidFill>
                </w14:textFill>
              </w:rPr>
              <w:t>A004）其污染物——颗粒物有组织排放浓度满足</w:t>
            </w:r>
            <w:r>
              <w:rPr>
                <w:rFonts w:hint="eastAsia"/>
                <w:color w:val="000000" w:themeColor="text1"/>
                <w14:textFill>
                  <w14:solidFill>
                    <w14:schemeClr w14:val="tx1"/>
                  </w14:solidFill>
                </w14:textFill>
              </w:rPr>
              <w:t>广东省《大气污染物排放限值》（DB44/27-2001）第二时段排放浓度限值，厂区内排放浓度可满足广东省《大气污染物排放限值》（D</w:t>
            </w:r>
            <w:r>
              <w:rPr>
                <w:color w:val="000000" w:themeColor="text1"/>
                <w14:textFill>
                  <w14:solidFill>
                    <w14:schemeClr w14:val="tx1"/>
                  </w14:solidFill>
                </w14:textFill>
              </w:rPr>
              <w:t>B44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27</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2001</w:t>
            </w:r>
            <w:r>
              <w:rPr>
                <w:rFonts w:hint="eastAsia"/>
                <w:color w:val="000000" w:themeColor="text1"/>
                <w14:textFill>
                  <w14:solidFill>
                    <w14:schemeClr w14:val="tx1"/>
                  </w14:solidFill>
                </w14:textFill>
              </w:rPr>
              <w:t>）第二时段无组织排放监控浓度限值，对周围环境影响不大。</w:t>
            </w:r>
          </w:p>
          <w:p w14:paraId="057A95A8">
            <w:pPr>
              <w:pStyle w:val="301"/>
              <w:ind w:firstLine="0" w:firstLineChars="0"/>
              <w:rPr>
                <w:b/>
                <w:color w:val="000000" w:themeColor="text1"/>
                <w14:textFill>
                  <w14:solidFill>
                    <w14:schemeClr w14:val="tx1"/>
                  </w14:solidFill>
                </w14:textFill>
              </w:rPr>
            </w:pPr>
            <w:r>
              <w:rPr>
                <w:rFonts w:hint="eastAsia"/>
                <w:b/>
                <w:color w:val="000000" w:themeColor="text1"/>
                <w14:textFill>
                  <w14:solidFill>
                    <w14:schemeClr w14:val="tx1"/>
                  </w14:solidFill>
                </w14:textFill>
              </w:rPr>
              <w:t>（</w:t>
            </w:r>
            <w:r>
              <w:rPr>
                <w:b/>
                <w:color w:val="000000" w:themeColor="text1"/>
                <w14:textFill>
                  <w14:solidFill>
                    <w14:schemeClr w14:val="tx1"/>
                  </w14:solidFill>
                </w14:textFill>
              </w:rPr>
              <w:t>2</w:t>
            </w:r>
            <w:r>
              <w:rPr>
                <w:rFonts w:hint="eastAsia"/>
                <w:b/>
                <w:color w:val="000000" w:themeColor="text1"/>
                <w14:textFill>
                  <w14:solidFill>
                    <w14:schemeClr w14:val="tx1"/>
                  </w14:solidFill>
                </w14:textFill>
              </w:rPr>
              <w:t>）刷胶废气、浇注、烘干、脱模、喷漆废气</w:t>
            </w:r>
          </w:p>
          <w:p w14:paraId="4ACBFEE2">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喷漆产生的废气经</w:t>
            </w:r>
            <w:r>
              <w:rPr>
                <w:rFonts w:hint="eastAsia"/>
                <w:color w:val="000000" w:themeColor="text1"/>
                <w:lang w:val="en-US" w:eastAsia="zh-CN"/>
                <w14:textFill>
                  <w14:solidFill>
                    <w14:schemeClr w14:val="tx1"/>
                  </w14:solidFill>
                </w14:textFill>
              </w:rPr>
              <w:t>水喷淋+</w:t>
            </w:r>
            <w:r>
              <w:rPr>
                <w:rFonts w:hint="eastAsia"/>
                <w:color w:val="000000" w:themeColor="text1"/>
                <w14:textFill>
                  <w14:solidFill>
                    <w14:schemeClr w14:val="tx1"/>
                  </w14:solidFill>
                </w14:textFill>
              </w:rPr>
              <w:t>干式过滤棉预处理后汇同刷胶、浇注、烘干、脱模工序产生的非甲烷总烃废气经过</w:t>
            </w:r>
            <w:r>
              <w:rPr>
                <w:rFonts w:hint="eastAsia"/>
                <w:color w:val="000000" w:themeColor="text1"/>
                <w:lang w:val="en-US" w:eastAsia="zh-CN"/>
                <w14:textFill>
                  <w14:solidFill>
                    <w14:schemeClr w14:val="tx1"/>
                  </w14:solidFill>
                </w14:textFill>
              </w:rPr>
              <w:t>二级活性炭吸附装置</w:t>
            </w:r>
            <w:r>
              <w:rPr>
                <w:rFonts w:hint="eastAsia"/>
                <w:color w:val="000000" w:themeColor="text1"/>
                <w14:textFill>
                  <w14:solidFill>
                    <w14:schemeClr w14:val="tx1"/>
                  </w14:solidFill>
                </w14:textFill>
              </w:rPr>
              <w:t>处理后由1</w:t>
            </w:r>
            <w:r>
              <w:rPr>
                <w:color w:val="000000" w:themeColor="text1"/>
                <w14:textFill>
                  <w14:solidFill>
                    <w14:schemeClr w14:val="tx1"/>
                  </w14:solidFill>
                </w14:textFill>
              </w:rPr>
              <w:t>5m高排气筒</w:t>
            </w:r>
            <w:r>
              <w:rPr>
                <w:rFonts w:hint="eastAsia"/>
                <w:color w:val="000000" w:themeColor="text1"/>
                <w14:textFill>
                  <w14:solidFill>
                    <w14:schemeClr w14:val="tx1"/>
                  </w14:solidFill>
                </w14:textFill>
              </w:rPr>
              <w:t>D</w:t>
            </w:r>
            <w:r>
              <w:rPr>
                <w:color w:val="000000" w:themeColor="text1"/>
                <w14:textFill>
                  <w14:solidFill>
                    <w14:schemeClr w14:val="tx1"/>
                  </w14:solidFill>
                </w14:textFill>
              </w:rPr>
              <w:t>A005排放</w:t>
            </w:r>
            <w:r>
              <w:rPr>
                <w:rFonts w:hint="eastAsia"/>
                <w:color w:val="000000" w:themeColor="text1"/>
                <w14:textFill>
                  <w14:solidFill>
                    <w14:schemeClr w14:val="tx1"/>
                  </w14:solidFill>
                </w14:textFill>
              </w:rPr>
              <w:t>，非甲烷总烃、苯系物有组织排放浓度</w:t>
            </w:r>
            <w:r>
              <w:rPr>
                <w:color w:val="000000" w:themeColor="text1"/>
                <w14:textFill>
                  <w14:solidFill>
                    <w14:schemeClr w14:val="tx1"/>
                  </w14:solidFill>
                </w14:textFill>
              </w:rPr>
              <w:t>可满足</w:t>
            </w:r>
            <w:r>
              <w:rPr>
                <w:rFonts w:hint="eastAsia"/>
                <w:color w:val="000000" w:themeColor="text1"/>
                <w14:textFill>
                  <w14:solidFill>
                    <w14:schemeClr w14:val="tx1"/>
                  </w14:solidFill>
                </w14:textFill>
              </w:rPr>
              <w:t>《固定污染源挥发性有机物综合排放标准》（DB44/2367-2022）表1排放限值要求，颗粒物有组织排放浓度可满足广东省《大气污染物排放限值》（DB44/27-2001）第二时段二级标准，非甲烷总烃、甲苯、颗粒物无组织排放浓度可满足广东省《大气污染物排放限值》（DB 44/27－2001）第二时段无组织排放监控浓度限值，厂区内非甲烷总烃无组织排放可满足《固定污染源挥发性有机物综合排放标准》（DB44/2367-2022）表3限值，对周围环境影响不大。</w:t>
            </w:r>
          </w:p>
          <w:p w14:paraId="4988B6F6">
            <w:pPr>
              <w:pStyle w:val="301"/>
              <w:ind w:firstLine="0" w:firstLineChars="0"/>
              <w:rPr>
                <w:color w:val="000000" w:themeColor="text1"/>
                <w14:textFill>
                  <w14:solidFill>
                    <w14:schemeClr w14:val="tx1"/>
                  </w14:solidFill>
                </w14:textFill>
              </w:rPr>
            </w:pPr>
          </w:p>
          <w:p w14:paraId="75CC069D">
            <w:pPr>
              <w:pStyle w:val="301"/>
              <w:ind w:firstLine="0" w:firstLineChars="0"/>
              <w:rPr>
                <w:b/>
                <w:color w:val="000000" w:themeColor="text1"/>
                <w14:textFill>
                  <w14:solidFill>
                    <w14:schemeClr w14:val="tx1"/>
                  </w14:solidFill>
                </w14:textFill>
              </w:rPr>
            </w:pPr>
            <w:r>
              <w:rPr>
                <w:rFonts w:hint="eastAsia"/>
                <w:b/>
                <w:color w:val="000000" w:themeColor="text1"/>
                <w14:textFill>
                  <w14:solidFill>
                    <w14:schemeClr w14:val="tx1"/>
                  </w14:solidFill>
                </w14:textFill>
              </w:rPr>
              <w:t>二、废水</w:t>
            </w:r>
          </w:p>
          <w:p w14:paraId="2FA386E0">
            <w:pPr>
              <w:pStyle w:val="301"/>
              <w:ind w:firstLine="0" w:firstLineChars="0"/>
              <w:rPr>
                <w:b/>
                <w:color w:val="000000" w:themeColor="text1"/>
                <w14:textFill>
                  <w14:solidFill>
                    <w14:schemeClr w14:val="tx1"/>
                  </w14:solidFill>
                </w14:textFill>
              </w:rPr>
            </w:pPr>
            <w:r>
              <w:rPr>
                <w:rFonts w:hint="eastAsia"/>
                <w:b/>
                <w:color w:val="000000" w:themeColor="text1"/>
                <w14:textFill>
                  <w14:solidFill>
                    <w14:schemeClr w14:val="tx1"/>
                  </w14:solidFill>
                </w14:textFill>
              </w:rPr>
              <w:t>（1）生活用水</w:t>
            </w:r>
          </w:p>
          <w:p w14:paraId="2F7A1937">
            <w:pPr>
              <w:pStyle w:val="301"/>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本项目不新增员工，</w:t>
            </w: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员工2</w:t>
            </w:r>
            <w:r>
              <w:rPr>
                <w:color w:val="000000" w:themeColor="text1"/>
                <w14:textFill>
                  <w14:solidFill>
                    <w14:schemeClr w14:val="tx1"/>
                  </w14:solidFill>
                </w14:textFill>
              </w:rPr>
              <w:t>0</w:t>
            </w:r>
            <w:r>
              <w:rPr>
                <w:rFonts w:hint="eastAsia"/>
                <w:color w:val="000000" w:themeColor="text1"/>
                <w14:textFill>
                  <w14:solidFill>
                    <w14:schemeClr w14:val="tx1"/>
                  </w14:solidFill>
                </w14:textFill>
              </w:rPr>
              <w:t>人，年生产300天，员工均不在厂内食宿。根据广东省地方标准《用水定额 第3部分：生活》（DB44/T1461.3-2021）表A.1服务业用水定额表，员工生活用水定额参考国家行政机构无食堂和浴室10m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/（人·a），则本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员工生活用水量为2</w:t>
            </w:r>
            <w:r>
              <w:rPr>
                <w:color w:val="000000" w:themeColor="text1"/>
                <w14:textFill>
                  <w14:solidFill>
                    <w14:schemeClr w14:val="tx1"/>
                  </w14:solidFill>
                </w14:textFill>
              </w:rPr>
              <w:t>00</w:t>
            </w:r>
            <w:r>
              <w:rPr>
                <w:rFonts w:hint="eastAsia"/>
                <w:color w:val="000000" w:themeColor="text1"/>
                <w14:textFill>
                  <w14:solidFill>
                    <w14:schemeClr w14:val="tx1"/>
                  </w14:solidFill>
                </w14:textFill>
              </w:rPr>
              <w:t>t/a（0</w:t>
            </w:r>
            <w:r>
              <w:rPr>
                <w:color w:val="000000" w:themeColor="text1"/>
                <w14:textFill>
                  <w14:solidFill>
                    <w14:schemeClr w14:val="tx1"/>
                  </w14:solidFill>
                </w14:textFill>
              </w:rPr>
              <w:t>.67</w:t>
            </w:r>
            <w:r>
              <w:rPr>
                <w:rFonts w:hint="eastAsia"/>
                <w:color w:val="000000" w:themeColor="text1"/>
                <w14:textFill>
                  <w14:solidFill>
                    <w14:schemeClr w14:val="tx1"/>
                  </w14:solidFill>
                </w14:textFill>
              </w:rPr>
              <w:t>t/d），即人均生活用水量为33.</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升/人·天，根据《排放源统计调查产排污核算方法和系数手册》附表生活源产排污核算系数手册中的生活污水产生量核算，人均日生活用水量</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150L/（人•d），则排污系数按0.8计，则本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员工生活污水产生量为</w:t>
            </w:r>
            <w:r>
              <w:rPr>
                <w:color w:val="000000" w:themeColor="text1"/>
                <w14:textFill>
                  <w14:solidFill>
                    <w14:schemeClr w14:val="tx1"/>
                  </w14:solidFill>
                </w14:textFill>
              </w:rPr>
              <w:t>160</w:t>
            </w:r>
            <w:r>
              <w:rPr>
                <w:rFonts w:hint="eastAsia"/>
                <w:color w:val="000000" w:themeColor="text1"/>
                <w14:textFill>
                  <w14:solidFill>
                    <w14:schemeClr w14:val="tx1"/>
                  </w14:solidFill>
                </w14:textFill>
              </w:rPr>
              <w:t>t/a（0</w:t>
            </w:r>
            <w:r>
              <w:rPr>
                <w:color w:val="000000" w:themeColor="text1"/>
                <w14:textFill>
                  <w14:solidFill>
                    <w14:schemeClr w14:val="tx1"/>
                  </w14:solidFill>
                </w14:textFill>
              </w:rPr>
              <w:t>.53</w:t>
            </w:r>
            <w:r>
              <w:rPr>
                <w:rFonts w:hint="eastAsia"/>
                <w:color w:val="000000" w:themeColor="text1"/>
                <w14:textFill>
                  <w14:solidFill>
                    <w14:schemeClr w14:val="tx1"/>
                  </w14:solidFill>
                </w14:textFill>
              </w:rPr>
              <w:t>t/d）。</w:t>
            </w:r>
          </w:p>
          <w:p w14:paraId="7A2624A6">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生活污水的主要污染物为COD</w:t>
            </w:r>
            <w:r>
              <w:rPr>
                <w:rFonts w:hint="eastAsia"/>
                <w:color w:val="000000" w:themeColor="text1"/>
                <w:vertAlign w:val="subscript"/>
                <w14:textFill>
                  <w14:solidFill>
                    <w14:schemeClr w14:val="tx1"/>
                  </w14:solidFill>
                </w14:textFill>
              </w:rPr>
              <w:t>Cr</w:t>
            </w:r>
            <w:r>
              <w:rPr>
                <w:rFonts w:hint="eastAsia"/>
                <w:color w:val="000000" w:themeColor="text1"/>
                <w14:textFill>
                  <w14:solidFill>
                    <w14:schemeClr w14:val="tx1"/>
                  </w14:solidFill>
                </w14:textFill>
              </w:rPr>
              <w:t>、BOD</w:t>
            </w:r>
            <w:r>
              <w:rPr>
                <w:rFonts w:hint="eastAsia"/>
                <w:color w:val="000000" w:themeColor="text1"/>
                <w:vertAlign w:val="subscript"/>
                <w14:textFill>
                  <w14:solidFill>
                    <w14:schemeClr w14:val="tx1"/>
                  </w14:solidFill>
                </w14:textFill>
              </w:rPr>
              <w:t>5</w:t>
            </w:r>
            <w:r>
              <w:rPr>
                <w:rFonts w:hint="eastAsia"/>
                <w:color w:val="000000" w:themeColor="text1"/>
                <w14:textFill>
                  <w14:solidFill>
                    <w14:schemeClr w14:val="tx1"/>
                  </w14:solidFill>
                </w14:textFill>
              </w:rPr>
              <w:t>、SS、NH</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-N、TP，污染物产生浓度参考《给水排水设计手册（第五册城镇排水）》（中国建筑工业出版社）中表4-1典型生活污水水质示例，COD</w:t>
            </w:r>
            <w:r>
              <w:rPr>
                <w:rFonts w:hint="eastAsia"/>
                <w:color w:val="000000" w:themeColor="text1"/>
                <w:vertAlign w:val="subscript"/>
                <w14:textFill>
                  <w14:solidFill>
                    <w14:schemeClr w14:val="tx1"/>
                  </w14:solidFill>
                </w14:textFill>
              </w:rPr>
              <w:t>Cr</w:t>
            </w:r>
            <w:r>
              <w:rPr>
                <w:rFonts w:hint="eastAsia"/>
                <w:color w:val="000000" w:themeColor="text1"/>
                <w14:textFill>
                  <w14:solidFill>
                    <w14:schemeClr w14:val="tx1"/>
                  </w14:solidFill>
                </w14:textFill>
              </w:rPr>
              <w:t>400mg/L、BOD</w:t>
            </w:r>
            <w:r>
              <w:rPr>
                <w:rFonts w:hint="eastAsia"/>
                <w:color w:val="000000" w:themeColor="text1"/>
                <w:vertAlign w:val="subscript"/>
                <w14:textFill>
                  <w14:solidFill>
                    <w14:schemeClr w14:val="tx1"/>
                  </w14:solidFill>
                </w14:textFill>
              </w:rPr>
              <w:t>5</w:t>
            </w:r>
            <w:r>
              <w:rPr>
                <w:rFonts w:hint="eastAsia"/>
                <w:color w:val="000000" w:themeColor="text1"/>
                <w14:textFill>
                  <w14:solidFill>
                    <w14:schemeClr w14:val="tx1"/>
                  </w14:solidFill>
                </w14:textFill>
              </w:rPr>
              <w:t>220mg/L、SS200mg/L、NH</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-N25mg/L、TP8mg/L。</w:t>
            </w:r>
          </w:p>
          <w:p w14:paraId="2458F40F">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已连接园区污水管网，生活污水经三级化粪池预处理后，经园区污水管网排入园区污水处理厂处理，处理达标后排入武江（乐昌城-犁市）河段，参考《村镇生活污染防治最佳可行技术指南（试行）》（HJ-BAT-9）《村镇生活污染防治最佳可行技术指南（试行）》（HJ-BAT-9）取值中化粪池对一般生活污水污染物的去除效率为：COD</w:t>
            </w:r>
            <w:r>
              <w:rPr>
                <w:rFonts w:hint="eastAsia"/>
                <w:color w:val="000000" w:themeColor="text1"/>
                <w:vertAlign w:val="subscript"/>
                <w14:textFill>
                  <w14:solidFill>
                    <w14:schemeClr w14:val="tx1"/>
                  </w14:solidFill>
                </w14:textFill>
              </w:rPr>
              <w:t>Cr</w:t>
            </w:r>
            <w:r>
              <w:rPr>
                <w:rFonts w:hint="eastAsia"/>
                <w:color w:val="000000" w:themeColor="text1"/>
                <w14:textFill>
                  <w14:solidFill>
                    <w14:schemeClr w14:val="tx1"/>
                  </w14:solidFill>
                </w14:textFill>
              </w:rPr>
              <w:t>40~50%、SS60~70%，本评价保守估计均按最小去除效率估算；BOD</w:t>
            </w:r>
            <w:r>
              <w:rPr>
                <w:rFonts w:hint="eastAsia"/>
                <w:color w:val="000000" w:themeColor="text1"/>
                <w:vertAlign w:val="subscript"/>
                <w14:textFill>
                  <w14:solidFill>
                    <w14:schemeClr w14:val="tx1"/>
                  </w14:solidFill>
                </w14:textFill>
              </w:rPr>
              <w:t>5</w:t>
            </w:r>
            <w:r>
              <w:rPr>
                <w:rFonts w:hint="eastAsia"/>
                <w:color w:val="000000" w:themeColor="text1"/>
                <w14:textFill>
                  <w14:solidFill>
                    <w14:schemeClr w14:val="tx1"/>
                  </w14:solidFill>
                </w14:textFill>
              </w:rPr>
              <w:t>去除效率参考COD去除效率保守估计按</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0%估算，NH</w:t>
            </w:r>
            <w:r>
              <w:rPr>
                <w:rFonts w:hint="eastAsia"/>
                <w:color w:val="000000" w:themeColor="text1"/>
                <w:vertAlign w:val="subscript"/>
                <w14:textFill>
                  <w14:solidFill>
                    <w14:schemeClr w14:val="tx1"/>
                  </w14:solidFill>
                </w14:textFill>
              </w:rPr>
              <w:t>3</w:t>
            </w:r>
            <w:r>
              <w:rPr>
                <w:rFonts w:hint="eastAsia"/>
                <w:color w:val="000000" w:themeColor="text1"/>
                <w14:textFill>
                  <w14:solidFill>
                    <w14:schemeClr w14:val="tx1"/>
                  </w14:solidFill>
                </w14:textFill>
              </w:rPr>
              <w:t>-N和总磷均保守估计按10%估算。</w:t>
            </w:r>
          </w:p>
          <w:p w14:paraId="0397B1C1">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员工生活污水产排情况详见下表。</w:t>
            </w:r>
          </w:p>
          <w:p w14:paraId="6D8AE578">
            <w:pPr>
              <w:pStyle w:val="301"/>
              <w:spacing w:line="240" w:lineRule="auto"/>
              <w:ind w:firstLine="422"/>
              <w:jc w:val="center"/>
              <w:rPr>
                <w:b/>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表</w:t>
            </w:r>
            <w:r>
              <w:rPr>
                <w:rFonts w:hint="eastAsia"/>
                <w:b/>
                <w:color w:val="000000" w:themeColor="text1"/>
                <w:sz w:val="21"/>
                <w:szCs w:val="21"/>
                <w14:textFill>
                  <w14:solidFill>
                    <w14:schemeClr w14:val="tx1"/>
                  </w14:solidFill>
                </w14:textFill>
              </w:rPr>
              <w:t>4</w:t>
            </w:r>
            <w:r>
              <w:rPr>
                <w:b/>
                <w:color w:val="000000" w:themeColor="text1"/>
                <w:sz w:val="21"/>
                <w:szCs w:val="21"/>
                <w14:textFill>
                  <w14:solidFill>
                    <w14:schemeClr w14:val="tx1"/>
                  </w14:solidFill>
                </w14:textFill>
              </w:rPr>
              <w:t>-</w:t>
            </w:r>
            <w:r>
              <w:rPr>
                <w:rFonts w:hint="eastAsia"/>
                <w:b/>
                <w:color w:val="000000" w:themeColor="text1"/>
                <w:sz w:val="21"/>
                <w:szCs w:val="21"/>
                <w:lang w:val="en-US" w:eastAsia="zh-CN"/>
                <w14:textFill>
                  <w14:solidFill>
                    <w14:schemeClr w14:val="tx1"/>
                  </w14:solidFill>
                </w14:textFill>
              </w:rPr>
              <w:t>16</w:t>
            </w:r>
            <w:r>
              <w:rPr>
                <w:rFonts w:hint="eastAsia"/>
                <w:b/>
                <w:color w:val="000000" w:themeColor="text1"/>
                <w:sz w:val="21"/>
                <w:szCs w:val="21"/>
                <w14:textFill>
                  <w14:solidFill>
                    <w14:schemeClr w14:val="tx1"/>
                  </w14:solidFill>
                </w14:textFill>
              </w:rPr>
              <w:t xml:space="preserve"> </w:t>
            </w:r>
            <w:r>
              <w:rPr>
                <w:rFonts w:hint="eastAsia"/>
                <w:b/>
                <w:color w:val="000000" w:themeColor="text1"/>
                <w:sz w:val="21"/>
                <w:szCs w:val="21"/>
                <w:lang w:eastAsia="zh-CN"/>
                <w14:textFill>
                  <w14:solidFill>
                    <w14:schemeClr w14:val="tx1"/>
                  </w14:solidFill>
                </w14:textFill>
              </w:rPr>
              <w:t>项目</w:t>
            </w:r>
            <w:r>
              <w:rPr>
                <w:b/>
                <w:color w:val="000000" w:themeColor="text1"/>
                <w:sz w:val="21"/>
                <w:szCs w:val="21"/>
                <w14:textFill>
                  <w14:solidFill>
                    <w14:schemeClr w14:val="tx1"/>
                  </w14:solidFill>
                </w14:textFill>
              </w:rPr>
              <w:t>污水产排情况一览表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1097"/>
              <w:gridCol w:w="1096"/>
              <w:gridCol w:w="1096"/>
              <w:gridCol w:w="1096"/>
              <w:gridCol w:w="1096"/>
              <w:gridCol w:w="1096"/>
            </w:tblGrid>
            <w:tr w14:paraId="240BA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dxa"/>
                  <w:gridSpan w:val="2"/>
                  <w:vAlign w:val="center"/>
                </w:tcPr>
                <w:p w14:paraId="04921AD1">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主要污染物</w:t>
                  </w:r>
                </w:p>
              </w:tc>
              <w:tc>
                <w:tcPr>
                  <w:tcW w:w="1096" w:type="dxa"/>
                  <w:vAlign w:val="center"/>
                </w:tcPr>
                <w:p w14:paraId="741B7EE4">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C</w:t>
                  </w:r>
                  <w:r>
                    <w:rPr>
                      <w:color w:val="000000" w:themeColor="text1"/>
                      <w14:textFill>
                        <w14:solidFill>
                          <w14:schemeClr w14:val="tx1"/>
                        </w14:solidFill>
                      </w14:textFill>
                    </w:rPr>
                    <w:t>OD</w:t>
                  </w:r>
                  <w:r>
                    <w:rPr>
                      <w:color w:val="000000" w:themeColor="text1"/>
                      <w:vertAlign w:val="subscript"/>
                      <w14:textFill>
                        <w14:solidFill>
                          <w14:schemeClr w14:val="tx1"/>
                        </w14:solidFill>
                      </w14:textFill>
                    </w:rPr>
                    <w:t>Cr</w:t>
                  </w:r>
                </w:p>
              </w:tc>
              <w:tc>
                <w:tcPr>
                  <w:tcW w:w="1096" w:type="dxa"/>
                  <w:vAlign w:val="center"/>
                </w:tcPr>
                <w:p w14:paraId="5DDFEF28">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B</w:t>
                  </w:r>
                  <w:r>
                    <w:rPr>
                      <w:color w:val="000000" w:themeColor="text1"/>
                      <w14:textFill>
                        <w14:solidFill>
                          <w14:schemeClr w14:val="tx1"/>
                        </w14:solidFill>
                      </w14:textFill>
                    </w:rPr>
                    <w:t>OD</w:t>
                  </w:r>
                  <w:r>
                    <w:rPr>
                      <w:color w:val="000000" w:themeColor="text1"/>
                      <w:vertAlign w:val="subscript"/>
                      <w14:textFill>
                        <w14:solidFill>
                          <w14:schemeClr w14:val="tx1"/>
                        </w14:solidFill>
                      </w14:textFill>
                    </w:rPr>
                    <w:t>5</w:t>
                  </w:r>
                </w:p>
              </w:tc>
              <w:tc>
                <w:tcPr>
                  <w:tcW w:w="1096" w:type="dxa"/>
                  <w:vAlign w:val="center"/>
                </w:tcPr>
                <w:p w14:paraId="72E6B4F5">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S</w:t>
                  </w:r>
                  <w:r>
                    <w:rPr>
                      <w:color w:val="000000" w:themeColor="text1"/>
                      <w14:textFill>
                        <w14:solidFill>
                          <w14:schemeClr w14:val="tx1"/>
                        </w14:solidFill>
                      </w14:textFill>
                    </w:rPr>
                    <w:t>S</w:t>
                  </w:r>
                </w:p>
              </w:tc>
              <w:tc>
                <w:tcPr>
                  <w:tcW w:w="1096" w:type="dxa"/>
                  <w:vAlign w:val="center"/>
                </w:tcPr>
                <w:p w14:paraId="17B91CA2">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N</w:t>
                  </w:r>
                  <w:r>
                    <w:rPr>
                      <w:color w:val="000000" w:themeColor="text1"/>
                      <w14:textFill>
                        <w14:solidFill>
                          <w14:schemeClr w14:val="tx1"/>
                        </w14:solidFill>
                      </w14:textFill>
                    </w:rPr>
                    <w:t>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-N</w:t>
                  </w:r>
                </w:p>
              </w:tc>
              <w:tc>
                <w:tcPr>
                  <w:tcW w:w="1096" w:type="dxa"/>
                  <w:vAlign w:val="center"/>
                </w:tcPr>
                <w:p w14:paraId="338C2F9F">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T</w:t>
                  </w:r>
                  <w:r>
                    <w:rPr>
                      <w:color w:val="000000" w:themeColor="text1"/>
                      <w14:textFill>
                        <w14:solidFill>
                          <w14:schemeClr w14:val="tx1"/>
                        </w14:solidFill>
                      </w14:textFill>
                    </w:rPr>
                    <w:t>P</w:t>
                  </w:r>
                </w:p>
              </w:tc>
            </w:tr>
            <w:tr w14:paraId="6A8FA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dxa"/>
                  <w:vMerge w:val="restart"/>
                  <w:vAlign w:val="center"/>
                </w:tcPr>
                <w:p w14:paraId="6DF1F344">
                  <w:pPr>
                    <w:spacing w:line="360" w:lineRule="auto"/>
                    <w:jc w:val="center"/>
                    <w:rPr>
                      <w:color w:val="000000" w:themeColor="text1"/>
                      <w:lang w:bidi="zh-CN"/>
                      <w14:textFill>
                        <w14:solidFill>
                          <w14:schemeClr w14:val="tx1"/>
                        </w14:solidFill>
                      </w14:textFill>
                    </w:rPr>
                  </w:pPr>
                  <w:r>
                    <w:rPr>
                      <w:rFonts w:hint="eastAsia"/>
                      <w:color w:val="000000" w:themeColor="text1"/>
                      <w:lang w:bidi="zh-CN"/>
                      <w14:textFill>
                        <w14:solidFill>
                          <w14:schemeClr w14:val="tx1"/>
                        </w14:solidFill>
                      </w14:textFill>
                    </w:rPr>
                    <w:t>产生情况</w:t>
                  </w:r>
                  <w:r>
                    <w:rPr>
                      <w:rFonts w:ascii="Times New Roman" w:hAnsi="Times New Roman" w:eastAsia="宋体" w:cs="Times New Roman"/>
                      <w:color w:val="000000" w:themeColor="text1"/>
                      <w:szCs w:val="22"/>
                      <w14:textFill>
                        <w14:solidFill>
                          <w14:schemeClr w14:val="tx1"/>
                        </w14:solidFill>
                      </w14:textFill>
                    </w:rPr>
                    <w:t>160t/a</w:t>
                  </w:r>
                </w:p>
              </w:tc>
              <w:tc>
                <w:tcPr>
                  <w:tcW w:w="1097" w:type="dxa"/>
                  <w:vAlign w:val="center"/>
                </w:tcPr>
                <w:p w14:paraId="760E7461">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产生浓度（mg/L）</w:t>
                  </w:r>
                </w:p>
              </w:tc>
              <w:tc>
                <w:tcPr>
                  <w:tcW w:w="1096" w:type="dxa"/>
                  <w:vAlign w:val="center"/>
                </w:tcPr>
                <w:p w14:paraId="2393B709">
                  <w:pPr>
                    <w:pStyle w:val="162"/>
                    <w:jc w:val="center"/>
                    <w:rPr>
                      <w:color w:val="000000" w:themeColor="text1"/>
                      <w14:textFill>
                        <w14:solidFill>
                          <w14:schemeClr w14:val="tx1"/>
                        </w14:solidFill>
                      </w14:textFill>
                    </w:rPr>
                  </w:pPr>
                  <w:r>
                    <w:rPr>
                      <w:color w:val="000000" w:themeColor="text1"/>
                      <w14:textFill>
                        <w14:solidFill>
                          <w14:schemeClr w14:val="tx1"/>
                        </w14:solidFill>
                      </w14:textFill>
                    </w:rPr>
                    <w:t>400</w:t>
                  </w:r>
                </w:p>
              </w:tc>
              <w:tc>
                <w:tcPr>
                  <w:tcW w:w="1096" w:type="dxa"/>
                  <w:vAlign w:val="center"/>
                </w:tcPr>
                <w:p w14:paraId="74E1893E">
                  <w:pPr>
                    <w:pStyle w:val="162"/>
                    <w:jc w:val="center"/>
                    <w:rPr>
                      <w:color w:val="000000" w:themeColor="text1"/>
                      <w14:textFill>
                        <w14:solidFill>
                          <w14:schemeClr w14:val="tx1"/>
                        </w14:solidFill>
                      </w14:textFill>
                    </w:rPr>
                  </w:pPr>
                  <w:r>
                    <w:rPr>
                      <w:color w:val="000000" w:themeColor="text1"/>
                      <w14:textFill>
                        <w14:solidFill>
                          <w14:schemeClr w14:val="tx1"/>
                        </w14:solidFill>
                      </w14:textFill>
                    </w:rPr>
                    <w:t>220</w:t>
                  </w:r>
                </w:p>
              </w:tc>
              <w:tc>
                <w:tcPr>
                  <w:tcW w:w="1096" w:type="dxa"/>
                  <w:vAlign w:val="center"/>
                </w:tcPr>
                <w:p w14:paraId="0B5AF97A">
                  <w:pPr>
                    <w:pStyle w:val="162"/>
                    <w:jc w:val="center"/>
                    <w:rPr>
                      <w:color w:val="000000" w:themeColor="text1"/>
                      <w14:textFill>
                        <w14:solidFill>
                          <w14:schemeClr w14:val="tx1"/>
                        </w14:solidFill>
                      </w14:textFill>
                    </w:rPr>
                  </w:pPr>
                  <w:r>
                    <w:rPr>
                      <w:color w:val="000000" w:themeColor="text1"/>
                      <w14:textFill>
                        <w14:solidFill>
                          <w14:schemeClr w14:val="tx1"/>
                        </w14:solidFill>
                      </w14:textFill>
                    </w:rPr>
                    <w:t>200</w:t>
                  </w:r>
                </w:p>
              </w:tc>
              <w:tc>
                <w:tcPr>
                  <w:tcW w:w="1096" w:type="dxa"/>
                  <w:vAlign w:val="center"/>
                </w:tcPr>
                <w:p w14:paraId="3C216ACD">
                  <w:pPr>
                    <w:pStyle w:val="162"/>
                    <w:jc w:val="center"/>
                    <w:rPr>
                      <w:color w:val="000000" w:themeColor="text1"/>
                      <w14:textFill>
                        <w14:solidFill>
                          <w14:schemeClr w14:val="tx1"/>
                        </w14:solidFill>
                      </w14:textFill>
                    </w:rPr>
                  </w:pPr>
                  <w:r>
                    <w:rPr>
                      <w:color w:val="000000" w:themeColor="text1"/>
                      <w14:textFill>
                        <w14:solidFill>
                          <w14:schemeClr w14:val="tx1"/>
                        </w14:solidFill>
                      </w14:textFill>
                    </w:rPr>
                    <w:t>25</w:t>
                  </w:r>
                </w:p>
              </w:tc>
              <w:tc>
                <w:tcPr>
                  <w:tcW w:w="1096" w:type="dxa"/>
                  <w:vAlign w:val="center"/>
                </w:tcPr>
                <w:p w14:paraId="690B1E20">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8</w:t>
                  </w:r>
                </w:p>
              </w:tc>
            </w:tr>
            <w:tr w14:paraId="54CCB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dxa"/>
                  <w:vMerge w:val="continue"/>
                  <w:vAlign w:val="center"/>
                </w:tcPr>
                <w:p w14:paraId="233EBF5E">
                  <w:pPr>
                    <w:spacing w:line="360" w:lineRule="auto"/>
                    <w:jc w:val="center"/>
                    <w:rPr>
                      <w:color w:val="000000" w:themeColor="text1"/>
                      <w:lang w:bidi="zh-CN"/>
                      <w14:textFill>
                        <w14:solidFill>
                          <w14:schemeClr w14:val="tx1"/>
                        </w14:solidFill>
                      </w14:textFill>
                    </w:rPr>
                  </w:pPr>
                </w:p>
              </w:tc>
              <w:tc>
                <w:tcPr>
                  <w:tcW w:w="1097" w:type="dxa"/>
                  <w:vAlign w:val="center"/>
                </w:tcPr>
                <w:p w14:paraId="39402BBA">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产生量（t/a）</w:t>
                  </w:r>
                </w:p>
              </w:tc>
              <w:tc>
                <w:tcPr>
                  <w:tcW w:w="1096" w:type="dxa"/>
                  <w:vAlign w:val="center"/>
                </w:tcPr>
                <w:p w14:paraId="6DDA4959">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.064</w:t>
                  </w:r>
                </w:p>
              </w:tc>
              <w:tc>
                <w:tcPr>
                  <w:tcW w:w="1096" w:type="dxa"/>
                  <w:vAlign w:val="center"/>
                </w:tcPr>
                <w:p w14:paraId="6A3CBFCF">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.035</w:t>
                  </w:r>
                </w:p>
              </w:tc>
              <w:tc>
                <w:tcPr>
                  <w:tcW w:w="1096" w:type="dxa"/>
                  <w:vAlign w:val="center"/>
                </w:tcPr>
                <w:p w14:paraId="3797585E">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.032</w:t>
                  </w:r>
                </w:p>
              </w:tc>
              <w:tc>
                <w:tcPr>
                  <w:tcW w:w="1096" w:type="dxa"/>
                  <w:vAlign w:val="center"/>
                </w:tcPr>
                <w:p w14:paraId="4425E4C4">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.004</w:t>
                  </w:r>
                </w:p>
              </w:tc>
              <w:tc>
                <w:tcPr>
                  <w:tcW w:w="1096" w:type="dxa"/>
                  <w:vAlign w:val="center"/>
                </w:tcPr>
                <w:p w14:paraId="7CC60C24">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.001</w:t>
                  </w:r>
                </w:p>
              </w:tc>
            </w:tr>
            <w:tr w14:paraId="651B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dxa"/>
                  <w:vMerge w:val="restart"/>
                  <w:vAlign w:val="center"/>
                </w:tcPr>
                <w:p w14:paraId="4BDDF2F9">
                  <w:pPr>
                    <w:spacing w:line="360" w:lineRule="auto"/>
                    <w:jc w:val="center"/>
                    <w:rPr>
                      <w:color w:val="000000" w:themeColor="text1"/>
                      <w:lang w:bidi="zh-CN"/>
                      <w14:textFill>
                        <w14:solidFill>
                          <w14:schemeClr w14:val="tx1"/>
                        </w14:solidFill>
                      </w14:textFill>
                    </w:rPr>
                  </w:pPr>
                  <w:r>
                    <w:rPr>
                      <w:rFonts w:hint="eastAsia"/>
                      <w:color w:val="000000" w:themeColor="text1"/>
                      <w:lang w:bidi="zh-CN"/>
                      <w14:textFill>
                        <w14:solidFill>
                          <w14:schemeClr w14:val="tx1"/>
                        </w14:solidFill>
                      </w14:textFill>
                    </w:rPr>
                    <w:t>三级化粪池预处理后</w:t>
                  </w:r>
                </w:p>
              </w:tc>
              <w:tc>
                <w:tcPr>
                  <w:tcW w:w="1097" w:type="dxa"/>
                  <w:vAlign w:val="center"/>
                </w:tcPr>
                <w:p w14:paraId="1CBF1220">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排放浓度（mg/L）</w:t>
                  </w:r>
                </w:p>
              </w:tc>
              <w:tc>
                <w:tcPr>
                  <w:tcW w:w="1096" w:type="dxa"/>
                  <w:vAlign w:val="center"/>
                </w:tcPr>
                <w:p w14:paraId="69271D08">
                  <w:pPr>
                    <w:pStyle w:val="162"/>
                    <w:jc w:val="center"/>
                    <w:rPr>
                      <w:color w:val="000000" w:themeColor="text1"/>
                      <w14:textFill>
                        <w14:solidFill>
                          <w14:schemeClr w14:val="tx1"/>
                        </w14:solidFill>
                      </w14:textFill>
                    </w:rPr>
                  </w:pPr>
                  <w:r>
                    <w:rPr>
                      <w:color w:val="000000" w:themeColor="text1"/>
                      <w14:textFill>
                        <w14:solidFill>
                          <w14:schemeClr w14:val="tx1"/>
                        </w14:solidFill>
                      </w14:textFill>
                    </w:rPr>
                    <w:t>240</w:t>
                  </w:r>
                </w:p>
              </w:tc>
              <w:tc>
                <w:tcPr>
                  <w:tcW w:w="1096" w:type="dxa"/>
                  <w:vAlign w:val="center"/>
                </w:tcPr>
                <w:p w14:paraId="1C9199B8">
                  <w:pPr>
                    <w:pStyle w:val="162"/>
                    <w:jc w:val="center"/>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32</w:t>
                  </w:r>
                </w:p>
              </w:tc>
              <w:tc>
                <w:tcPr>
                  <w:tcW w:w="1096" w:type="dxa"/>
                  <w:vAlign w:val="center"/>
                </w:tcPr>
                <w:p w14:paraId="18C2EB35">
                  <w:pPr>
                    <w:pStyle w:val="162"/>
                    <w:jc w:val="center"/>
                    <w:rPr>
                      <w:color w:val="000000" w:themeColor="text1"/>
                      <w14:textFill>
                        <w14:solidFill>
                          <w14:schemeClr w14:val="tx1"/>
                        </w14:solidFill>
                      </w14:textFill>
                    </w:rPr>
                  </w:pPr>
                  <w:r>
                    <w:rPr>
                      <w:color w:val="000000" w:themeColor="text1"/>
                      <w14:textFill>
                        <w14:solidFill>
                          <w14:schemeClr w14:val="tx1"/>
                        </w14:solidFill>
                      </w14:textFill>
                    </w:rPr>
                    <w:t>80</w:t>
                  </w:r>
                </w:p>
              </w:tc>
              <w:tc>
                <w:tcPr>
                  <w:tcW w:w="1096" w:type="dxa"/>
                  <w:vAlign w:val="center"/>
                </w:tcPr>
                <w:p w14:paraId="08C60F0C">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2.5</w:t>
                  </w:r>
                </w:p>
              </w:tc>
              <w:tc>
                <w:tcPr>
                  <w:tcW w:w="1096" w:type="dxa"/>
                  <w:vAlign w:val="center"/>
                </w:tcPr>
                <w:p w14:paraId="313BFB14">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color w:val="000000" w:themeColor="text1"/>
                      <w14:textFill>
                        <w14:solidFill>
                          <w14:schemeClr w14:val="tx1"/>
                        </w14:solidFill>
                      </w14:textFill>
                    </w:rPr>
                    <w:t>.2</w:t>
                  </w:r>
                </w:p>
              </w:tc>
            </w:tr>
            <w:tr w14:paraId="6DC9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dxa"/>
                  <w:vMerge w:val="continue"/>
                  <w:vAlign w:val="center"/>
                </w:tcPr>
                <w:p w14:paraId="7E19B4DE">
                  <w:pPr>
                    <w:spacing w:line="360" w:lineRule="auto"/>
                    <w:jc w:val="center"/>
                    <w:rPr>
                      <w:color w:val="000000" w:themeColor="text1"/>
                      <w:lang w:bidi="zh-CN"/>
                      <w14:textFill>
                        <w14:solidFill>
                          <w14:schemeClr w14:val="tx1"/>
                        </w14:solidFill>
                      </w14:textFill>
                    </w:rPr>
                  </w:pPr>
                </w:p>
              </w:tc>
              <w:tc>
                <w:tcPr>
                  <w:tcW w:w="1097" w:type="dxa"/>
                  <w:vAlign w:val="center"/>
                </w:tcPr>
                <w:p w14:paraId="3B3CA016">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排放量（t/a）</w:t>
                  </w:r>
                </w:p>
              </w:tc>
              <w:tc>
                <w:tcPr>
                  <w:tcW w:w="1096" w:type="dxa"/>
                  <w:vAlign w:val="center"/>
                </w:tcPr>
                <w:p w14:paraId="1FD63427">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.038</w:t>
                  </w:r>
                </w:p>
              </w:tc>
              <w:tc>
                <w:tcPr>
                  <w:tcW w:w="1096" w:type="dxa"/>
                  <w:vAlign w:val="center"/>
                </w:tcPr>
                <w:p w14:paraId="779B6C92">
                  <w:pPr>
                    <w:pStyle w:val="162"/>
                    <w:jc w:val="center"/>
                    <w:rPr>
                      <w:rFonts w:hint="eastAsia"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.02</w:t>
                  </w:r>
                  <w:r>
                    <w:rPr>
                      <w:rFonts w:hint="eastAsia"/>
                      <w:color w:val="000000" w:themeColor="text1"/>
                      <w:lang w:val="en-US" w:eastAsia="zh-CN"/>
                      <w14:textFill>
                        <w14:solidFill>
                          <w14:schemeClr w14:val="tx1"/>
                        </w14:solidFill>
                      </w14:textFill>
                    </w:rPr>
                    <w:t>1</w:t>
                  </w:r>
                </w:p>
              </w:tc>
              <w:tc>
                <w:tcPr>
                  <w:tcW w:w="1096" w:type="dxa"/>
                  <w:vAlign w:val="center"/>
                </w:tcPr>
                <w:p w14:paraId="20A103EB">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.013</w:t>
                  </w:r>
                </w:p>
              </w:tc>
              <w:tc>
                <w:tcPr>
                  <w:tcW w:w="1096" w:type="dxa"/>
                  <w:vAlign w:val="center"/>
                </w:tcPr>
                <w:p w14:paraId="5C2010FB">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.004</w:t>
                  </w:r>
                </w:p>
              </w:tc>
              <w:tc>
                <w:tcPr>
                  <w:tcW w:w="1096" w:type="dxa"/>
                  <w:vAlign w:val="center"/>
                </w:tcPr>
                <w:p w14:paraId="55385961">
                  <w:pPr>
                    <w:pStyle w:val="16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.001</w:t>
                  </w:r>
                </w:p>
              </w:tc>
            </w:tr>
          </w:tbl>
          <w:p w14:paraId="7AB6D554">
            <w:pPr>
              <w:spacing w:line="30" w:lineRule="atLeast"/>
              <w:jc w:val="center"/>
              <w:rPr>
                <w:rFonts w:ascii="Times New Roman" w:hAnsi="Times New Roman" w:eastAsia="宋体" w:cs="Times New Roman"/>
                <w:b/>
                <w:bCs/>
                <w:color w:val="000000" w:themeColor="text1"/>
                <w14:textFill>
                  <w14:solidFill>
                    <w14:schemeClr w14:val="tx1"/>
                  </w14:solidFill>
                </w14:textFill>
              </w:rPr>
            </w:pPr>
          </w:p>
          <w:p w14:paraId="376AC60A">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2）冷却塔用水及排水</w:t>
            </w:r>
          </w:p>
          <w:p w14:paraId="163C4F44">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hint="eastAsia" w:ascii="Times New Roman" w:hAnsi="Times New Roman" w:eastAsia="宋体" w:cs="Times New Roman"/>
                <w:color w:val="000000" w:themeColor="text1"/>
                <w:sz w:val="24"/>
                <w:lang w:bidi="zh-CN"/>
                <w14:textFill>
                  <w14:solidFill>
                    <w14:schemeClr w14:val="tx1"/>
                  </w14:solidFill>
                </w14:textFill>
              </w:rPr>
              <w:t>本项目浇注成型后</w:t>
            </w:r>
            <w:r>
              <w:rPr>
                <w:rFonts w:ascii="Times New Roman" w:hAnsi="Times New Roman" w:eastAsia="宋体" w:cs="Times New Roman"/>
                <w:color w:val="000000" w:themeColor="text1"/>
                <w:sz w:val="24"/>
                <w:lang w:bidi="zh-CN"/>
                <w14:textFill>
                  <w14:solidFill>
                    <w14:schemeClr w14:val="tx1"/>
                  </w14:solidFill>
                </w14:textFill>
              </w:rPr>
              <w:t>采用夹套冷却水冷却，冷却水循环利用，</w:t>
            </w:r>
            <w:r>
              <w:rPr>
                <w:rFonts w:hint="eastAsia" w:ascii="Times New Roman" w:hAnsi="Times New Roman" w:eastAsia="宋体" w:cs="Times New Roman"/>
                <w:color w:val="000000" w:themeColor="text1"/>
                <w:sz w:val="24"/>
                <w:lang w:bidi="zh-CN"/>
                <w14:textFill>
                  <w14:solidFill>
                    <w14:schemeClr w14:val="tx1"/>
                  </w14:solidFill>
                </w14:textFill>
              </w:rPr>
              <w:t>一年</w:t>
            </w:r>
            <w:r>
              <w:rPr>
                <w:rFonts w:ascii="Times New Roman" w:hAnsi="Times New Roman" w:eastAsia="宋体" w:cs="Times New Roman"/>
                <w:color w:val="000000" w:themeColor="text1"/>
                <w:sz w:val="24"/>
                <w:lang w:bidi="zh-CN"/>
                <w14:textFill>
                  <w14:solidFill>
                    <w14:schemeClr w14:val="tx1"/>
                  </w14:solidFill>
                </w14:textFill>
              </w:rPr>
              <w:t>一排。本</w:t>
            </w:r>
            <w:r>
              <w:rPr>
                <w:rFonts w:hint="eastAsia" w:ascii="Times New Roman" w:hAnsi="Times New Roman" w:eastAsia="宋体" w:cs="Times New Roman"/>
                <w:color w:val="000000" w:themeColor="text1"/>
                <w:sz w:val="24"/>
                <w:lang w:bidi="zh-CN"/>
                <w14:textFill>
                  <w14:solidFill>
                    <w14:schemeClr w14:val="tx1"/>
                  </w14:solidFill>
                </w14:textFill>
              </w:rPr>
              <w:t>项目</w:t>
            </w:r>
            <w:r>
              <w:rPr>
                <w:rFonts w:ascii="Times New Roman" w:hAnsi="Times New Roman" w:eastAsia="宋体" w:cs="Times New Roman"/>
                <w:color w:val="000000" w:themeColor="text1"/>
                <w:sz w:val="24"/>
                <w:lang w:bidi="zh-CN"/>
                <w14:textFill>
                  <w14:solidFill>
                    <w14:schemeClr w14:val="tx1"/>
                  </w14:solidFill>
                </w14:textFill>
              </w:rPr>
              <w:t>设有一个循环冷水池</w:t>
            </w:r>
            <w:r>
              <w:rPr>
                <w:rFonts w:hint="eastAsia" w:ascii="Times New Roman" w:hAnsi="Times New Roman" w:eastAsia="宋体" w:cs="Times New Roman"/>
                <w:color w:val="000000" w:themeColor="text1"/>
                <w:sz w:val="24"/>
                <w:lang w:bidi="zh-CN"/>
                <w14:textFill>
                  <w14:solidFill>
                    <w14:schemeClr w14:val="tx1"/>
                  </w14:solidFill>
                </w14:textFill>
              </w:rPr>
              <w:t>，体积</w:t>
            </w:r>
            <w:r>
              <w:rPr>
                <w:rFonts w:ascii="Times New Roman" w:hAnsi="Times New Roman" w:eastAsia="宋体" w:cs="Times New Roman"/>
                <w:color w:val="000000" w:themeColor="text1"/>
                <w:sz w:val="24"/>
                <w:lang w:bidi="zh-CN"/>
                <w14:textFill>
                  <w14:solidFill>
                    <w14:schemeClr w14:val="tx1"/>
                  </w14:solidFill>
                </w14:textFill>
              </w:rPr>
              <w:t>为25</w:t>
            </w:r>
            <w:r>
              <w:rPr>
                <w:rFonts w:hint="eastAsia" w:ascii="Times New Roman" w:hAnsi="Times New Roman" w:eastAsia="宋体" w:cs="Times New Roman"/>
                <w:color w:val="000000" w:themeColor="text1"/>
                <w:sz w:val="24"/>
                <w:lang w:bidi="zh-CN"/>
                <w14:textFill>
                  <w14:solidFill>
                    <w14:schemeClr w14:val="tx1"/>
                  </w14:solidFill>
                </w14:textFill>
              </w:rPr>
              <w:t>m</w:t>
            </w:r>
            <w:r>
              <w:rPr>
                <w:rFonts w:hint="eastAsia" w:ascii="Times New Roman" w:hAnsi="Times New Roman" w:eastAsia="宋体" w:cs="Times New Roman"/>
                <w:color w:val="000000" w:themeColor="text1"/>
                <w:sz w:val="24"/>
                <w:vertAlign w:val="superscript"/>
                <w:lang w:bidi="zh-CN"/>
                <w14:textFill>
                  <w14:solidFill>
                    <w14:schemeClr w14:val="tx1"/>
                  </w14:solidFill>
                </w14:textFill>
              </w:rPr>
              <w:t>3</w:t>
            </w:r>
            <w:r>
              <w:rPr>
                <w:rFonts w:ascii="Times New Roman" w:hAnsi="Times New Roman" w:eastAsia="宋体" w:cs="Times New Roman"/>
                <w:color w:val="000000" w:themeColor="text1"/>
                <w:sz w:val="24"/>
                <w:lang w:bidi="zh-CN"/>
                <w14:textFill>
                  <w14:solidFill>
                    <w14:schemeClr w14:val="tx1"/>
                  </w14:solidFill>
                </w14:textFill>
              </w:rPr>
              <w:t>，循环水量为10</w:t>
            </w:r>
            <w:r>
              <w:rPr>
                <w:rFonts w:hint="eastAsia" w:ascii="Times New Roman" w:hAnsi="Times New Roman" w:eastAsia="宋体" w:cs="Times New Roman"/>
                <w:color w:val="000000" w:themeColor="text1"/>
                <w:sz w:val="24"/>
                <w:lang w:bidi="zh-CN"/>
                <w14:textFill>
                  <w14:solidFill>
                    <w14:schemeClr w14:val="tx1"/>
                  </w14:solidFill>
                </w14:textFill>
              </w:rPr>
              <w:t>m</w:t>
            </w:r>
            <w:r>
              <w:rPr>
                <w:rFonts w:hint="eastAsia" w:ascii="Times New Roman" w:hAnsi="Times New Roman" w:eastAsia="宋体" w:cs="Times New Roman"/>
                <w:color w:val="000000" w:themeColor="text1"/>
                <w:sz w:val="24"/>
                <w:vertAlign w:val="superscript"/>
                <w:lang w:bidi="zh-CN"/>
                <w14:textFill>
                  <w14:solidFill>
                    <w14:schemeClr w14:val="tx1"/>
                  </w14:solidFill>
                </w14:textFill>
              </w:rPr>
              <w:t>3</w:t>
            </w:r>
            <w:r>
              <w:rPr>
                <w:rFonts w:ascii="Times New Roman" w:hAnsi="Times New Roman" w:eastAsia="宋体" w:cs="Times New Roman"/>
                <w:color w:val="000000" w:themeColor="text1"/>
                <w:sz w:val="24"/>
                <w:lang w:bidi="zh-CN"/>
                <w14:textFill>
                  <w14:solidFill>
                    <w14:schemeClr w14:val="tx1"/>
                  </w14:solidFill>
                </w14:textFill>
              </w:rPr>
              <w:t>/h。冷却塔用水主要为冷却塔运行过程中损耗水量，需定期补充水。</w:t>
            </w:r>
            <w:r>
              <w:rPr>
                <w:rFonts w:hint="eastAsia" w:ascii="Calibri" w:hAnsi="Calibri" w:eastAsia="宋体" w:cs="Times New Roman"/>
                <w:color w:val="000000" w:themeColor="text1"/>
                <w:sz w:val="24"/>
                <w14:textFill>
                  <w14:solidFill>
                    <w14:schemeClr w14:val="tx1"/>
                  </w14:solidFill>
                </w14:textFill>
              </w:rPr>
              <w:t>参考《工业循环冷却水处理设计规范》</w:t>
            </w:r>
            <w:r>
              <w:rPr>
                <w:rFonts w:ascii="Times New Roman" w:hAnsi="Times New Roman" w:eastAsia="宋体" w:cs="Times New Roman"/>
                <w:color w:val="000000" w:themeColor="text1"/>
                <w:sz w:val="24"/>
                <w14:textFill>
                  <w14:solidFill>
                    <w14:schemeClr w14:val="tx1"/>
                  </w14:solidFill>
                </w14:textFill>
              </w:rPr>
              <w:t>（GB/T50050-2017</w:t>
            </w:r>
            <w:r>
              <w:rPr>
                <w:rFonts w:hint="eastAsia" w:ascii="Calibri" w:hAnsi="Calibri" w:eastAsia="宋体" w:cs="Times New Roman"/>
                <w:color w:val="000000" w:themeColor="text1"/>
                <w:sz w:val="24"/>
                <w14:textFill>
                  <w14:solidFill>
                    <w14:schemeClr w14:val="tx1"/>
                  </w14:solidFill>
                </w14:textFill>
              </w:rPr>
              <w:t>）中第五章补充水处理的相关内容，本</w:t>
            </w:r>
            <w:r>
              <w:rPr>
                <w:rFonts w:hint="eastAsia" w:ascii="Calibri" w:hAnsi="Calibri" w:eastAsia="宋体" w:cs="Times New Roman"/>
                <w:color w:val="000000" w:themeColor="text1"/>
                <w:sz w:val="24"/>
                <w:lang w:eastAsia="zh-CN"/>
                <w14:textFill>
                  <w14:solidFill>
                    <w14:schemeClr w14:val="tx1"/>
                  </w14:solidFill>
                </w14:textFill>
              </w:rPr>
              <w:t>项目</w:t>
            </w:r>
            <w:r>
              <w:rPr>
                <w:rFonts w:hint="eastAsia" w:ascii="Calibri" w:hAnsi="Calibri" w:eastAsia="宋体" w:cs="Times New Roman"/>
                <w:color w:val="000000" w:themeColor="text1"/>
                <w:sz w:val="24"/>
                <w14:textFill>
                  <w14:solidFill>
                    <w14:schemeClr w14:val="tx1"/>
                  </w14:solidFill>
                </w14:textFill>
              </w:rPr>
              <w:t>的蒸发水量损失水率宜按下列公式进行计算</w:t>
            </w:r>
            <w:r>
              <w:rPr>
                <w:rFonts w:ascii="Times New Roman" w:hAnsi="Times New Roman" w:eastAsia="宋体" w:cs="Times New Roman"/>
                <w:color w:val="000000" w:themeColor="text1"/>
                <w:sz w:val="24"/>
                <w:lang w:bidi="zh-CN"/>
                <w14:textFill>
                  <w14:solidFill>
                    <w14:schemeClr w14:val="tx1"/>
                  </w14:solidFill>
                </w14:textFill>
              </w:rPr>
              <w:t>：</w:t>
            </w:r>
          </w:p>
          <w:p w14:paraId="22B9B12E">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ascii="Times New Roman" w:hAnsi="Times New Roman" w:eastAsia="宋体" w:cs="Times New Roman"/>
                <w:color w:val="000000" w:themeColor="text1"/>
                <w:sz w:val="24"/>
                <w:lang w:bidi="zh-CN"/>
                <w14:textFill>
                  <w14:solidFill>
                    <w14:schemeClr w14:val="tx1"/>
                  </w14:solidFill>
                </w14:textFill>
              </w:rPr>
              <w:t>Qc=K</w:t>
            </w:r>
            <w:r>
              <w:rPr>
                <w:rFonts w:ascii="Times New Roman" w:hAnsi="Times New Roman" w:eastAsia="宋体" w:cs="Times New Roman"/>
                <w:color w:val="000000" w:themeColor="text1"/>
                <w:sz w:val="24"/>
                <w:vertAlign w:val="subscript"/>
                <w:lang w:bidi="zh-CN"/>
                <w14:textFill>
                  <w14:solidFill>
                    <w14:schemeClr w14:val="tx1"/>
                  </w14:solidFill>
                </w14:textFill>
              </w:rPr>
              <w:t>1</w:t>
            </w:r>
            <w:r>
              <w:rPr>
                <w:rFonts w:ascii="Times New Roman" w:hAnsi="Times New Roman" w:eastAsia="宋体" w:cs="Times New Roman"/>
                <w:color w:val="000000" w:themeColor="text1"/>
                <w:sz w:val="24"/>
                <w:lang w:bidi="zh-CN"/>
                <w14:textFill>
                  <w14:solidFill>
                    <w14:schemeClr w14:val="tx1"/>
                  </w14:solidFill>
                </w14:textFill>
              </w:rPr>
              <w:t>ΔtQ</w:t>
            </w:r>
          </w:p>
          <w:p w14:paraId="48CF0482">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ascii="Times New Roman" w:hAnsi="Times New Roman" w:eastAsia="宋体" w:cs="Times New Roman"/>
                <w:color w:val="000000" w:themeColor="text1"/>
                <w:sz w:val="24"/>
                <w:lang w:bidi="zh-CN"/>
                <w14:textFill>
                  <w14:solidFill>
                    <w14:schemeClr w14:val="tx1"/>
                  </w14:solidFill>
                </w14:textFill>
              </w:rPr>
              <w:t>式中Qc——蒸发损失水量，t/h；</w:t>
            </w:r>
          </w:p>
          <w:p w14:paraId="48ECBE0D">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ascii="Times New Roman" w:hAnsi="Times New Roman" w:eastAsia="宋体" w:cs="Times New Roman"/>
                <w:color w:val="000000" w:themeColor="text1"/>
                <w:sz w:val="24"/>
                <w:lang w:bidi="zh-CN"/>
                <w14:textFill>
                  <w14:solidFill>
                    <w14:schemeClr w14:val="tx1"/>
                  </w14:solidFill>
                </w14:textFill>
              </w:rPr>
              <w:t>Δt——冷却塔进水与出水温度差，℃，本项目取</w:t>
            </w:r>
            <w:r>
              <w:rPr>
                <w:rFonts w:hint="eastAsia" w:ascii="Times New Roman" w:hAnsi="Times New Roman" w:eastAsia="宋体" w:cs="Times New Roman"/>
                <w:color w:val="000000" w:themeColor="text1"/>
                <w:sz w:val="24"/>
                <w:lang w:bidi="zh-CN"/>
                <w14:textFill>
                  <w14:solidFill>
                    <w14:schemeClr w14:val="tx1"/>
                  </w14:solidFill>
                </w14:textFill>
              </w:rPr>
              <w:t>1</w:t>
            </w:r>
            <w:r>
              <w:rPr>
                <w:rFonts w:ascii="Times New Roman" w:hAnsi="Times New Roman" w:eastAsia="宋体" w:cs="Times New Roman"/>
                <w:color w:val="000000" w:themeColor="text1"/>
                <w:sz w:val="24"/>
                <w:lang w:bidi="zh-CN"/>
                <w14:textFill>
                  <w14:solidFill>
                    <w14:schemeClr w14:val="tx1"/>
                  </w14:solidFill>
                </w14:textFill>
              </w:rPr>
              <w:t>0；</w:t>
            </w:r>
          </w:p>
          <w:p w14:paraId="3D43D5DC">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hint="eastAsia" w:ascii="Times New Roman" w:hAnsi="Times New Roman" w:eastAsia="宋体" w:cs="Times New Roman"/>
                <w:color w:val="000000" w:themeColor="text1"/>
                <w:sz w:val="24"/>
                <w:lang w:bidi="zh-CN"/>
                <w14:textFill>
                  <w14:solidFill>
                    <w14:schemeClr w14:val="tx1"/>
                  </w14:solidFill>
                </w14:textFill>
              </w:rPr>
              <w:t>Q——循环水量，t/h，本项目取值10；</w:t>
            </w:r>
          </w:p>
          <w:p w14:paraId="6E702A4B">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hint="eastAsia" w:ascii="Times New Roman" w:hAnsi="Times New Roman" w:eastAsia="宋体" w:cs="Times New Roman"/>
                <w:color w:val="000000" w:themeColor="text1"/>
                <w:sz w:val="24"/>
                <w:lang w:bidi="zh-CN"/>
                <w14:textFill>
                  <w14:solidFill>
                    <w14:schemeClr w14:val="tx1"/>
                  </w14:solidFill>
                </w14:textFill>
              </w:rPr>
              <w:t>K</w:t>
            </w:r>
            <w:r>
              <w:rPr>
                <w:rFonts w:hint="eastAsia" w:ascii="Times New Roman" w:hAnsi="Times New Roman" w:eastAsia="宋体" w:cs="Times New Roman"/>
                <w:color w:val="000000" w:themeColor="text1"/>
                <w:sz w:val="24"/>
                <w:vertAlign w:val="subscript"/>
                <w:lang w:bidi="zh-CN"/>
                <w14:textFill>
                  <w14:solidFill>
                    <w14:schemeClr w14:val="tx1"/>
                  </w14:solidFill>
                </w14:textFill>
              </w:rPr>
              <w:t>1</w:t>
            </w:r>
            <w:r>
              <w:rPr>
                <w:rFonts w:hint="eastAsia" w:ascii="Times New Roman" w:hAnsi="Times New Roman" w:eastAsia="宋体" w:cs="Times New Roman"/>
                <w:color w:val="000000" w:themeColor="text1"/>
                <w:sz w:val="24"/>
                <w:lang w:bidi="zh-CN"/>
                <w14:textFill>
                  <w14:solidFill>
                    <w14:schemeClr w14:val="tx1"/>
                  </w14:solidFill>
                </w14:textFill>
              </w:rPr>
              <w:t>——蒸发系数，</w:t>
            </w:r>
            <w:r>
              <w:rPr>
                <w:rFonts w:ascii="Times New Roman" w:hAnsi="Times New Roman" w:eastAsia="宋体" w:cs="Times New Roman"/>
                <w:color w:val="000000" w:themeColor="text1"/>
                <w:sz w:val="24"/>
                <w:lang w:bidi="zh-CN"/>
                <w14:textFill>
                  <w14:solidFill>
                    <w14:schemeClr w14:val="tx1"/>
                  </w14:solidFill>
                </w14:textFill>
              </w:rPr>
              <w:t>℃</w:t>
            </w:r>
            <w:r>
              <w:rPr>
                <w:rFonts w:hint="eastAsia" w:ascii="Times New Roman" w:hAnsi="Times New Roman" w:eastAsia="宋体" w:cs="Times New Roman"/>
                <w:color w:val="000000" w:themeColor="text1"/>
                <w:sz w:val="24"/>
                <w:lang w:bidi="zh-CN"/>
                <w14:textFill>
                  <w14:solidFill>
                    <w14:schemeClr w14:val="tx1"/>
                  </w14:solidFill>
                </w14:textFill>
              </w:rPr>
              <w:t>-1，本项目取0.0014（气温取20</w:t>
            </w:r>
            <w:r>
              <w:rPr>
                <w:rFonts w:ascii="Times New Roman" w:hAnsi="Times New Roman" w:eastAsia="宋体" w:cs="Times New Roman"/>
                <w:color w:val="000000" w:themeColor="text1"/>
                <w:sz w:val="24"/>
                <w:lang w:bidi="zh-CN"/>
                <w14:textFill>
                  <w14:solidFill>
                    <w14:schemeClr w14:val="tx1"/>
                  </w14:solidFill>
                </w14:textFill>
              </w:rPr>
              <w:t>℃</w:t>
            </w:r>
            <w:r>
              <w:rPr>
                <w:rFonts w:hint="eastAsia" w:ascii="Times New Roman" w:hAnsi="Times New Roman" w:eastAsia="宋体" w:cs="Times New Roman"/>
                <w:color w:val="000000" w:themeColor="text1"/>
                <w:sz w:val="24"/>
                <w:lang w:bidi="zh-CN"/>
                <w14:textFill>
                  <w14:solidFill>
                    <w14:schemeClr w14:val="tx1"/>
                  </w14:solidFill>
                </w14:textFill>
              </w:rPr>
              <w:t>）。</w:t>
            </w:r>
          </w:p>
          <w:p w14:paraId="60136320">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hint="eastAsia" w:ascii="Times New Roman" w:hAnsi="Times New Roman" w:eastAsia="宋体" w:cs="Times New Roman"/>
                <w:color w:val="000000" w:themeColor="text1"/>
                <w:sz w:val="24"/>
                <w:lang w:bidi="zh-CN"/>
                <w14:textFill>
                  <w14:solidFill>
                    <w14:schemeClr w14:val="tx1"/>
                  </w14:solidFill>
                </w14:textFill>
              </w:rPr>
              <w:t>冷却装置每天工作8h，年工作3</w:t>
            </w:r>
            <w:r>
              <w:rPr>
                <w:rFonts w:ascii="Times New Roman" w:hAnsi="Times New Roman" w:eastAsia="宋体" w:cs="Times New Roman"/>
                <w:color w:val="000000" w:themeColor="text1"/>
                <w:sz w:val="24"/>
                <w:lang w:bidi="zh-CN"/>
                <w14:textFill>
                  <w14:solidFill>
                    <w14:schemeClr w14:val="tx1"/>
                  </w14:solidFill>
                </w14:textFill>
              </w:rPr>
              <w:t>00天</w:t>
            </w:r>
            <w:r>
              <w:rPr>
                <w:rFonts w:hint="eastAsia" w:ascii="Times New Roman" w:hAnsi="Times New Roman" w:eastAsia="宋体" w:cs="Times New Roman"/>
                <w:color w:val="000000" w:themeColor="text1"/>
                <w:sz w:val="24"/>
                <w:lang w:bidi="zh-CN"/>
                <w14:textFill>
                  <w14:solidFill>
                    <w14:schemeClr w14:val="tx1"/>
                  </w14:solidFill>
                </w14:textFill>
              </w:rPr>
              <w:t>，经计算，项目冷却塔冷却水蒸发损耗量为0.</w:t>
            </w:r>
            <w:r>
              <w:rPr>
                <w:rFonts w:ascii="Times New Roman" w:hAnsi="Times New Roman" w:eastAsia="宋体" w:cs="Times New Roman"/>
                <w:color w:val="000000" w:themeColor="text1"/>
                <w:sz w:val="24"/>
                <w:lang w:bidi="zh-CN"/>
                <w14:textFill>
                  <w14:solidFill>
                    <w14:schemeClr w14:val="tx1"/>
                  </w14:solidFill>
                </w14:textFill>
              </w:rPr>
              <w:t>14</w:t>
            </w:r>
            <w:r>
              <w:rPr>
                <w:rFonts w:hint="eastAsia" w:ascii="Times New Roman" w:hAnsi="Times New Roman" w:eastAsia="宋体" w:cs="Times New Roman"/>
                <w:color w:val="000000" w:themeColor="text1"/>
                <w:sz w:val="24"/>
                <w:lang w:bidi="zh-CN"/>
                <w14:textFill>
                  <w14:solidFill>
                    <w14:schemeClr w14:val="tx1"/>
                  </w14:solidFill>
                </w14:textFill>
              </w:rPr>
              <w:t>t/h，日损耗量为1</w:t>
            </w:r>
            <w:r>
              <w:rPr>
                <w:rFonts w:ascii="Times New Roman" w:hAnsi="Times New Roman" w:eastAsia="宋体" w:cs="Times New Roman"/>
                <w:color w:val="000000" w:themeColor="text1"/>
                <w:sz w:val="24"/>
                <w:lang w:bidi="zh-CN"/>
                <w14:textFill>
                  <w14:solidFill>
                    <w14:schemeClr w14:val="tx1"/>
                  </w14:solidFill>
                </w14:textFill>
              </w:rPr>
              <w:t>.12t/d，年损耗量为336t</w:t>
            </w:r>
            <w:r>
              <w:rPr>
                <w:rFonts w:hint="eastAsia" w:ascii="Times New Roman" w:hAnsi="Times New Roman" w:eastAsia="宋体" w:cs="Times New Roman"/>
                <w:color w:val="000000" w:themeColor="text1"/>
                <w:sz w:val="24"/>
                <w:lang w:bidi="zh-CN"/>
                <w14:textFill>
                  <w14:solidFill>
                    <w14:schemeClr w14:val="tx1"/>
                  </w14:solidFill>
                </w14:textFill>
              </w:rPr>
              <w:t>/a，年用水量为3</w:t>
            </w:r>
            <w:r>
              <w:rPr>
                <w:rFonts w:ascii="Times New Roman" w:hAnsi="Times New Roman" w:eastAsia="宋体" w:cs="Times New Roman"/>
                <w:color w:val="000000" w:themeColor="text1"/>
                <w:sz w:val="24"/>
                <w:lang w:bidi="zh-CN"/>
                <w14:textFill>
                  <w14:solidFill>
                    <w14:schemeClr w14:val="tx1"/>
                  </w14:solidFill>
                </w14:textFill>
              </w:rPr>
              <w:t>61t/a，</w:t>
            </w:r>
            <w:r>
              <w:rPr>
                <w:rFonts w:hint="eastAsia" w:ascii="Times New Roman" w:hAnsi="Times New Roman" w:eastAsia="宋体" w:cs="Times New Roman"/>
                <w:color w:val="000000" w:themeColor="text1"/>
                <w:sz w:val="24"/>
                <w:lang w:bidi="zh-CN"/>
                <w14:textFill>
                  <w14:solidFill>
                    <w14:schemeClr w14:val="tx1"/>
                  </w14:solidFill>
                </w14:textFill>
              </w:rPr>
              <w:t>冷却塔冷却水循环使用，需定期补充以保证冷却塔的正常运行。冷却塔无需外加防结垢剂</w:t>
            </w:r>
            <w:r>
              <w:rPr>
                <w:rFonts w:ascii="Times New Roman" w:hAnsi="Times New Roman" w:eastAsia="宋体" w:cs="Times New Roman"/>
                <w:color w:val="000000" w:themeColor="text1"/>
                <w:sz w:val="24"/>
                <w:lang w:bidi="zh-CN"/>
                <w14:textFill>
                  <w14:solidFill>
                    <w14:schemeClr w14:val="tx1"/>
                  </w14:solidFill>
                </w14:textFill>
              </w:rPr>
              <w:t>。</w:t>
            </w:r>
          </w:p>
          <w:p w14:paraId="62CEA168">
            <w:pPr>
              <w:spacing w:line="360" w:lineRule="auto"/>
              <w:ind w:firstLine="480" w:firstLineChars="200"/>
              <w:rPr>
                <w:rFonts w:ascii="Times New Roman" w:hAnsi="Times New Roman" w:eastAsia="宋体" w:cs="Times New Roman"/>
                <w:color w:val="000000" w:themeColor="text1"/>
                <w:sz w:val="24"/>
                <w:lang w:bidi="zh-CN"/>
                <w14:textFill>
                  <w14:solidFill>
                    <w14:schemeClr w14:val="tx1"/>
                  </w14:solidFill>
                </w14:textFill>
              </w:rPr>
            </w:pPr>
            <w:r>
              <w:rPr>
                <w:rFonts w:hint="eastAsia" w:ascii="Times New Roman" w:hAnsi="Times New Roman" w:eastAsia="宋体" w:cs="Times New Roman"/>
                <w:color w:val="000000" w:themeColor="text1"/>
                <w:sz w:val="24"/>
                <w:lang w:bidi="zh-CN"/>
                <w14:textFill>
                  <w14:solidFill>
                    <w14:schemeClr w14:val="tx1"/>
                  </w14:solidFill>
                </w14:textFill>
              </w:rPr>
              <w:t>冷却塔平均</w:t>
            </w:r>
            <w:r>
              <w:rPr>
                <w:rFonts w:ascii="Times New Roman" w:hAnsi="Times New Roman" w:eastAsia="宋体" w:cs="Times New Roman"/>
                <w:color w:val="000000" w:themeColor="text1"/>
                <w:sz w:val="24"/>
                <w:lang w:bidi="zh-CN"/>
                <w14:textFill>
                  <w14:solidFill>
                    <w14:schemeClr w14:val="tx1"/>
                  </w14:solidFill>
                </w14:textFill>
              </w:rPr>
              <w:t>一年排</w:t>
            </w:r>
            <w:r>
              <w:rPr>
                <w:rFonts w:hint="eastAsia" w:ascii="Times New Roman" w:hAnsi="Times New Roman" w:eastAsia="宋体" w:cs="Times New Roman"/>
                <w:color w:val="000000" w:themeColor="text1"/>
                <w:sz w:val="24"/>
                <w:lang w:bidi="zh-CN"/>
                <w14:textFill>
                  <w14:solidFill>
                    <w14:schemeClr w14:val="tx1"/>
                  </w14:solidFill>
                </w14:textFill>
              </w:rPr>
              <w:t>一次</w:t>
            </w:r>
            <w:r>
              <w:rPr>
                <w:rFonts w:ascii="Times New Roman" w:hAnsi="Times New Roman" w:eastAsia="宋体" w:cs="Times New Roman"/>
                <w:color w:val="000000" w:themeColor="text1"/>
                <w:sz w:val="24"/>
                <w:lang w:bidi="zh-CN"/>
                <w14:textFill>
                  <w14:solidFill>
                    <w14:schemeClr w14:val="tx1"/>
                  </w14:solidFill>
                </w14:textFill>
              </w:rPr>
              <w:t>水，排水量为25m</w:t>
            </w:r>
            <w:r>
              <w:rPr>
                <w:rFonts w:ascii="Times New Roman" w:hAnsi="Times New Roman" w:eastAsia="宋体" w:cs="Times New Roman"/>
                <w:color w:val="000000" w:themeColor="text1"/>
                <w:sz w:val="24"/>
                <w:vertAlign w:val="superscript"/>
                <w:lang w:bidi="zh-CN"/>
                <w14:textFill>
                  <w14:solidFill>
                    <w14:schemeClr w14:val="tx1"/>
                  </w14:solidFill>
                </w14:textFill>
              </w:rPr>
              <w:t>3</w:t>
            </w:r>
            <w:r>
              <w:rPr>
                <w:rFonts w:ascii="Times New Roman" w:hAnsi="Times New Roman" w:eastAsia="宋体" w:cs="Times New Roman"/>
                <w:color w:val="000000" w:themeColor="text1"/>
                <w:sz w:val="24"/>
                <w:lang w:bidi="zh-CN"/>
                <w14:textFill>
                  <w14:solidFill>
                    <w14:schemeClr w14:val="tx1"/>
                  </w14:solidFill>
                </w14:textFill>
              </w:rPr>
              <w:t>/</w:t>
            </w:r>
            <w:r>
              <w:rPr>
                <w:rFonts w:hint="eastAsia" w:ascii="Times New Roman" w:hAnsi="Times New Roman" w:eastAsia="宋体" w:cs="Times New Roman"/>
                <w:color w:val="000000" w:themeColor="text1"/>
                <w:sz w:val="24"/>
                <w:lang w:bidi="zh-CN"/>
                <w14:textFill>
                  <w14:solidFill>
                    <w14:schemeClr w14:val="tx1"/>
                  </w14:solidFill>
                </w14:textFill>
              </w:rPr>
              <w:t>次</w:t>
            </w:r>
            <w:r>
              <w:rPr>
                <w:rFonts w:ascii="Times New Roman" w:hAnsi="Times New Roman" w:eastAsia="宋体" w:cs="Times New Roman"/>
                <w:color w:val="000000" w:themeColor="text1"/>
                <w:sz w:val="24"/>
                <w:lang w:bidi="zh-CN"/>
                <w14:textFill>
                  <w14:solidFill>
                    <w14:schemeClr w14:val="tx1"/>
                  </w14:solidFill>
                </w14:textFill>
              </w:rPr>
              <w:t>，年补充用水量为25t/a。</w:t>
            </w:r>
            <w:r>
              <w:rPr>
                <w:rFonts w:hint="eastAsia" w:ascii="Times New Roman" w:hAnsi="Times New Roman" w:eastAsia="宋体" w:cs="Times New Roman"/>
                <w:color w:val="000000" w:themeColor="text1"/>
                <w:sz w:val="24"/>
                <w:lang w:bidi="zh-CN"/>
                <w14:textFill>
                  <w14:solidFill>
                    <w14:schemeClr w14:val="tx1"/>
                  </w14:solidFill>
                </w14:textFill>
              </w:rPr>
              <w:t>由于冷却塔无需外加药剂，冷却塔排水无特征污染物，属于清净下水，</w:t>
            </w:r>
            <w:r>
              <w:rPr>
                <w:rFonts w:ascii="Times New Roman" w:hAnsi="Times New Roman" w:eastAsia="宋体" w:cs="Times New Roman"/>
                <w:color w:val="000000" w:themeColor="text1"/>
                <w:sz w:val="24"/>
                <w:lang w:bidi="zh-CN"/>
                <w14:textFill>
                  <w14:solidFill>
                    <w14:schemeClr w14:val="tx1"/>
                  </w14:solidFill>
                </w14:textFill>
              </w:rPr>
              <w:t xml:space="preserve">接入市政污水管网排入园区污水处理厂处理。 </w:t>
            </w:r>
          </w:p>
          <w:p w14:paraId="5322F0C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水帘喷漆柜、喷淋废水</w:t>
            </w:r>
          </w:p>
          <w:p w14:paraId="6151B688">
            <w:pPr>
              <w:keepNext w:val="0"/>
              <w:keepLines w:val="0"/>
              <w:pageBreakBefore w:val="0"/>
              <w:widowControl w:val="0"/>
              <w:kinsoku/>
              <w:wordWrap w:val="0"/>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本项目</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喷涂工序</w:t>
            </w:r>
            <w:r>
              <w:rPr>
                <w:rFonts w:hint="default" w:ascii="Times New Roman" w:hAnsi="Times New Roman" w:cs="Times New Roman"/>
                <w:b w:val="0"/>
                <w:bCs w:val="0"/>
                <w:color w:val="000000" w:themeColor="text1"/>
                <w:sz w:val="24"/>
                <w:szCs w:val="24"/>
                <w:highlight w:val="none"/>
                <w14:textFill>
                  <w14:solidFill>
                    <w14:schemeClr w14:val="tx1"/>
                  </w14:solidFill>
                </w14:textFill>
              </w:rPr>
              <w:t>配套“</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水帘柜</w:t>
            </w:r>
            <w:r>
              <w:rPr>
                <w:rFonts w:hint="default" w:ascii="Times New Roman" w:hAnsi="Times New Roman" w:cs="Times New Roman"/>
                <w:b w:val="0"/>
                <w:bCs w:val="0"/>
                <w:color w:val="000000" w:themeColor="text1"/>
                <w:sz w:val="24"/>
                <w:szCs w:val="24"/>
                <w:highlight w:val="none"/>
                <w14:textFill>
                  <w14:solidFill>
                    <w14:schemeClr w14:val="tx1"/>
                  </w14:solidFill>
                </w14:textFill>
              </w:rPr>
              <w:t>喷淋+干式过滤器+</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二</w:t>
            </w:r>
            <w:r>
              <w:rPr>
                <w:rFonts w:hint="default" w:ascii="Times New Roman" w:hAnsi="Times New Roman" w:cs="Times New Roman"/>
                <w:b w:val="0"/>
                <w:bCs w:val="0"/>
                <w:color w:val="000000" w:themeColor="text1"/>
                <w:sz w:val="24"/>
                <w:szCs w:val="24"/>
                <w:highlight w:val="none"/>
                <w14:textFill>
                  <w14:solidFill>
                    <w14:schemeClr w14:val="tx1"/>
                  </w14:solidFill>
                </w14:textFill>
              </w:rPr>
              <w:t>级活性炭吸附</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装置</w:t>
            </w:r>
            <w:r>
              <w:rPr>
                <w:rFonts w:hint="default" w:ascii="Times New Roman" w:hAnsi="Times New Roman" w:cs="Times New Roman"/>
                <w:b w:val="0"/>
                <w:bCs w:val="0"/>
                <w:color w:val="000000" w:themeColor="text1"/>
                <w:sz w:val="24"/>
                <w:szCs w:val="24"/>
                <w:highlight w:val="none"/>
                <w14:textFill>
                  <w14:solidFill>
                    <w14:schemeClr w14:val="tx1"/>
                  </w14:solidFill>
                </w14:textFill>
              </w:rPr>
              <w:t>”废气处理设施对废气进行收集处理，</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由前文计算可知，</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每年产生的水帘柜喷淋废水为60</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，喷淋塔废水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4.8</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交由有危废资质单位处置</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w:t>
            </w:r>
          </w:p>
          <w:p w14:paraId="6C24DC3E">
            <w:pPr>
              <w:pStyle w:val="61"/>
              <w:numPr>
                <w:ilvl w:val="0"/>
                <w:numId w:val="0"/>
              </w:numPr>
              <w:rPr>
                <w:rFonts w:hint="default"/>
                <w:color w:val="000000" w:themeColor="text1"/>
                <w:lang w:val="en-US" w:eastAsia="zh-CN"/>
                <w14:textFill>
                  <w14:solidFill>
                    <w14:schemeClr w14:val="tx1"/>
                  </w14:solidFill>
                </w14:textFill>
              </w:rPr>
            </w:pPr>
          </w:p>
          <w:p w14:paraId="705115CB">
            <w:pPr>
              <w:spacing w:line="30" w:lineRule="atLeast"/>
              <w:jc w:val="center"/>
              <w:rPr>
                <w:rFonts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表4-</w:t>
            </w:r>
            <w:r>
              <w:rPr>
                <w:rFonts w:hint="eastAsia" w:ascii="Times New Roman" w:hAnsi="Times New Roman" w:eastAsia="宋体" w:cs="Times New Roman"/>
                <w:b/>
                <w:bCs/>
                <w:color w:val="000000" w:themeColor="text1"/>
                <w:lang w:val="en-US" w:eastAsia="zh-CN"/>
                <w14:textFill>
                  <w14:solidFill>
                    <w14:schemeClr w14:val="tx1"/>
                  </w14:solidFill>
                </w14:textFill>
              </w:rPr>
              <w:t>17</w:t>
            </w:r>
            <w:r>
              <w:rPr>
                <w:rFonts w:ascii="Times New Roman" w:hAnsi="Times New Roman" w:eastAsia="宋体" w:cs="Times New Roman"/>
                <w:b/>
                <w:bCs/>
                <w:color w:val="000000" w:themeColor="text1"/>
                <w14:textFill>
                  <w14:solidFill>
                    <w14:schemeClr w14:val="tx1"/>
                  </w14:solidFill>
                </w14:textFill>
              </w:rPr>
              <w:t xml:space="preserve"> </w:t>
            </w:r>
            <w:r>
              <w:rPr>
                <w:rFonts w:hint="eastAsia" w:ascii="Times New Roman" w:hAnsi="Times New Roman" w:eastAsia="宋体" w:cs="Times New Roman"/>
                <w:b/>
                <w:bCs/>
                <w:color w:val="000000" w:themeColor="text1"/>
                <w14:textFill>
                  <w14:solidFill>
                    <w14:schemeClr w14:val="tx1"/>
                  </w14:solidFill>
                </w14:textFill>
              </w:rPr>
              <w:t>本</w:t>
            </w:r>
            <w:r>
              <w:rPr>
                <w:rFonts w:hint="eastAsia" w:ascii="Times New Roman" w:hAnsi="Times New Roman" w:eastAsia="宋体" w:cs="Times New Roman"/>
                <w:b/>
                <w:bCs/>
                <w:color w:val="000000" w:themeColor="text1"/>
                <w:lang w:eastAsia="zh-CN"/>
                <w14:textFill>
                  <w14:solidFill>
                    <w14:schemeClr w14:val="tx1"/>
                  </w14:solidFill>
                </w14:textFill>
              </w:rPr>
              <w:t>项目</w:t>
            </w:r>
            <w:r>
              <w:rPr>
                <w:rFonts w:hint="eastAsia" w:ascii="Times New Roman" w:hAnsi="Times New Roman" w:eastAsia="宋体" w:cs="Times New Roman"/>
                <w:b/>
                <w:bCs/>
                <w:color w:val="000000" w:themeColor="text1"/>
                <w14:textFill>
                  <w14:solidFill>
                    <w14:schemeClr w14:val="tx1"/>
                  </w14:solidFill>
                </w14:textFill>
              </w:rPr>
              <w:t>废水类别、污染物及污染治理设施信息表</w:t>
            </w:r>
          </w:p>
          <w:tbl>
            <w:tblPr>
              <w:tblStyle w:val="4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
              <w:gridCol w:w="531"/>
              <w:gridCol w:w="870"/>
              <w:gridCol w:w="645"/>
              <w:gridCol w:w="645"/>
              <w:gridCol w:w="755"/>
              <w:gridCol w:w="867"/>
              <w:gridCol w:w="864"/>
              <w:gridCol w:w="660"/>
              <w:gridCol w:w="735"/>
              <w:gridCol w:w="698"/>
            </w:tblGrid>
            <w:tr w14:paraId="4A62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dxa"/>
                  <w:vMerge w:val="restart"/>
                  <w:vAlign w:val="center"/>
                </w:tcPr>
                <w:p w14:paraId="71BE108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序号</w:t>
                  </w:r>
                </w:p>
              </w:tc>
              <w:tc>
                <w:tcPr>
                  <w:tcW w:w="531" w:type="dxa"/>
                  <w:vMerge w:val="restart"/>
                  <w:vAlign w:val="center"/>
                </w:tcPr>
                <w:p w14:paraId="238D91D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废水类别</w:t>
                  </w:r>
                </w:p>
              </w:tc>
              <w:tc>
                <w:tcPr>
                  <w:tcW w:w="870" w:type="dxa"/>
                  <w:vMerge w:val="restart"/>
                  <w:vAlign w:val="center"/>
                </w:tcPr>
                <w:p w14:paraId="091FD95E">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污染物种类</w:t>
                  </w:r>
                </w:p>
              </w:tc>
              <w:tc>
                <w:tcPr>
                  <w:tcW w:w="645" w:type="dxa"/>
                  <w:vMerge w:val="restart"/>
                  <w:vAlign w:val="center"/>
                </w:tcPr>
                <w:p w14:paraId="25E2A7D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排放去向</w:t>
                  </w:r>
                </w:p>
              </w:tc>
              <w:tc>
                <w:tcPr>
                  <w:tcW w:w="645" w:type="dxa"/>
                  <w:vMerge w:val="restart"/>
                  <w:vAlign w:val="center"/>
                </w:tcPr>
                <w:p w14:paraId="034DC1E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排放规律</w:t>
                  </w:r>
                </w:p>
              </w:tc>
              <w:tc>
                <w:tcPr>
                  <w:tcW w:w="2486" w:type="dxa"/>
                  <w:gridSpan w:val="3"/>
                  <w:vAlign w:val="center"/>
                </w:tcPr>
                <w:p w14:paraId="5914190D">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污染治理设施</w:t>
                  </w:r>
                </w:p>
              </w:tc>
              <w:tc>
                <w:tcPr>
                  <w:tcW w:w="660" w:type="dxa"/>
                  <w:vMerge w:val="restart"/>
                  <w:vAlign w:val="center"/>
                </w:tcPr>
                <w:p w14:paraId="7311DDA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排放口编号</w:t>
                  </w:r>
                </w:p>
              </w:tc>
              <w:tc>
                <w:tcPr>
                  <w:tcW w:w="735" w:type="dxa"/>
                  <w:vMerge w:val="restart"/>
                  <w:vAlign w:val="center"/>
                </w:tcPr>
                <w:p w14:paraId="0F71C0B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排放口设施是否符合要求</w:t>
                  </w:r>
                </w:p>
              </w:tc>
              <w:tc>
                <w:tcPr>
                  <w:tcW w:w="698" w:type="dxa"/>
                  <w:vMerge w:val="restart"/>
                  <w:vAlign w:val="center"/>
                </w:tcPr>
                <w:p w14:paraId="19FAECF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排放口类型</w:t>
                  </w:r>
                </w:p>
              </w:tc>
            </w:tr>
            <w:tr w14:paraId="53FFE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dxa"/>
                  <w:vMerge w:val="continue"/>
                  <w:vAlign w:val="center"/>
                </w:tcPr>
                <w:p w14:paraId="47CD3E36">
                  <w:pPr>
                    <w:jc w:val="center"/>
                    <w:rPr>
                      <w:rFonts w:ascii="Times New Roman" w:hAnsi="Times New Roman" w:eastAsia="宋体" w:cs="Times New Roman"/>
                      <w:color w:val="000000" w:themeColor="text1"/>
                      <w:szCs w:val="21"/>
                      <w14:textFill>
                        <w14:solidFill>
                          <w14:schemeClr w14:val="tx1"/>
                        </w14:solidFill>
                      </w14:textFill>
                    </w:rPr>
                  </w:pPr>
                </w:p>
              </w:tc>
              <w:tc>
                <w:tcPr>
                  <w:tcW w:w="531" w:type="dxa"/>
                  <w:vMerge w:val="continue"/>
                  <w:vAlign w:val="center"/>
                </w:tcPr>
                <w:p w14:paraId="27D886AB">
                  <w:pPr>
                    <w:jc w:val="center"/>
                    <w:rPr>
                      <w:rFonts w:ascii="Times New Roman" w:hAnsi="Times New Roman" w:eastAsia="宋体" w:cs="Times New Roman"/>
                      <w:color w:val="000000" w:themeColor="text1"/>
                      <w:szCs w:val="21"/>
                      <w14:textFill>
                        <w14:solidFill>
                          <w14:schemeClr w14:val="tx1"/>
                        </w14:solidFill>
                      </w14:textFill>
                    </w:rPr>
                  </w:pPr>
                </w:p>
              </w:tc>
              <w:tc>
                <w:tcPr>
                  <w:tcW w:w="870" w:type="dxa"/>
                  <w:vMerge w:val="continue"/>
                  <w:vAlign w:val="center"/>
                </w:tcPr>
                <w:p w14:paraId="38B31AEC">
                  <w:pPr>
                    <w:jc w:val="center"/>
                    <w:rPr>
                      <w:rFonts w:ascii="Times New Roman" w:hAnsi="Times New Roman" w:eastAsia="宋体" w:cs="Times New Roman"/>
                      <w:color w:val="000000" w:themeColor="text1"/>
                      <w:szCs w:val="21"/>
                      <w14:textFill>
                        <w14:solidFill>
                          <w14:schemeClr w14:val="tx1"/>
                        </w14:solidFill>
                      </w14:textFill>
                    </w:rPr>
                  </w:pPr>
                </w:p>
              </w:tc>
              <w:tc>
                <w:tcPr>
                  <w:tcW w:w="645" w:type="dxa"/>
                  <w:vMerge w:val="continue"/>
                  <w:vAlign w:val="center"/>
                </w:tcPr>
                <w:p w14:paraId="4A1CB08B">
                  <w:pPr>
                    <w:jc w:val="center"/>
                    <w:rPr>
                      <w:rFonts w:ascii="Times New Roman" w:hAnsi="Times New Roman" w:eastAsia="宋体" w:cs="Times New Roman"/>
                      <w:color w:val="000000" w:themeColor="text1"/>
                      <w:szCs w:val="21"/>
                      <w14:textFill>
                        <w14:solidFill>
                          <w14:schemeClr w14:val="tx1"/>
                        </w14:solidFill>
                      </w14:textFill>
                    </w:rPr>
                  </w:pPr>
                </w:p>
              </w:tc>
              <w:tc>
                <w:tcPr>
                  <w:tcW w:w="645" w:type="dxa"/>
                  <w:vMerge w:val="continue"/>
                  <w:vAlign w:val="center"/>
                </w:tcPr>
                <w:p w14:paraId="49AD920C">
                  <w:pPr>
                    <w:jc w:val="center"/>
                    <w:rPr>
                      <w:rFonts w:ascii="Times New Roman" w:hAnsi="Times New Roman" w:eastAsia="宋体" w:cs="Times New Roman"/>
                      <w:color w:val="000000" w:themeColor="text1"/>
                      <w:szCs w:val="21"/>
                      <w14:textFill>
                        <w14:solidFill>
                          <w14:schemeClr w14:val="tx1"/>
                        </w14:solidFill>
                      </w14:textFill>
                    </w:rPr>
                  </w:pPr>
                </w:p>
              </w:tc>
              <w:tc>
                <w:tcPr>
                  <w:tcW w:w="755" w:type="dxa"/>
                  <w:vAlign w:val="center"/>
                </w:tcPr>
                <w:p w14:paraId="22C8B020">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污染治理设施编号</w:t>
                  </w:r>
                </w:p>
              </w:tc>
              <w:tc>
                <w:tcPr>
                  <w:tcW w:w="867" w:type="dxa"/>
                  <w:vAlign w:val="center"/>
                </w:tcPr>
                <w:p w14:paraId="0819865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污染治理设施名称</w:t>
                  </w:r>
                </w:p>
              </w:tc>
              <w:tc>
                <w:tcPr>
                  <w:tcW w:w="864" w:type="dxa"/>
                  <w:vAlign w:val="center"/>
                </w:tcPr>
                <w:p w14:paraId="56432206">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污染治理设施工艺</w:t>
                  </w:r>
                </w:p>
              </w:tc>
              <w:tc>
                <w:tcPr>
                  <w:tcW w:w="660" w:type="dxa"/>
                  <w:vMerge w:val="continue"/>
                  <w:vAlign w:val="center"/>
                </w:tcPr>
                <w:p w14:paraId="687D3464">
                  <w:pPr>
                    <w:jc w:val="center"/>
                    <w:rPr>
                      <w:rFonts w:ascii="Times New Roman" w:hAnsi="Times New Roman" w:eastAsia="宋体" w:cs="Times New Roman"/>
                      <w:color w:val="000000" w:themeColor="text1"/>
                      <w:szCs w:val="21"/>
                      <w14:textFill>
                        <w14:solidFill>
                          <w14:schemeClr w14:val="tx1"/>
                        </w14:solidFill>
                      </w14:textFill>
                    </w:rPr>
                  </w:pPr>
                </w:p>
              </w:tc>
              <w:tc>
                <w:tcPr>
                  <w:tcW w:w="735" w:type="dxa"/>
                  <w:vMerge w:val="continue"/>
                  <w:vAlign w:val="center"/>
                </w:tcPr>
                <w:p w14:paraId="264FD5F8">
                  <w:pPr>
                    <w:jc w:val="center"/>
                    <w:rPr>
                      <w:rFonts w:ascii="Times New Roman" w:hAnsi="Times New Roman" w:eastAsia="宋体" w:cs="Times New Roman"/>
                      <w:color w:val="000000" w:themeColor="text1"/>
                      <w:szCs w:val="21"/>
                      <w14:textFill>
                        <w14:solidFill>
                          <w14:schemeClr w14:val="tx1"/>
                        </w14:solidFill>
                      </w14:textFill>
                    </w:rPr>
                  </w:pPr>
                </w:p>
              </w:tc>
              <w:tc>
                <w:tcPr>
                  <w:tcW w:w="698" w:type="dxa"/>
                  <w:vMerge w:val="continue"/>
                  <w:vAlign w:val="center"/>
                </w:tcPr>
                <w:p w14:paraId="5FD04550">
                  <w:pPr>
                    <w:jc w:val="center"/>
                    <w:rPr>
                      <w:rFonts w:ascii="Times New Roman" w:hAnsi="Times New Roman" w:eastAsia="宋体" w:cs="Times New Roman"/>
                      <w:color w:val="000000" w:themeColor="text1"/>
                      <w:szCs w:val="21"/>
                      <w14:textFill>
                        <w14:solidFill>
                          <w14:schemeClr w14:val="tx1"/>
                        </w14:solidFill>
                      </w14:textFill>
                    </w:rPr>
                  </w:pPr>
                </w:p>
              </w:tc>
            </w:tr>
            <w:tr w14:paraId="3F82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dxa"/>
                  <w:vAlign w:val="center"/>
                </w:tcPr>
                <w:p w14:paraId="1C36B1A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p>
              </w:tc>
              <w:tc>
                <w:tcPr>
                  <w:tcW w:w="531" w:type="dxa"/>
                  <w:vAlign w:val="center"/>
                </w:tcPr>
                <w:p w14:paraId="794AB6B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生活污水</w:t>
                  </w:r>
                </w:p>
              </w:tc>
              <w:tc>
                <w:tcPr>
                  <w:tcW w:w="870" w:type="dxa"/>
                  <w:vAlign w:val="center"/>
                </w:tcPr>
                <w:p w14:paraId="424FD91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COD</w:t>
                  </w:r>
                  <w:r>
                    <w:rPr>
                      <w:rFonts w:hint="eastAsia" w:ascii="Times New Roman" w:hAnsi="Times New Roman" w:eastAsia="宋体" w:cs="Times New Roman"/>
                      <w:color w:val="000000" w:themeColor="text1"/>
                      <w:szCs w:val="21"/>
                      <w:vertAlign w:val="subscript"/>
                      <w14:textFill>
                        <w14:solidFill>
                          <w14:schemeClr w14:val="tx1"/>
                        </w14:solidFill>
                      </w14:textFill>
                    </w:rPr>
                    <w:t>Cr</w:t>
                  </w:r>
                  <w:r>
                    <w:rPr>
                      <w:rFonts w:hint="eastAsia" w:ascii="Times New Roman" w:hAnsi="Times New Roman" w:eastAsia="宋体" w:cs="Times New Roman"/>
                      <w:color w:val="000000" w:themeColor="text1"/>
                      <w:szCs w:val="21"/>
                      <w14:textFill>
                        <w14:solidFill>
                          <w14:schemeClr w14:val="tx1"/>
                        </w14:solidFill>
                      </w14:textFill>
                    </w:rPr>
                    <w:t>、BOD</w:t>
                  </w:r>
                  <w:r>
                    <w:rPr>
                      <w:rFonts w:hint="eastAsia" w:ascii="Times New Roman" w:hAnsi="Times New Roman" w:eastAsia="宋体" w:cs="Times New Roman"/>
                      <w:color w:val="000000" w:themeColor="text1"/>
                      <w:szCs w:val="21"/>
                      <w:vertAlign w:val="subscript"/>
                      <w14:textFill>
                        <w14:solidFill>
                          <w14:schemeClr w14:val="tx1"/>
                        </w14:solidFill>
                      </w14:textFill>
                    </w:rPr>
                    <w:t>5</w:t>
                  </w:r>
                  <w:r>
                    <w:rPr>
                      <w:rFonts w:hint="eastAsia" w:ascii="Times New Roman" w:hAnsi="Times New Roman" w:eastAsia="宋体" w:cs="Times New Roman"/>
                      <w:color w:val="000000" w:themeColor="text1"/>
                      <w:szCs w:val="21"/>
                      <w14:textFill>
                        <w14:solidFill>
                          <w14:schemeClr w14:val="tx1"/>
                        </w14:solidFill>
                      </w14:textFill>
                    </w:rPr>
                    <w:t>、SS、NH</w:t>
                  </w:r>
                  <w:r>
                    <w:rPr>
                      <w:rFonts w:hint="eastAsia" w:ascii="Times New Roman" w:hAnsi="Times New Roman" w:eastAsia="宋体" w:cs="Times New Roman"/>
                      <w:color w:val="000000" w:themeColor="text1"/>
                      <w:szCs w:val="21"/>
                      <w:vertAlign w:val="subscript"/>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-N、T</w:t>
                  </w:r>
                  <w:r>
                    <w:rPr>
                      <w:rFonts w:ascii="Times New Roman" w:hAnsi="Times New Roman" w:eastAsia="宋体" w:cs="Times New Roman"/>
                      <w:color w:val="000000" w:themeColor="text1"/>
                      <w:szCs w:val="21"/>
                      <w14:textFill>
                        <w14:solidFill>
                          <w14:schemeClr w14:val="tx1"/>
                        </w14:solidFill>
                      </w14:textFill>
                    </w:rPr>
                    <w:t>P</w:t>
                  </w:r>
                </w:p>
                <w:p w14:paraId="0C489FD4">
                  <w:pPr>
                    <w:jc w:val="center"/>
                    <w:rPr>
                      <w:rFonts w:ascii="Times New Roman" w:hAnsi="Times New Roman" w:eastAsia="宋体" w:cs="Times New Roman"/>
                      <w:color w:val="000000" w:themeColor="text1"/>
                      <w:szCs w:val="21"/>
                      <w14:textFill>
                        <w14:solidFill>
                          <w14:schemeClr w14:val="tx1"/>
                        </w14:solidFill>
                      </w14:textFill>
                    </w:rPr>
                  </w:pPr>
                </w:p>
              </w:tc>
              <w:tc>
                <w:tcPr>
                  <w:tcW w:w="645" w:type="dxa"/>
                  <w:vMerge w:val="restart"/>
                  <w:vAlign w:val="center"/>
                </w:tcPr>
                <w:p w14:paraId="59283246">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园区污水处理厂</w:t>
                  </w:r>
                </w:p>
              </w:tc>
              <w:tc>
                <w:tcPr>
                  <w:tcW w:w="645" w:type="dxa"/>
                  <w:vMerge w:val="restart"/>
                  <w:vAlign w:val="center"/>
                </w:tcPr>
                <w:p w14:paraId="761D925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间断排放，排放期间流量不稳定，但有周期性规律</w:t>
                  </w:r>
                </w:p>
              </w:tc>
              <w:tc>
                <w:tcPr>
                  <w:tcW w:w="755" w:type="dxa"/>
                  <w:vAlign w:val="center"/>
                </w:tcPr>
                <w:p w14:paraId="67846840">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01</w:t>
                  </w:r>
                </w:p>
              </w:tc>
              <w:tc>
                <w:tcPr>
                  <w:tcW w:w="867" w:type="dxa"/>
                  <w:vAlign w:val="center"/>
                </w:tcPr>
                <w:p w14:paraId="5DA04C4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三级化粪池</w:t>
                  </w:r>
                </w:p>
              </w:tc>
              <w:tc>
                <w:tcPr>
                  <w:tcW w:w="864" w:type="dxa"/>
                  <w:vAlign w:val="center"/>
                </w:tcPr>
                <w:p w14:paraId="699AD7E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厌氧消化</w:t>
                  </w:r>
                </w:p>
              </w:tc>
              <w:tc>
                <w:tcPr>
                  <w:tcW w:w="660" w:type="dxa"/>
                  <w:vMerge w:val="restart"/>
                  <w:vAlign w:val="center"/>
                </w:tcPr>
                <w:p w14:paraId="745A3EF0">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DW001</w:t>
                  </w:r>
                </w:p>
              </w:tc>
              <w:tc>
                <w:tcPr>
                  <w:tcW w:w="735" w:type="dxa"/>
                  <w:vMerge w:val="restart"/>
                  <w:vAlign w:val="center"/>
                </w:tcPr>
                <w:p w14:paraId="452D84F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698" w:type="dxa"/>
                  <w:vMerge w:val="restart"/>
                  <w:vAlign w:val="center"/>
                </w:tcPr>
                <w:p w14:paraId="7E5289E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一般排放口</w:t>
                  </w:r>
                </w:p>
              </w:tc>
            </w:tr>
            <w:tr w14:paraId="2B82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dxa"/>
                  <w:vAlign w:val="center"/>
                </w:tcPr>
                <w:p w14:paraId="4C3FB5C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p>
              </w:tc>
              <w:tc>
                <w:tcPr>
                  <w:tcW w:w="531" w:type="dxa"/>
                  <w:vAlign w:val="center"/>
                </w:tcPr>
                <w:p w14:paraId="432CD960">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间接冷却水</w:t>
                  </w:r>
                </w:p>
              </w:tc>
              <w:tc>
                <w:tcPr>
                  <w:tcW w:w="870" w:type="dxa"/>
                  <w:vAlign w:val="center"/>
                </w:tcPr>
                <w:p w14:paraId="2A9C020E">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645" w:type="dxa"/>
                  <w:vMerge w:val="continue"/>
                  <w:vAlign w:val="center"/>
                </w:tcPr>
                <w:p w14:paraId="3E07A62F">
                  <w:pPr>
                    <w:rPr>
                      <w:rFonts w:ascii="Times New Roman" w:hAnsi="Times New Roman" w:eastAsia="宋体" w:cs="Times New Roman"/>
                      <w:color w:val="000000" w:themeColor="text1"/>
                      <w:szCs w:val="21"/>
                      <w14:textFill>
                        <w14:solidFill>
                          <w14:schemeClr w14:val="tx1"/>
                        </w14:solidFill>
                      </w14:textFill>
                    </w:rPr>
                  </w:pPr>
                </w:p>
              </w:tc>
              <w:tc>
                <w:tcPr>
                  <w:tcW w:w="645" w:type="dxa"/>
                  <w:vMerge w:val="continue"/>
                  <w:vAlign w:val="center"/>
                </w:tcPr>
                <w:p w14:paraId="467F1D69">
                  <w:pPr>
                    <w:jc w:val="center"/>
                    <w:rPr>
                      <w:rFonts w:ascii="Times New Roman" w:hAnsi="Times New Roman" w:eastAsia="宋体" w:cs="Times New Roman"/>
                      <w:color w:val="000000" w:themeColor="text1"/>
                      <w:szCs w:val="21"/>
                      <w14:textFill>
                        <w14:solidFill>
                          <w14:schemeClr w14:val="tx1"/>
                        </w14:solidFill>
                      </w14:textFill>
                    </w:rPr>
                  </w:pPr>
                </w:p>
              </w:tc>
              <w:tc>
                <w:tcPr>
                  <w:tcW w:w="755" w:type="dxa"/>
                  <w:vAlign w:val="center"/>
                </w:tcPr>
                <w:p w14:paraId="159811CD">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867" w:type="dxa"/>
                  <w:vAlign w:val="center"/>
                </w:tcPr>
                <w:p w14:paraId="05EF91F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864" w:type="dxa"/>
                  <w:vAlign w:val="center"/>
                </w:tcPr>
                <w:p w14:paraId="52C01FF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660" w:type="dxa"/>
                  <w:vMerge w:val="continue"/>
                  <w:vAlign w:val="center"/>
                </w:tcPr>
                <w:p w14:paraId="2F9792D6">
                  <w:pPr>
                    <w:jc w:val="center"/>
                    <w:rPr>
                      <w:rFonts w:ascii="Times New Roman" w:hAnsi="Times New Roman" w:eastAsia="宋体" w:cs="Times New Roman"/>
                      <w:color w:val="000000" w:themeColor="text1"/>
                      <w:szCs w:val="21"/>
                      <w14:textFill>
                        <w14:solidFill>
                          <w14:schemeClr w14:val="tx1"/>
                        </w14:solidFill>
                      </w14:textFill>
                    </w:rPr>
                  </w:pPr>
                </w:p>
              </w:tc>
              <w:tc>
                <w:tcPr>
                  <w:tcW w:w="735" w:type="dxa"/>
                  <w:vMerge w:val="continue"/>
                  <w:vAlign w:val="center"/>
                </w:tcPr>
                <w:p w14:paraId="64E8ED7D">
                  <w:pPr>
                    <w:jc w:val="center"/>
                    <w:rPr>
                      <w:rFonts w:ascii="Times New Roman" w:hAnsi="Times New Roman" w:eastAsia="宋体" w:cs="Times New Roman"/>
                      <w:color w:val="000000" w:themeColor="text1"/>
                      <w:szCs w:val="21"/>
                      <w14:textFill>
                        <w14:solidFill>
                          <w14:schemeClr w14:val="tx1"/>
                        </w14:solidFill>
                      </w14:textFill>
                    </w:rPr>
                  </w:pPr>
                </w:p>
              </w:tc>
              <w:tc>
                <w:tcPr>
                  <w:tcW w:w="698" w:type="dxa"/>
                  <w:vMerge w:val="continue"/>
                  <w:vAlign w:val="center"/>
                </w:tcPr>
                <w:p w14:paraId="56EBB4C4">
                  <w:pPr>
                    <w:jc w:val="center"/>
                    <w:rPr>
                      <w:rFonts w:ascii="Times New Roman" w:hAnsi="Times New Roman" w:eastAsia="宋体" w:cs="Times New Roman"/>
                      <w:color w:val="000000" w:themeColor="text1"/>
                      <w:szCs w:val="21"/>
                      <w14:textFill>
                        <w14:solidFill>
                          <w14:schemeClr w14:val="tx1"/>
                        </w14:solidFill>
                      </w14:textFill>
                    </w:rPr>
                  </w:pPr>
                </w:p>
              </w:tc>
            </w:tr>
          </w:tbl>
          <w:p w14:paraId="108E7330">
            <w:pPr>
              <w:pStyle w:val="301"/>
              <w:ind w:firstLine="0" w:firstLineChars="0"/>
              <w:rPr>
                <w:color w:val="000000" w:themeColor="text1"/>
                <w14:textFill>
                  <w14:solidFill>
                    <w14:schemeClr w14:val="tx1"/>
                  </w14:solidFill>
                </w14:textFill>
              </w:rPr>
            </w:pPr>
          </w:p>
          <w:p w14:paraId="43E5A159">
            <w:pPr>
              <w:pStyle w:val="304"/>
              <w:ind w:firstLine="0" w:firstLineChars="0"/>
              <w:rPr>
                <w:bCs w:val="0"/>
                <w:color w:val="000000" w:themeColor="text1"/>
                <w:szCs w:val="21"/>
                <w14:textFill>
                  <w14:solidFill>
                    <w14:schemeClr w14:val="tx1"/>
                  </w14:solidFill>
                </w14:textFill>
              </w:rPr>
            </w:pPr>
            <w:r>
              <w:rPr>
                <w:rFonts w:hint="eastAsia"/>
                <w:bCs w:val="0"/>
                <w:color w:val="000000" w:themeColor="text1"/>
                <w:szCs w:val="21"/>
                <w14:textFill>
                  <w14:solidFill>
                    <w14:schemeClr w14:val="tx1"/>
                  </w14:solidFill>
                </w14:textFill>
              </w:rPr>
              <w:t>表4-</w:t>
            </w:r>
            <w:r>
              <w:rPr>
                <w:rFonts w:hint="eastAsia"/>
                <w:bCs w:val="0"/>
                <w:color w:val="000000" w:themeColor="text1"/>
                <w:szCs w:val="21"/>
                <w:lang w:val="en-US" w:eastAsia="zh-CN"/>
                <w14:textFill>
                  <w14:solidFill>
                    <w14:schemeClr w14:val="tx1"/>
                  </w14:solidFill>
                </w14:textFill>
              </w:rPr>
              <w:t>18</w:t>
            </w:r>
            <w:r>
              <w:rPr>
                <w:bCs w:val="0"/>
                <w:color w:val="000000" w:themeColor="text1"/>
                <w:szCs w:val="21"/>
                <w14:textFill>
                  <w14:solidFill>
                    <w14:schemeClr w14:val="tx1"/>
                  </w14:solidFill>
                </w14:textFill>
              </w:rPr>
              <w:t xml:space="preserve"> </w:t>
            </w:r>
            <w:r>
              <w:rPr>
                <w:rFonts w:hint="eastAsia"/>
                <w:bCs w:val="0"/>
                <w:color w:val="000000" w:themeColor="text1"/>
                <w:szCs w:val="21"/>
                <w14:textFill>
                  <w14:solidFill>
                    <w14:schemeClr w14:val="tx1"/>
                  </w14:solidFill>
                </w14:textFill>
              </w:rPr>
              <w:t>废水污染物排放执行标准表</w:t>
            </w:r>
          </w:p>
          <w:tbl>
            <w:tblPr>
              <w:tblStyle w:val="4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927"/>
              <w:gridCol w:w="791"/>
              <w:gridCol w:w="1207"/>
              <w:gridCol w:w="2572"/>
              <w:gridCol w:w="1520"/>
            </w:tblGrid>
            <w:tr w14:paraId="6718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restart"/>
                  <w:vAlign w:val="center"/>
                </w:tcPr>
                <w:p w14:paraId="5B6BB3E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927" w:type="dxa"/>
                  <w:vMerge w:val="restart"/>
                  <w:vAlign w:val="center"/>
                </w:tcPr>
                <w:p w14:paraId="4DE1F70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废水种类</w:t>
                  </w:r>
                </w:p>
              </w:tc>
              <w:tc>
                <w:tcPr>
                  <w:tcW w:w="791" w:type="dxa"/>
                  <w:vMerge w:val="restart"/>
                  <w:vAlign w:val="center"/>
                </w:tcPr>
                <w:p w14:paraId="70CE3A9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排放口编号</w:t>
                  </w:r>
                </w:p>
              </w:tc>
              <w:tc>
                <w:tcPr>
                  <w:tcW w:w="1207" w:type="dxa"/>
                  <w:vMerge w:val="restart"/>
                  <w:vAlign w:val="center"/>
                </w:tcPr>
                <w:p w14:paraId="32AA2FB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污染物种类</w:t>
                  </w:r>
                </w:p>
              </w:tc>
              <w:tc>
                <w:tcPr>
                  <w:tcW w:w="4092" w:type="dxa"/>
                  <w:gridSpan w:val="2"/>
                  <w:vAlign w:val="center"/>
                </w:tcPr>
                <w:p w14:paraId="45F51AF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国家或地方污染物排放标准及其他按规定商定的排放协议</w:t>
                  </w:r>
                </w:p>
              </w:tc>
            </w:tr>
            <w:tr w14:paraId="1AD9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vAlign w:val="center"/>
                </w:tcPr>
                <w:p w14:paraId="3FBF133A">
                  <w:pPr>
                    <w:pStyle w:val="66"/>
                    <w:rPr>
                      <w:color w:val="000000" w:themeColor="text1"/>
                      <w14:textFill>
                        <w14:solidFill>
                          <w14:schemeClr w14:val="tx1"/>
                        </w14:solidFill>
                      </w14:textFill>
                    </w:rPr>
                  </w:pPr>
                </w:p>
              </w:tc>
              <w:tc>
                <w:tcPr>
                  <w:tcW w:w="927" w:type="dxa"/>
                  <w:vMerge w:val="continue"/>
                  <w:vAlign w:val="center"/>
                </w:tcPr>
                <w:p w14:paraId="20516181">
                  <w:pPr>
                    <w:pStyle w:val="66"/>
                    <w:rPr>
                      <w:color w:val="000000" w:themeColor="text1"/>
                      <w14:textFill>
                        <w14:solidFill>
                          <w14:schemeClr w14:val="tx1"/>
                        </w14:solidFill>
                      </w14:textFill>
                    </w:rPr>
                  </w:pPr>
                </w:p>
              </w:tc>
              <w:tc>
                <w:tcPr>
                  <w:tcW w:w="791" w:type="dxa"/>
                  <w:vMerge w:val="continue"/>
                  <w:vAlign w:val="center"/>
                </w:tcPr>
                <w:p w14:paraId="6D1645A3">
                  <w:pPr>
                    <w:pStyle w:val="66"/>
                    <w:rPr>
                      <w:color w:val="000000" w:themeColor="text1"/>
                      <w14:textFill>
                        <w14:solidFill>
                          <w14:schemeClr w14:val="tx1"/>
                        </w14:solidFill>
                      </w14:textFill>
                    </w:rPr>
                  </w:pPr>
                </w:p>
              </w:tc>
              <w:tc>
                <w:tcPr>
                  <w:tcW w:w="1207" w:type="dxa"/>
                  <w:vMerge w:val="continue"/>
                  <w:vAlign w:val="center"/>
                </w:tcPr>
                <w:p w14:paraId="0A7A6BC3">
                  <w:pPr>
                    <w:pStyle w:val="66"/>
                    <w:rPr>
                      <w:color w:val="000000" w:themeColor="text1"/>
                      <w14:textFill>
                        <w14:solidFill>
                          <w14:schemeClr w14:val="tx1"/>
                        </w14:solidFill>
                      </w14:textFill>
                    </w:rPr>
                  </w:pPr>
                </w:p>
              </w:tc>
              <w:tc>
                <w:tcPr>
                  <w:tcW w:w="2572" w:type="dxa"/>
                  <w:vAlign w:val="center"/>
                </w:tcPr>
                <w:p w14:paraId="1584E0E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tc>
                <w:tcPr>
                  <w:tcW w:w="1520" w:type="dxa"/>
                  <w:vAlign w:val="center"/>
                </w:tcPr>
                <w:p w14:paraId="25B48ED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浓度限值（m/L）</w:t>
                  </w:r>
                </w:p>
              </w:tc>
            </w:tr>
            <w:tr w14:paraId="222E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restart"/>
                  <w:vAlign w:val="center"/>
                </w:tcPr>
                <w:p w14:paraId="1639B695">
                  <w:pPr>
                    <w:pStyle w:val="66"/>
                    <w:rPr>
                      <w:color w:val="000000" w:themeColor="text1"/>
                      <w14:textFill>
                        <w14:solidFill>
                          <w14:schemeClr w14:val="tx1"/>
                        </w14:solidFill>
                      </w14:textFill>
                    </w:rPr>
                  </w:pPr>
                  <w:r>
                    <w:rPr>
                      <w:color w:val="000000" w:themeColor="text1"/>
                      <w14:textFill>
                        <w14:solidFill>
                          <w14:schemeClr w14:val="tx1"/>
                        </w14:solidFill>
                      </w14:textFill>
                    </w:rPr>
                    <w:t>1</w:t>
                  </w:r>
                </w:p>
              </w:tc>
              <w:tc>
                <w:tcPr>
                  <w:tcW w:w="927" w:type="dxa"/>
                  <w:vMerge w:val="restart"/>
                  <w:vAlign w:val="center"/>
                </w:tcPr>
                <w:p w14:paraId="3F1E2D19">
                  <w:pPr>
                    <w:pStyle w:val="66"/>
                    <w:rPr>
                      <w:color w:val="000000" w:themeColor="text1"/>
                      <w14:textFill>
                        <w14:solidFill>
                          <w14:schemeClr w14:val="tx1"/>
                        </w14:solidFill>
                      </w14:textFill>
                    </w:rPr>
                  </w:pPr>
                  <w:r>
                    <w:rPr>
                      <w:color w:val="000000" w:themeColor="text1"/>
                      <w14:textFill>
                        <w14:solidFill>
                          <w14:schemeClr w14:val="tx1"/>
                        </w14:solidFill>
                      </w14:textFill>
                    </w:rPr>
                    <w:t>生活污水</w:t>
                  </w:r>
                </w:p>
              </w:tc>
              <w:tc>
                <w:tcPr>
                  <w:tcW w:w="791" w:type="dxa"/>
                  <w:vMerge w:val="restart"/>
                  <w:vAlign w:val="center"/>
                </w:tcPr>
                <w:p w14:paraId="03B4F00D">
                  <w:pPr>
                    <w:pStyle w:val="66"/>
                    <w:rPr>
                      <w:color w:val="000000" w:themeColor="text1"/>
                      <w14:textFill>
                        <w14:solidFill>
                          <w14:schemeClr w14:val="tx1"/>
                        </w14:solidFill>
                      </w14:textFill>
                    </w:rPr>
                  </w:pPr>
                  <w:r>
                    <w:rPr>
                      <w:color w:val="000000" w:themeColor="text1"/>
                      <w14:textFill>
                        <w14:solidFill>
                          <w14:schemeClr w14:val="tx1"/>
                        </w14:solidFill>
                      </w14:textFill>
                    </w:rPr>
                    <w:t>DW001</w:t>
                  </w:r>
                </w:p>
              </w:tc>
              <w:tc>
                <w:tcPr>
                  <w:tcW w:w="1207" w:type="dxa"/>
                  <w:vAlign w:val="center"/>
                </w:tcPr>
                <w:p w14:paraId="4F69DFA4">
                  <w:pPr>
                    <w:pStyle w:val="66"/>
                    <w:rPr>
                      <w:color w:val="000000" w:themeColor="text1"/>
                      <w14:textFill>
                        <w14:solidFill>
                          <w14:schemeClr w14:val="tx1"/>
                        </w14:solidFill>
                      </w14:textFill>
                    </w:rPr>
                  </w:pPr>
                  <w:r>
                    <w:rPr>
                      <w:color w:val="000000" w:themeColor="text1"/>
                      <w14:textFill>
                        <w14:solidFill>
                          <w14:schemeClr w14:val="tx1"/>
                        </w14:solidFill>
                      </w14:textFill>
                    </w:rPr>
                    <w:t>pH值</w:t>
                  </w:r>
                </w:p>
              </w:tc>
              <w:tc>
                <w:tcPr>
                  <w:tcW w:w="2572" w:type="dxa"/>
                  <w:vMerge w:val="restart"/>
                  <w:vAlign w:val="center"/>
                </w:tcPr>
                <w:p w14:paraId="2BB563E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园区污水处理厂进水水质要求</w:t>
                  </w:r>
                </w:p>
              </w:tc>
              <w:tc>
                <w:tcPr>
                  <w:tcW w:w="1520" w:type="dxa"/>
                  <w:vAlign w:val="center"/>
                </w:tcPr>
                <w:p w14:paraId="68C68023">
                  <w:pPr>
                    <w:pStyle w:val="66"/>
                    <w:rPr>
                      <w:color w:val="000000" w:themeColor="text1"/>
                      <w14:textFill>
                        <w14:solidFill>
                          <w14:schemeClr w14:val="tx1"/>
                        </w14:solidFill>
                      </w14:textFill>
                    </w:rPr>
                  </w:pPr>
                  <w:r>
                    <w:rPr>
                      <w:color w:val="000000" w:themeColor="text1"/>
                      <w14:textFill>
                        <w14:solidFill>
                          <w14:schemeClr w14:val="tx1"/>
                        </w14:solidFill>
                      </w14:textFill>
                    </w:rPr>
                    <w:t>6-9</w:t>
                  </w:r>
                </w:p>
              </w:tc>
            </w:tr>
            <w:tr w14:paraId="3079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vAlign w:val="center"/>
                </w:tcPr>
                <w:p w14:paraId="75F4B3D3">
                  <w:pPr>
                    <w:pStyle w:val="66"/>
                    <w:rPr>
                      <w:color w:val="000000" w:themeColor="text1"/>
                      <w14:textFill>
                        <w14:solidFill>
                          <w14:schemeClr w14:val="tx1"/>
                        </w14:solidFill>
                      </w14:textFill>
                    </w:rPr>
                  </w:pPr>
                </w:p>
              </w:tc>
              <w:tc>
                <w:tcPr>
                  <w:tcW w:w="927" w:type="dxa"/>
                  <w:vMerge w:val="continue"/>
                  <w:vAlign w:val="center"/>
                </w:tcPr>
                <w:p w14:paraId="47A3A46E">
                  <w:pPr>
                    <w:pStyle w:val="66"/>
                    <w:rPr>
                      <w:color w:val="000000" w:themeColor="text1"/>
                      <w14:textFill>
                        <w14:solidFill>
                          <w14:schemeClr w14:val="tx1"/>
                        </w14:solidFill>
                      </w14:textFill>
                    </w:rPr>
                  </w:pPr>
                </w:p>
              </w:tc>
              <w:tc>
                <w:tcPr>
                  <w:tcW w:w="791" w:type="dxa"/>
                  <w:vMerge w:val="continue"/>
                  <w:vAlign w:val="center"/>
                </w:tcPr>
                <w:p w14:paraId="6BE7F6AF">
                  <w:pPr>
                    <w:pStyle w:val="66"/>
                    <w:rPr>
                      <w:color w:val="000000" w:themeColor="text1"/>
                      <w14:textFill>
                        <w14:solidFill>
                          <w14:schemeClr w14:val="tx1"/>
                        </w14:solidFill>
                      </w14:textFill>
                    </w:rPr>
                  </w:pPr>
                </w:p>
              </w:tc>
              <w:tc>
                <w:tcPr>
                  <w:tcW w:w="1207" w:type="dxa"/>
                  <w:vAlign w:val="center"/>
                </w:tcPr>
                <w:p w14:paraId="3CEF98E7">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S</w:t>
                  </w:r>
                  <w:r>
                    <w:rPr>
                      <w:color w:val="000000" w:themeColor="text1"/>
                      <w14:textFill>
                        <w14:solidFill>
                          <w14:schemeClr w14:val="tx1"/>
                        </w14:solidFill>
                      </w14:textFill>
                    </w:rPr>
                    <w:t>S</w:t>
                  </w:r>
                </w:p>
              </w:tc>
              <w:tc>
                <w:tcPr>
                  <w:tcW w:w="2572" w:type="dxa"/>
                  <w:vMerge w:val="continue"/>
                  <w:vAlign w:val="center"/>
                </w:tcPr>
                <w:p w14:paraId="4EC99D2D">
                  <w:pPr>
                    <w:pStyle w:val="66"/>
                    <w:rPr>
                      <w:color w:val="000000" w:themeColor="text1"/>
                      <w14:textFill>
                        <w14:solidFill>
                          <w14:schemeClr w14:val="tx1"/>
                        </w14:solidFill>
                      </w14:textFill>
                    </w:rPr>
                  </w:pPr>
                </w:p>
              </w:tc>
              <w:tc>
                <w:tcPr>
                  <w:tcW w:w="1520" w:type="dxa"/>
                  <w:vAlign w:val="center"/>
                </w:tcPr>
                <w:p w14:paraId="279F9739">
                  <w:pPr>
                    <w:pStyle w:val="66"/>
                    <w:rPr>
                      <w:color w:val="000000" w:themeColor="text1"/>
                      <w14:textFill>
                        <w14:solidFill>
                          <w14:schemeClr w14:val="tx1"/>
                        </w14:solidFill>
                      </w14:textFill>
                    </w:rPr>
                  </w:pPr>
                  <w:r>
                    <w:rPr>
                      <w:color w:val="000000" w:themeColor="text1"/>
                      <w14:textFill>
                        <w14:solidFill>
                          <w14:schemeClr w14:val="tx1"/>
                        </w14:solidFill>
                      </w14:textFill>
                    </w:rPr>
                    <w:t>≤250</w:t>
                  </w:r>
                </w:p>
              </w:tc>
            </w:tr>
            <w:tr w14:paraId="2922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vAlign w:val="center"/>
                </w:tcPr>
                <w:p w14:paraId="3465881B">
                  <w:pPr>
                    <w:pStyle w:val="66"/>
                    <w:rPr>
                      <w:color w:val="000000" w:themeColor="text1"/>
                      <w14:textFill>
                        <w14:solidFill>
                          <w14:schemeClr w14:val="tx1"/>
                        </w14:solidFill>
                      </w14:textFill>
                    </w:rPr>
                  </w:pPr>
                </w:p>
              </w:tc>
              <w:tc>
                <w:tcPr>
                  <w:tcW w:w="927" w:type="dxa"/>
                  <w:vMerge w:val="continue"/>
                  <w:vAlign w:val="center"/>
                </w:tcPr>
                <w:p w14:paraId="36233692">
                  <w:pPr>
                    <w:pStyle w:val="66"/>
                    <w:rPr>
                      <w:color w:val="000000" w:themeColor="text1"/>
                      <w14:textFill>
                        <w14:solidFill>
                          <w14:schemeClr w14:val="tx1"/>
                        </w14:solidFill>
                      </w14:textFill>
                    </w:rPr>
                  </w:pPr>
                </w:p>
              </w:tc>
              <w:tc>
                <w:tcPr>
                  <w:tcW w:w="791" w:type="dxa"/>
                  <w:vMerge w:val="continue"/>
                  <w:vAlign w:val="center"/>
                </w:tcPr>
                <w:p w14:paraId="7FF152CE">
                  <w:pPr>
                    <w:pStyle w:val="66"/>
                    <w:rPr>
                      <w:color w:val="000000" w:themeColor="text1"/>
                      <w14:textFill>
                        <w14:solidFill>
                          <w14:schemeClr w14:val="tx1"/>
                        </w14:solidFill>
                      </w14:textFill>
                    </w:rPr>
                  </w:pPr>
                </w:p>
              </w:tc>
              <w:tc>
                <w:tcPr>
                  <w:tcW w:w="1207" w:type="dxa"/>
                  <w:vAlign w:val="center"/>
                </w:tcPr>
                <w:p w14:paraId="6802ABE2">
                  <w:pPr>
                    <w:pStyle w:val="66"/>
                    <w:rPr>
                      <w:color w:val="000000" w:themeColor="text1"/>
                      <w14:textFill>
                        <w14:solidFill>
                          <w14:schemeClr w14:val="tx1"/>
                        </w14:solidFill>
                      </w14:textFill>
                    </w:rPr>
                  </w:pPr>
                  <w:r>
                    <w:rPr>
                      <w:color w:val="000000" w:themeColor="text1"/>
                      <w14:textFill>
                        <w14:solidFill>
                          <w14:schemeClr w14:val="tx1"/>
                        </w14:solidFill>
                      </w14:textFill>
                    </w:rPr>
                    <w:t>COD</w:t>
                  </w:r>
                  <w:r>
                    <w:rPr>
                      <w:color w:val="000000" w:themeColor="text1"/>
                      <w:vertAlign w:val="subscript"/>
                      <w14:textFill>
                        <w14:solidFill>
                          <w14:schemeClr w14:val="tx1"/>
                        </w14:solidFill>
                      </w14:textFill>
                    </w:rPr>
                    <w:t>Cr</w:t>
                  </w:r>
                </w:p>
              </w:tc>
              <w:tc>
                <w:tcPr>
                  <w:tcW w:w="2572" w:type="dxa"/>
                  <w:vMerge w:val="continue"/>
                  <w:vAlign w:val="center"/>
                </w:tcPr>
                <w:p w14:paraId="4988F177">
                  <w:pPr>
                    <w:pStyle w:val="66"/>
                    <w:rPr>
                      <w:color w:val="000000" w:themeColor="text1"/>
                      <w14:textFill>
                        <w14:solidFill>
                          <w14:schemeClr w14:val="tx1"/>
                        </w14:solidFill>
                      </w14:textFill>
                    </w:rPr>
                  </w:pPr>
                </w:p>
              </w:tc>
              <w:tc>
                <w:tcPr>
                  <w:tcW w:w="1520" w:type="dxa"/>
                  <w:vAlign w:val="center"/>
                </w:tcPr>
                <w:p w14:paraId="25A43F71">
                  <w:pPr>
                    <w:pStyle w:val="66"/>
                    <w:rPr>
                      <w:color w:val="000000" w:themeColor="text1"/>
                      <w14:textFill>
                        <w14:solidFill>
                          <w14:schemeClr w14:val="tx1"/>
                        </w14:solidFill>
                      </w14:textFill>
                    </w:rPr>
                  </w:pPr>
                  <w:r>
                    <w:rPr>
                      <w:color w:val="000000" w:themeColor="text1"/>
                      <w14:textFill>
                        <w14:solidFill>
                          <w14:schemeClr w14:val="tx1"/>
                        </w14:solidFill>
                      </w14:textFill>
                    </w:rPr>
                    <w:t>≤300</w:t>
                  </w:r>
                </w:p>
              </w:tc>
            </w:tr>
            <w:tr w14:paraId="059F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vAlign w:val="center"/>
                </w:tcPr>
                <w:p w14:paraId="31EF9E16">
                  <w:pPr>
                    <w:pStyle w:val="66"/>
                    <w:rPr>
                      <w:color w:val="000000" w:themeColor="text1"/>
                      <w14:textFill>
                        <w14:solidFill>
                          <w14:schemeClr w14:val="tx1"/>
                        </w14:solidFill>
                      </w14:textFill>
                    </w:rPr>
                  </w:pPr>
                </w:p>
              </w:tc>
              <w:tc>
                <w:tcPr>
                  <w:tcW w:w="927" w:type="dxa"/>
                  <w:vMerge w:val="continue"/>
                  <w:vAlign w:val="center"/>
                </w:tcPr>
                <w:p w14:paraId="50909113">
                  <w:pPr>
                    <w:pStyle w:val="66"/>
                    <w:rPr>
                      <w:color w:val="000000" w:themeColor="text1"/>
                      <w14:textFill>
                        <w14:solidFill>
                          <w14:schemeClr w14:val="tx1"/>
                        </w14:solidFill>
                      </w14:textFill>
                    </w:rPr>
                  </w:pPr>
                </w:p>
              </w:tc>
              <w:tc>
                <w:tcPr>
                  <w:tcW w:w="791" w:type="dxa"/>
                  <w:vMerge w:val="continue"/>
                  <w:vAlign w:val="center"/>
                </w:tcPr>
                <w:p w14:paraId="551A72FF">
                  <w:pPr>
                    <w:pStyle w:val="66"/>
                    <w:rPr>
                      <w:color w:val="000000" w:themeColor="text1"/>
                      <w14:textFill>
                        <w14:solidFill>
                          <w14:schemeClr w14:val="tx1"/>
                        </w14:solidFill>
                      </w14:textFill>
                    </w:rPr>
                  </w:pPr>
                </w:p>
              </w:tc>
              <w:tc>
                <w:tcPr>
                  <w:tcW w:w="1207" w:type="dxa"/>
                  <w:vAlign w:val="center"/>
                </w:tcPr>
                <w:p w14:paraId="72BA8C75">
                  <w:pPr>
                    <w:pStyle w:val="66"/>
                    <w:rPr>
                      <w:color w:val="000000" w:themeColor="text1"/>
                      <w14:textFill>
                        <w14:solidFill>
                          <w14:schemeClr w14:val="tx1"/>
                        </w14:solidFill>
                      </w14:textFill>
                    </w:rPr>
                  </w:pPr>
                  <w:r>
                    <w:rPr>
                      <w:color w:val="000000" w:themeColor="text1"/>
                      <w14:textFill>
                        <w14:solidFill>
                          <w14:schemeClr w14:val="tx1"/>
                        </w14:solidFill>
                      </w14:textFill>
                    </w:rPr>
                    <w:t>BOD</w:t>
                  </w:r>
                  <w:r>
                    <w:rPr>
                      <w:color w:val="000000" w:themeColor="text1"/>
                      <w:vertAlign w:val="subscript"/>
                      <w14:textFill>
                        <w14:solidFill>
                          <w14:schemeClr w14:val="tx1"/>
                        </w14:solidFill>
                      </w14:textFill>
                    </w:rPr>
                    <w:t>5</w:t>
                  </w:r>
                </w:p>
              </w:tc>
              <w:tc>
                <w:tcPr>
                  <w:tcW w:w="2572" w:type="dxa"/>
                  <w:vMerge w:val="continue"/>
                  <w:vAlign w:val="center"/>
                </w:tcPr>
                <w:p w14:paraId="79AB4CF3">
                  <w:pPr>
                    <w:pStyle w:val="66"/>
                    <w:rPr>
                      <w:color w:val="000000" w:themeColor="text1"/>
                      <w14:textFill>
                        <w14:solidFill>
                          <w14:schemeClr w14:val="tx1"/>
                        </w14:solidFill>
                      </w14:textFill>
                    </w:rPr>
                  </w:pPr>
                </w:p>
              </w:tc>
              <w:tc>
                <w:tcPr>
                  <w:tcW w:w="1520" w:type="dxa"/>
                  <w:vAlign w:val="center"/>
                </w:tcPr>
                <w:p w14:paraId="3BB40E93">
                  <w:pPr>
                    <w:pStyle w:val="66"/>
                    <w:rPr>
                      <w:color w:val="000000" w:themeColor="text1"/>
                      <w14:textFill>
                        <w14:solidFill>
                          <w14:schemeClr w14:val="tx1"/>
                        </w14:solidFill>
                      </w14:textFill>
                    </w:rPr>
                  </w:pPr>
                  <w:r>
                    <w:rPr>
                      <w:color w:val="000000" w:themeColor="text1"/>
                      <w14:textFill>
                        <w14:solidFill>
                          <w14:schemeClr w14:val="tx1"/>
                        </w14:solidFill>
                      </w14:textFill>
                    </w:rPr>
                    <w:t>≤150</w:t>
                  </w:r>
                </w:p>
              </w:tc>
            </w:tr>
            <w:tr w14:paraId="17BE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vAlign w:val="center"/>
                </w:tcPr>
                <w:p w14:paraId="6172FE82">
                  <w:pPr>
                    <w:pStyle w:val="66"/>
                    <w:rPr>
                      <w:color w:val="000000" w:themeColor="text1"/>
                      <w14:textFill>
                        <w14:solidFill>
                          <w14:schemeClr w14:val="tx1"/>
                        </w14:solidFill>
                      </w14:textFill>
                    </w:rPr>
                  </w:pPr>
                </w:p>
              </w:tc>
              <w:tc>
                <w:tcPr>
                  <w:tcW w:w="927" w:type="dxa"/>
                  <w:vMerge w:val="continue"/>
                  <w:vAlign w:val="center"/>
                </w:tcPr>
                <w:p w14:paraId="139AB3CC">
                  <w:pPr>
                    <w:pStyle w:val="66"/>
                    <w:rPr>
                      <w:color w:val="000000" w:themeColor="text1"/>
                      <w14:textFill>
                        <w14:solidFill>
                          <w14:schemeClr w14:val="tx1"/>
                        </w14:solidFill>
                      </w14:textFill>
                    </w:rPr>
                  </w:pPr>
                </w:p>
              </w:tc>
              <w:tc>
                <w:tcPr>
                  <w:tcW w:w="791" w:type="dxa"/>
                  <w:vMerge w:val="continue"/>
                  <w:vAlign w:val="center"/>
                </w:tcPr>
                <w:p w14:paraId="30F0422C">
                  <w:pPr>
                    <w:pStyle w:val="66"/>
                    <w:rPr>
                      <w:color w:val="000000" w:themeColor="text1"/>
                      <w14:textFill>
                        <w14:solidFill>
                          <w14:schemeClr w14:val="tx1"/>
                        </w14:solidFill>
                      </w14:textFill>
                    </w:rPr>
                  </w:pPr>
                </w:p>
              </w:tc>
              <w:tc>
                <w:tcPr>
                  <w:tcW w:w="1207" w:type="dxa"/>
                  <w:vAlign w:val="center"/>
                </w:tcPr>
                <w:p w14:paraId="0C275A25">
                  <w:pPr>
                    <w:pStyle w:val="66"/>
                    <w:rPr>
                      <w:color w:val="000000" w:themeColor="text1"/>
                      <w14:textFill>
                        <w14:solidFill>
                          <w14:schemeClr w14:val="tx1"/>
                        </w14:solidFill>
                      </w14:textFill>
                    </w:rPr>
                  </w:pPr>
                  <w:r>
                    <w:rPr>
                      <w:color w:val="000000" w:themeColor="text1"/>
                      <w14:textFill>
                        <w14:solidFill>
                          <w14:schemeClr w14:val="tx1"/>
                        </w14:solidFill>
                      </w14:textFill>
                    </w:rPr>
                    <w:t>氨氮</w:t>
                  </w:r>
                </w:p>
              </w:tc>
              <w:tc>
                <w:tcPr>
                  <w:tcW w:w="2572" w:type="dxa"/>
                  <w:vMerge w:val="continue"/>
                  <w:vAlign w:val="center"/>
                </w:tcPr>
                <w:p w14:paraId="5CB9EDD8">
                  <w:pPr>
                    <w:pStyle w:val="66"/>
                    <w:rPr>
                      <w:color w:val="000000" w:themeColor="text1"/>
                      <w14:textFill>
                        <w14:solidFill>
                          <w14:schemeClr w14:val="tx1"/>
                        </w14:solidFill>
                      </w14:textFill>
                    </w:rPr>
                  </w:pPr>
                </w:p>
              </w:tc>
              <w:tc>
                <w:tcPr>
                  <w:tcW w:w="1520" w:type="dxa"/>
                  <w:vAlign w:val="center"/>
                </w:tcPr>
                <w:p w14:paraId="63E65E58">
                  <w:pPr>
                    <w:pStyle w:val="66"/>
                    <w:rPr>
                      <w:color w:val="000000" w:themeColor="text1"/>
                      <w14:textFill>
                        <w14:solidFill>
                          <w14:schemeClr w14:val="tx1"/>
                        </w14:solidFill>
                      </w14:textFill>
                    </w:rPr>
                  </w:pPr>
                  <w:r>
                    <w:rPr>
                      <w:color w:val="000000" w:themeColor="text1"/>
                      <w14:textFill>
                        <w14:solidFill>
                          <w14:schemeClr w14:val="tx1"/>
                        </w14:solidFill>
                      </w14:textFill>
                    </w:rPr>
                    <w:t>≤40</w:t>
                  </w:r>
                </w:p>
              </w:tc>
            </w:tr>
            <w:tr w14:paraId="02F7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4" w:type="dxa"/>
                  <w:vMerge w:val="continue"/>
                  <w:vAlign w:val="center"/>
                </w:tcPr>
                <w:p w14:paraId="0E859536">
                  <w:pPr>
                    <w:pStyle w:val="66"/>
                    <w:rPr>
                      <w:color w:val="000000" w:themeColor="text1"/>
                      <w14:textFill>
                        <w14:solidFill>
                          <w14:schemeClr w14:val="tx1"/>
                        </w14:solidFill>
                      </w14:textFill>
                    </w:rPr>
                  </w:pPr>
                </w:p>
              </w:tc>
              <w:tc>
                <w:tcPr>
                  <w:tcW w:w="927" w:type="dxa"/>
                  <w:vMerge w:val="continue"/>
                  <w:vAlign w:val="center"/>
                </w:tcPr>
                <w:p w14:paraId="35B9ED5E">
                  <w:pPr>
                    <w:pStyle w:val="66"/>
                    <w:rPr>
                      <w:color w:val="000000" w:themeColor="text1"/>
                      <w14:textFill>
                        <w14:solidFill>
                          <w14:schemeClr w14:val="tx1"/>
                        </w14:solidFill>
                      </w14:textFill>
                    </w:rPr>
                  </w:pPr>
                </w:p>
              </w:tc>
              <w:tc>
                <w:tcPr>
                  <w:tcW w:w="791" w:type="dxa"/>
                  <w:vMerge w:val="continue"/>
                  <w:vAlign w:val="center"/>
                </w:tcPr>
                <w:p w14:paraId="38D40431">
                  <w:pPr>
                    <w:pStyle w:val="66"/>
                    <w:rPr>
                      <w:color w:val="000000" w:themeColor="text1"/>
                      <w14:textFill>
                        <w14:solidFill>
                          <w14:schemeClr w14:val="tx1"/>
                        </w14:solidFill>
                      </w14:textFill>
                    </w:rPr>
                  </w:pPr>
                </w:p>
              </w:tc>
              <w:tc>
                <w:tcPr>
                  <w:tcW w:w="1207" w:type="dxa"/>
                  <w:vAlign w:val="center"/>
                </w:tcPr>
                <w:p w14:paraId="38B1ABDC">
                  <w:pPr>
                    <w:pStyle w:val="66"/>
                    <w:rPr>
                      <w:color w:val="000000" w:themeColor="text1"/>
                      <w14:textFill>
                        <w14:solidFill>
                          <w14:schemeClr w14:val="tx1"/>
                        </w14:solidFill>
                      </w14:textFill>
                    </w:rPr>
                  </w:pPr>
                  <w:r>
                    <w:rPr>
                      <w:color w:val="000000" w:themeColor="text1"/>
                      <w14:textFill>
                        <w14:solidFill>
                          <w14:schemeClr w14:val="tx1"/>
                        </w14:solidFill>
                      </w14:textFill>
                    </w:rPr>
                    <w:t>TP</w:t>
                  </w:r>
                </w:p>
              </w:tc>
              <w:tc>
                <w:tcPr>
                  <w:tcW w:w="2572" w:type="dxa"/>
                  <w:vMerge w:val="continue"/>
                  <w:vAlign w:val="center"/>
                </w:tcPr>
                <w:p w14:paraId="131AEB85">
                  <w:pPr>
                    <w:pStyle w:val="66"/>
                    <w:rPr>
                      <w:color w:val="000000" w:themeColor="text1"/>
                      <w14:textFill>
                        <w14:solidFill>
                          <w14:schemeClr w14:val="tx1"/>
                        </w14:solidFill>
                      </w14:textFill>
                    </w:rPr>
                  </w:pPr>
                </w:p>
              </w:tc>
              <w:tc>
                <w:tcPr>
                  <w:tcW w:w="1520" w:type="dxa"/>
                  <w:vAlign w:val="center"/>
                </w:tcPr>
                <w:p w14:paraId="0ACA039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787EAFE0">
            <w:pPr>
              <w:pStyle w:val="301"/>
              <w:ind w:firstLine="0" w:firstLineChars="0"/>
              <w:rPr>
                <w:color w:val="000000" w:themeColor="text1"/>
                <w14:textFill>
                  <w14:solidFill>
                    <w14:schemeClr w14:val="tx1"/>
                  </w14:solidFill>
                </w14:textFill>
              </w:rPr>
            </w:pPr>
          </w:p>
          <w:p w14:paraId="2F2E0D6D">
            <w:pPr>
              <w:pStyle w:val="71"/>
              <w:spacing w:line="30" w:lineRule="atLeast"/>
              <w:ind w:firstLine="420" w:firstLineChars="20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表</w:t>
            </w:r>
            <w:r>
              <w:rPr>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19</w:t>
            </w:r>
            <w:r>
              <w:rPr>
                <w:rFonts w:ascii="宋体" w:hAnsi="宋体" w:cs="宋体"/>
                <w:color w:val="000000" w:themeColor="text1"/>
                <w14:textFill>
                  <w14:solidFill>
                    <w14:schemeClr w14:val="tx1"/>
                  </w14:solidFill>
                </w14:textFill>
              </w:rPr>
              <w:t xml:space="preserve"> 废水间接排放口基本情况</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675"/>
              <w:gridCol w:w="348"/>
              <w:gridCol w:w="348"/>
              <w:gridCol w:w="806"/>
              <w:gridCol w:w="1066"/>
              <w:gridCol w:w="1066"/>
              <w:gridCol w:w="549"/>
              <w:gridCol w:w="410"/>
              <w:gridCol w:w="739"/>
              <w:gridCol w:w="1151"/>
            </w:tblGrid>
            <w:tr w14:paraId="7E72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515" w:type="dxa"/>
                  <w:vMerge w:val="restart"/>
                  <w:vAlign w:val="center"/>
                </w:tcPr>
                <w:p w14:paraId="14C5DB8D">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序号</w:t>
                  </w:r>
                </w:p>
              </w:tc>
              <w:tc>
                <w:tcPr>
                  <w:tcW w:w="675" w:type="dxa"/>
                  <w:vMerge w:val="restart"/>
                  <w:vAlign w:val="center"/>
                </w:tcPr>
                <w:p w14:paraId="0584789B">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排放口编号</w:t>
                  </w:r>
                </w:p>
              </w:tc>
              <w:tc>
                <w:tcPr>
                  <w:tcW w:w="696" w:type="dxa"/>
                  <w:gridSpan w:val="2"/>
                  <w:vMerge w:val="restart"/>
                  <w:vAlign w:val="center"/>
                </w:tcPr>
                <w:p w14:paraId="4613979E">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排放口地理坐标</w:t>
                  </w:r>
                </w:p>
              </w:tc>
              <w:tc>
                <w:tcPr>
                  <w:tcW w:w="806" w:type="dxa"/>
                  <w:vMerge w:val="restart"/>
                  <w:vAlign w:val="center"/>
                </w:tcPr>
                <w:p w14:paraId="78AC62E9">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废水排放量/（万t/a）</w:t>
                  </w:r>
                </w:p>
              </w:tc>
              <w:tc>
                <w:tcPr>
                  <w:tcW w:w="1066" w:type="dxa"/>
                  <w:vMerge w:val="restart"/>
                  <w:vAlign w:val="center"/>
                </w:tcPr>
                <w:p w14:paraId="085B6EAC">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排放去向</w:t>
                  </w:r>
                </w:p>
              </w:tc>
              <w:tc>
                <w:tcPr>
                  <w:tcW w:w="1066" w:type="dxa"/>
                  <w:vMerge w:val="restart"/>
                  <w:vAlign w:val="center"/>
                </w:tcPr>
                <w:p w14:paraId="36B170DC">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排放规律</w:t>
                  </w:r>
                </w:p>
              </w:tc>
              <w:tc>
                <w:tcPr>
                  <w:tcW w:w="549" w:type="dxa"/>
                  <w:vMerge w:val="restart"/>
                  <w:vAlign w:val="center"/>
                </w:tcPr>
                <w:p w14:paraId="5043807D">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间歇排放时间段</w:t>
                  </w:r>
                </w:p>
              </w:tc>
              <w:tc>
                <w:tcPr>
                  <w:tcW w:w="2300" w:type="dxa"/>
                  <w:gridSpan w:val="3"/>
                  <w:vAlign w:val="center"/>
                </w:tcPr>
                <w:p w14:paraId="48A509B6">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受纳污水处理厂信息</w:t>
                  </w:r>
                </w:p>
              </w:tc>
            </w:tr>
            <w:tr w14:paraId="4FFE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15" w:type="dxa"/>
                  <w:vMerge w:val="continue"/>
                  <w:vAlign w:val="center"/>
                </w:tcPr>
                <w:p w14:paraId="0486C8F7">
                  <w:pPr>
                    <w:pStyle w:val="71"/>
                    <w:spacing w:line="30" w:lineRule="atLeast"/>
                    <w:rPr>
                      <w:rFonts w:eastAsiaTheme="minorEastAsia"/>
                      <w:b w:val="0"/>
                      <w:color w:val="000000" w:themeColor="text1"/>
                      <w14:textFill>
                        <w14:solidFill>
                          <w14:schemeClr w14:val="tx1"/>
                        </w14:solidFill>
                      </w14:textFill>
                    </w:rPr>
                  </w:pPr>
                </w:p>
              </w:tc>
              <w:tc>
                <w:tcPr>
                  <w:tcW w:w="675" w:type="dxa"/>
                  <w:vMerge w:val="continue"/>
                  <w:vAlign w:val="center"/>
                </w:tcPr>
                <w:p w14:paraId="41D866B3">
                  <w:pPr>
                    <w:pStyle w:val="71"/>
                    <w:spacing w:line="30" w:lineRule="atLeast"/>
                    <w:rPr>
                      <w:rFonts w:eastAsiaTheme="minorEastAsia"/>
                      <w:b w:val="0"/>
                      <w:color w:val="000000" w:themeColor="text1"/>
                      <w14:textFill>
                        <w14:solidFill>
                          <w14:schemeClr w14:val="tx1"/>
                        </w14:solidFill>
                      </w14:textFill>
                    </w:rPr>
                  </w:pPr>
                </w:p>
              </w:tc>
              <w:tc>
                <w:tcPr>
                  <w:tcW w:w="696" w:type="dxa"/>
                  <w:gridSpan w:val="2"/>
                  <w:vMerge w:val="continue"/>
                  <w:vAlign w:val="center"/>
                </w:tcPr>
                <w:p w14:paraId="25E8B8FF">
                  <w:pPr>
                    <w:pStyle w:val="71"/>
                    <w:spacing w:line="30" w:lineRule="atLeast"/>
                    <w:rPr>
                      <w:rFonts w:eastAsiaTheme="minorEastAsia"/>
                      <w:b w:val="0"/>
                      <w:color w:val="000000" w:themeColor="text1"/>
                      <w14:textFill>
                        <w14:solidFill>
                          <w14:schemeClr w14:val="tx1"/>
                        </w14:solidFill>
                      </w14:textFill>
                    </w:rPr>
                  </w:pPr>
                </w:p>
              </w:tc>
              <w:tc>
                <w:tcPr>
                  <w:tcW w:w="806" w:type="dxa"/>
                  <w:vMerge w:val="continue"/>
                  <w:vAlign w:val="center"/>
                </w:tcPr>
                <w:p w14:paraId="6C0DCB8D">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6846D3E9">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003C7CDF">
                  <w:pPr>
                    <w:pStyle w:val="71"/>
                    <w:spacing w:line="30" w:lineRule="atLeast"/>
                    <w:rPr>
                      <w:rFonts w:eastAsiaTheme="minorEastAsia"/>
                      <w:b w:val="0"/>
                      <w:color w:val="000000" w:themeColor="text1"/>
                      <w14:textFill>
                        <w14:solidFill>
                          <w14:schemeClr w14:val="tx1"/>
                        </w14:solidFill>
                      </w14:textFill>
                    </w:rPr>
                  </w:pPr>
                </w:p>
              </w:tc>
              <w:tc>
                <w:tcPr>
                  <w:tcW w:w="549" w:type="dxa"/>
                  <w:vMerge w:val="continue"/>
                  <w:vAlign w:val="center"/>
                </w:tcPr>
                <w:p w14:paraId="2B8F27B7">
                  <w:pPr>
                    <w:pStyle w:val="71"/>
                    <w:spacing w:line="30" w:lineRule="atLeast"/>
                    <w:rPr>
                      <w:rFonts w:eastAsiaTheme="minorEastAsia"/>
                      <w:b w:val="0"/>
                      <w:color w:val="000000" w:themeColor="text1"/>
                      <w14:textFill>
                        <w14:solidFill>
                          <w14:schemeClr w14:val="tx1"/>
                        </w14:solidFill>
                      </w14:textFill>
                    </w:rPr>
                  </w:pPr>
                </w:p>
              </w:tc>
              <w:tc>
                <w:tcPr>
                  <w:tcW w:w="410" w:type="dxa"/>
                  <w:vMerge w:val="restart"/>
                  <w:vAlign w:val="center"/>
                </w:tcPr>
                <w:p w14:paraId="2DF373DF">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名称</w:t>
                  </w:r>
                </w:p>
              </w:tc>
              <w:tc>
                <w:tcPr>
                  <w:tcW w:w="739" w:type="dxa"/>
                  <w:vMerge w:val="restart"/>
                  <w:vAlign w:val="center"/>
                </w:tcPr>
                <w:p w14:paraId="6FB0F273">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污染物种类</w:t>
                  </w:r>
                </w:p>
              </w:tc>
              <w:tc>
                <w:tcPr>
                  <w:tcW w:w="1151" w:type="dxa"/>
                  <w:vMerge w:val="restart"/>
                  <w:vAlign w:val="center"/>
                </w:tcPr>
                <w:p w14:paraId="725207B5">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国家或地方污染物排放标准浓度限值/（mg/L）</w:t>
                  </w:r>
                </w:p>
              </w:tc>
            </w:tr>
            <w:tr w14:paraId="5AF1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dxa"/>
                  <w:vMerge w:val="continue"/>
                  <w:vAlign w:val="center"/>
                </w:tcPr>
                <w:p w14:paraId="74877210">
                  <w:pPr>
                    <w:pStyle w:val="71"/>
                    <w:spacing w:line="30" w:lineRule="atLeast"/>
                    <w:rPr>
                      <w:rFonts w:eastAsiaTheme="minorEastAsia"/>
                      <w:b w:val="0"/>
                      <w:color w:val="000000" w:themeColor="text1"/>
                      <w14:textFill>
                        <w14:solidFill>
                          <w14:schemeClr w14:val="tx1"/>
                        </w14:solidFill>
                      </w14:textFill>
                    </w:rPr>
                  </w:pPr>
                </w:p>
              </w:tc>
              <w:tc>
                <w:tcPr>
                  <w:tcW w:w="675" w:type="dxa"/>
                  <w:vMerge w:val="continue"/>
                  <w:vAlign w:val="center"/>
                </w:tcPr>
                <w:p w14:paraId="0B2FC95A">
                  <w:pPr>
                    <w:pStyle w:val="71"/>
                    <w:spacing w:line="30" w:lineRule="atLeast"/>
                    <w:rPr>
                      <w:rFonts w:eastAsiaTheme="minorEastAsia"/>
                      <w:b w:val="0"/>
                      <w:color w:val="000000" w:themeColor="text1"/>
                      <w14:textFill>
                        <w14:solidFill>
                          <w14:schemeClr w14:val="tx1"/>
                        </w14:solidFill>
                      </w14:textFill>
                    </w:rPr>
                  </w:pPr>
                </w:p>
              </w:tc>
              <w:tc>
                <w:tcPr>
                  <w:tcW w:w="348" w:type="dxa"/>
                  <w:vAlign w:val="center"/>
                </w:tcPr>
                <w:p w14:paraId="434C26C9">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经度</w:t>
                  </w:r>
                </w:p>
              </w:tc>
              <w:tc>
                <w:tcPr>
                  <w:tcW w:w="348" w:type="dxa"/>
                  <w:vAlign w:val="center"/>
                </w:tcPr>
                <w:p w14:paraId="5B78C37C">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纬度</w:t>
                  </w:r>
                </w:p>
              </w:tc>
              <w:tc>
                <w:tcPr>
                  <w:tcW w:w="806" w:type="dxa"/>
                  <w:vMerge w:val="continue"/>
                  <w:vAlign w:val="center"/>
                </w:tcPr>
                <w:p w14:paraId="42F05D6A">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1A3C7E88">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1DCEE4C6">
                  <w:pPr>
                    <w:pStyle w:val="71"/>
                    <w:spacing w:line="30" w:lineRule="atLeast"/>
                    <w:rPr>
                      <w:rFonts w:eastAsiaTheme="minorEastAsia"/>
                      <w:b w:val="0"/>
                      <w:color w:val="000000" w:themeColor="text1"/>
                      <w14:textFill>
                        <w14:solidFill>
                          <w14:schemeClr w14:val="tx1"/>
                        </w14:solidFill>
                      </w14:textFill>
                    </w:rPr>
                  </w:pPr>
                </w:p>
              </w:tc>
              <w:tc>
                <w:tcPr>
                  <w:tcW w:w="549" w:type="dxa"/>
                  <w:vMerge w:val="continue"/>
                  <w:vAlign w:val="center"/>
                </w:tcPr>
                <w:p w14:paraId="252B50B4">
                  <w:pPr>
                    <w:pStyle w:val="71"/>
                    <w:spacing w:line="30" w:lineRule="atLeast"/>
                    <w:rPr>
                      <w:rFonts w:eastAsiaTheme="minorEastAsia"/>
                      <w:b w:val="0"/>
                      <w:color w:val="000000" w:themeColor="text1"/>
                      <w14:textFill>
                        <w14:solidFill>
                          <w14:schemeClr w14:val="tx1"/>
                        </w14:solidFill>
                      </w14:textFill>
                    </w:rPr>
                  </w:pPr>
                </w:p>
              </w:tc>
              <w:tc>
                <w:tcPr>
                  <w:tcW w:w="410" w:type="dxa"/>
                  <w:vMerge w:val="continue"/>
                  <w:vAlign w:val="center"/>
                </w:tcPr>
                <w:p w14:paraId="09C3DBE4">
                  <w:pPr>
                    <w:pStyle w:val="71"/>
                    <w:spacing w:line="30" w:lineRule="atLeast"/>
                    <w:rPr>
                      <w:rFonts w:eastAsiaTheme="minorEastAsia"/>
                      <w:b w:val="0"/>
                      <w:color w:val="000000" w:themeColor="text1"/>
                      <w14:textFill>
                        <w14:solidFill>
                          <w14:schemeClr w14:val="tx1"/>
                        </w14:solidFill>
                      </w14:textFill>
                    </w:rPr>
                  </w:pPr>
                </w:p>
              </w:tc>
              <w:tc>
                <w:tcPr>
                  <w:tcW w:w="739" w:type="dxa"/>
                  <w:vMerge w:val="continue"/>
                  <w:vAlign w:val="center"/>
                </w:tcPr>
                <w:p w14:paraId="39D76CC8">
                  <w:pPr>
                    <w:pStyle w:val="71"/>
                    <w:spacing w:line="30" w:lineRule="atLeast"/>
                    <w:rPr>
                      <w:rFonts w:eastAsiaTheme="minorEastAsia"/>
                      <w:b w:val="0"/>
                      <w:color w:val="000000" w:themeColor="text1"/>
                      <w14:textFill>
                        <w14:solidFill>
                          <w14:schemeClr w14:val="tx1"/>
                        </w14:solidFill>
                      </w14:textFill>
                    </w:rPr>
                  </w:pPr>
                </w:p>
              </w:tc>
              <w:tc>
                <w:tcPr>
                  <w:tcW w:w="1151" w:type="dxa"/>
                  <w:vMerge w:val="continue"/>
                  <w:vAlign w:val="center"/>
                </w:tcPr>
                <w:p w14:paraId="1874FBEA">
                  <w:pPr>
                    <w:pStyle w:val="71"/>
                    <w:spacing w:line="30" w:lineRule="atLeast"/>
                    <w:rPr>
                      <w:rFonts w:eastAsiaTheme="minorEastAsia"/>
                      <w:b w:val="0"/>
                      <w:color w:val="000000" w:themeColor="text1"/>
                      <w14:textFill>
                        <w14:solidFill>
                          <w14:schemeClr w14:val="tx1"/>
                        </w14:solidFill>
                      </w14:textFill>
                    </w:rPr>
                  </w:pPr>
                </w:p>
              </w:tc>
            </w:tr>
            <w:tr w14:paraId="34EF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515" w:type="dxa"/>
                  <w:vMerge w:val="restart"/>
                  <w:vAlign w:val="center"/>
                </w:tcPr>
                <w:p w14:paraId="6CFB1CB4">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1</w:t>
                  </w:r>
                </w:p>
              </w:tc>
              <w:tc>
                <w:tcPr>
                  <w:tcW w:w="675" w:type="dxa"/>
                  <w:vMerge w:val="restart"/>
                  <w:vAlign w:val="center"/>
                </w:tcPr>
                <w:p w14:paraId="788909CB">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DW001</w:t>
                  </w:r>
                </w:p>
              </w:tc>
              <w:tc>
                <w:tcPr>
                  <w:tcW w:w="348" w:type="dxa"/>
                  <w:vMerge w:val="restart"/>
                  <w:vAlign w:val="center"/>
                </w:tcPr>
                <w:p w14:paraId="3C4999DF">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113°24' 35.64"</w:t>
                  </w:r>
                </w:p>
              </w:tc>
              <w:tc>
                <w:tcPr>
                  <w:tcW w:w="348" w:type="dxa"/>
                  <w:vMerge w:val="restart"/>
                  <w:vAlign w:val="center"/>
                </w:tcPr>
                <w:p w14:paraId="6EA0D3DB">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25°8' 12.07"</w:t>
                  </w:r>
                </w:p>
              </w:tc>
              <w:tc>
                <w:tcPr>
                  <w:tcW w:w="806" w:type="dxa"/>
                  <w:vMerge w:val="restart"/>
                  <w:vAlign w:val="center"/>
                </w:tcPr>
                <w:p w14:paraId="2AEC5C37">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0.0185</w:t>
                  </w:r>
                </w:p>
              </w:tc>
              <w:tc>
                <w:tcPr>
                  <w:tcW w:w="1066" w:type="dxa"/>
                  <w:vMerge w:val="restart"/>
                  <w:vAlign w:val="center"/>
                </w:tcPr>
                <w:p w14:paraId="489A73EF">
                  <w:pPr>
                    <w:pStyle w:val="71"/>
                    <w:spacing w:line="30" w:lineRule="atLeast"/>
                    <w:rPr>
                      <w:rFonts w:eastAsiaTheme="minorEastAsia"/>
                      <w:b w:val="0"/>
                      <w:color w:val="000000" w:themeColor="text1"/>
                      <w14:textFill>
                        <w14:solidFill>
                          <w14:schemeClr w14:val="tx1"/>
                        </w14:solidFill>
                      </w14:textFill>
                    </w:rPr>
                  </w:pPr>
                  <w:r>
                    <w:rPr>
                      <w:rFonts w:hint="eastAsia" w:eastAsiaTheme="minorEastAsia"/>
                      <w:b w:val="0"/>
                      <w:color w:val="000000" w:themeColor="text1"/>
                      <w14:textFill>
                        <w14:solidFill>
                          <w14:schemeClr w14:val="tx1"/>
                        </w14:solidFill>
                      </w14:textFill>
                    </w:rPr>
                    <w:t>园区</w:t>
                  </w:r>
                  <w:r>
                    <w:rPr>
                      <w:rFonts w:eastAsiaTheme="minorEastAsia"/>
                      <w:b w:val="0"/>
                      <w:color w:val="000000" w:themeColor="text1"/>
                      <w14:textFill>
                        <w14:solidFill>
                          <w14:schemeClr w14:val="tx1"/>
                        </w14:solidFill>
                      </w14:textFill>
                    </w:rPr>
                    <w:t>污水处理厂</w:t>
                  </w:r>
                </w:p>
              </w:tc>
              <w:tc>
                <w:tcPr>
                  <w:tcW w:w="1066" w:type="dxa"/>
                  <w:vMerge w:val="restart"/>
                  <w:vAlign w:val="center"/>
                </w:tcPr>
                <w:p w14:paraId="685E7C60">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间断排放，期间流量不稳定，但有周期性</w:t>
                  </w:r>
                </w:p>
              </w:tc>
              <w:tc>
                <w:tcPr>
                  <w:tcW w:w="549" w:type="dxa"/>
                  <w:vMerge w:val="restart"/>
                  <w:vAlign w:val="center"/>
                </w:tcPr>
                <w:p w14:paraId="0BD665F1">
                  <w:pPr>
                    <w:pStyle w:val="71"/>
                    <w:spacing w:line="30" w:lineRule="atLeast"/>
                    <w:rPr>
                      <w:rFonts w:eastAsiaTheme="minorEastAsia"/>
                      <w:b w:val="0"/>
                      <w:color w:val="000000" w:themeColor="text1"/>
                      <w14:textFill>
                        <w14:solidFill>
                          <w14:schemeClr w14:val="tx1"/>
                        </w14:solidFill>
                      </w14:textFill>
                    </w:rPr>
                  </w:pPr>
                  <w:r>
                    <w:rPr>
                      <w:b w:val="0"/>
                      <w:color w:val="000000" w:themeColor="text1"/>
                      <w14:textFill>
                        <w14:solidFill>
                          <w14:schemeClr w14:val="tx1"/>
                        </w14:solidFill>
                      </w14:textFill>
                    </w:rPr>
                    <w:t>9:00~18:00</w:t>
                  </w:r>
                </w:p>
              </w:tc>
              <w:tc>
                <w:tcPr>
                  <w:tcW w:w="410" w:type="dxa"/>
                  <w:vMerge w:val="restart"/>
                  <w:vAlign w:val="center"/>
                </w:tcPr>
                <w:p w14:paraId="3B1173B7">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园区污水处理厂</w:t>
                  </w:r>
                </w:p>
              </w:tc>
              <w:tc>
                <w:tcPr>
                  <w:tcW w:w="739" w:type="dxa"/>
                  <w:vAlign w:val="center"/>
                </w:tcPr>
                <w:p w14:paraId="279110EB">
                  <w:pPr>
                    <w:pStyle w:val="71"/>
                    <w:spacing w:line="30" w:lineRule="atLeast"/>
                    <w:rPr>
                      <w:rFonts w:eastAsiaTheme="minorEastAsia"/>
                      <w:b w:val="0"/>
                      <w:color w:val="000000" w:themeColor="text1"/>
                      <w14:textFill>
                        <w14:solidFill>
                          <w14:schemeClr w14:val="tx1"/>
                        </w14:solidFill>
                      </w14:textFill>
                    </w:rPr>
                  </w:pPr>
                  <w:r>
                    <w:rPr>
                      <w:b w:val="0"/>
                      <w:color w:val="000000" w:themeColor="text1"/>
                      <w:kern w:val="2"/>
                      <w14:textFill>
                        <w14:solidFill>
                          <w14:schemeClr w14:val="tx1"/>
                        </w14:solidFill>
                      </w14:textFill>
                    </w:rPr>
                    <w:t>pH值</w:t>
                  </w:r>
                </w:p>
              </w:tc>
              <w:tc>
                <w:tcPr>
                  <w:tcW w:w="1151" w:type="dxa"/>
                  <w:vAlign w:val="center"/>
                </w:tcPr>
                <w:p w14:paraId="0342CE42">
                  <w:pPr>
                    <w:pStyle w:val="71"/>
                    <w:spacing w:line="30" w:lineRule="atLeast"/>
                    <w:rPr>
                      <w:rFonts w:eastAsiaTheme="minorEastAsia"/>
                      <w:b w:val="0"/>
                      <w:color w:val="000000" w:themeColor="text1"/>
                      <w14:textFill>
                        <w14:solidFill>
                          <w14:schemeClr w14:val="tx1"/>
                        </w14:solidFill>
                      </w14:textFill>
                    </w:rPr>
                  </w:pPr>
                  <w:r>
                    <w:rPr>
                      <w:b w:val="0"/>
                      <w:color w:val="000000" w:themeColor="text1"/>
                      <w14:textFill>
                        <w14:solidFill>
                          <w14:schemeClr w14:val="tx1"/>
                        </w14:solidFill>
                      </w14:textFill>
                    </w:rPr>
                    <w:t>6-9</w:t>
                  </w:r>
                </w:p>
              </w:tc>
            </w:tr>
            <w:tr w14:paraId="0807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15" w:type="dxa"/>
                  <w:vMerge w:val="continue"/>
                  <w:vAlign w:val="center"/>
                </w:tcPr>
                <w:p w14:paraId="5F4F97EF">
                  <w:pPr>
                    <w:pStyle w:val="71"/>
                    <w:spacing w:line="30" w:lineRule="atLeast"/>
                    <w:rPr>
                      <w:rFonts w:eastAsiaTheme="minorEastAsia"/>
                      <w:b w:val="0"/>
                      <w:color w:val="000000" w:themeColor="text1"/>
                      <w14:textFill>
                        <w14:solidFill>
                          <w14:schemeClr w14:val="tx1"/>
                        </w14:solidFill>
                      </w14:textFill>
                    </w:rPr>
                  </w:pPr>
                </w:p>
              </w:tc>
              <w:tc>
                <w:tcPr>
                  <w:tcW w:w="675" w:type="dxa"/>
                  <w:vMerge w:val="continue"/>
                  <w:vAlign w:val="center"/>
                </w:tcPr>
                <w:p w14:paraId="0B84A55D">
                  <w:pPr>
                    <w:pStyle w:val="71"/>
                    <w:spacing w:line="30" w:lineRule="atLeast"/>
                    <w:rPr>
                      <w:rFonts w:eastAsiaTheme="minorEastAsia"/>
                      <w:b w:val="0"/>
                      <w:color w:val="000000" w:themeColor="text1"/>
                      <w14:textFill>
                        <w14:solidFill>
                          <w14:schemeClr w14:val="tx1"/>
                        </w14:solidFill>
                      </w14:textFill>
                    </w:rPr>
                  </w:pPr>
                </w:p>
              </w:tc>
              <w:tc>
                <w:tcPr>
                  <w:tcW w:w="348" w:type="dxa"/>
                  <w:vMerge w:val="continue"/>
                  <w:vAlign w:val="center"/>
                </w:tcPr>
                <w:p w14:paraId="7AC885B9">
                  <w:pPr>
                    <w:pStyle w:val="71"/>
                    <w:spacing w:line="30" w:lineRule="atLeast"/>
                    <w:rPr>
                      <w:rFonts w:eastAsiaTheme="minorEastAsia"/>
                      <w:b w:val="0"/>
                      <w:color w:val="000000" w:themeColor="text1"/>
                      <w14:textFill>
                        <w14:solidFill>
                          <w14:schemeClr w14:val="tx1"/>
                        </w14:solidFill>
                      </w14:textFill>
                    </w:rPr>
                  </w:pPr>
                </w:p>
              </w:tc>
              <w:tc>
                <w:tcPr>
                  <w:tcW w:w="348" w:type="dxa"/>
                  <w:vMerge w:val="continue"/>
                  <w:vAlign w:val="center"/>
                </w:tcPr>
                <w:p w14:paraId="79BEF919">
                  <w:pPr>
                    <w:pStyle w:val="71"/>
                    <w:spacing w:line="30" w:lineRule="atLeast"/>
                    <w:rPr>
                      <w:rFonts w:eastAsiaTheme="minorEastAsia"/>
                      <w:b w:val="0"/>
                      <w:color w:val="000000" w:themeColor="text1"/>
                      <w14:textFill>
                        <w14:solidFill>
                          <w14:schemeClr w14:val="tx1"/>
                        </w14:solidFill>
                      </w14:textFill>
                    </w:rPr>
                  </w:pPr>
                </w:p>
              </w:tc>
              <w:tc>
                <w:tcPr>
                  <w:tcW w:w="806" w:type="dxa"/>
                  <w:vMerge w:val="continue"/>
                  <w:vAlign w:val="center"/>
                </w:tcPr>
                <w:p w14:paraId="2E672DB1">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4750B1A6">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7DBBF8AE">
                  <w:pPr>
                    <w:pStyle w:val="71"/>
                    <w:spacing w:line="30" w:lineRule="atLeast"/>
                    <w:rPr>
                      <w:rFonts w:eastAsiaTheme="minorEastAsia"/>
                      <w:b w:val="0"/>
                      <w:color w:val="000000" w:themeColor="text1"/>
                      <w14:textFill>
                        <w14:solidFill>
                          <w14:schemeClr w14:val="tx1"/>
                        </w14:solidFill>
                      </w14:textFill>
                    </w:rPr>
                  </w:pPr>
                </w:p>
              </w:tc>
              <w:tc>
                <w:tcPr>
                  <w:tcW w:w="549" w:type="dxa"/>
                  <w:vMerge w:val="continue"/>
                  <w:vAlign w:val="center"/>
                </w:tcPr>
                <w:p w14:paraId="2F402113">
                  <w:pPr>
                    <w:pStyle w:val="71"/>
                    <w:spacing w:line="30" w:lineRule="atLeast"/>
                    <w:rPr>
                      <w:b w:val="0"/>
                      <w:color w:val="000000" w:themeColor="text1"/>
                      <w14:textFill>
                        <w14:solidFill>
                          <w14:schemeClr w14:val="tx1"/>
                        </w14:solidFill>
                      </w14:textFill>
                    </w:rPr>
                  </w:pPr>
                </w:p>
              </w:tc>
              <w:tc>
                <w:tcPr>
                  <w:tcW w:w="410" w:type="dxa"/>
                  <w:vMerge w:val="continue"/>
                  <w:vAlign w:val="center"/>
                </w:tcPr>
                <w:p w14:paraId="4A41A51A">
                  <w:pPr>
                    <w:rPr>
                      <w:rFonts w:ascii="Times New Roman" w:hAnsi="Times New Roman" w:cs="Times New Roman"/>
                      <w:bCs/>
                      <w:color w:val="000000" w:themeColor="text1"/>
                      <w:kern w:val="0"/>
                      <w:szCs w:val="21"/>
                      <w14:textFill>
                        <w14:solidFill>
                          <w14:schemeClr w14:val="tx1"/>
                        </w14:solidFill>
                      </w14:textFill>
                    </w:rPr>
                  </w:pPr>
                </w:p>
              </w:tc>
              <w:tc>
                <w:tcPr>
                  <w:tcW w:w="739" w:type="dxa"/>
                  <w:vAlign w:val="center"/>
                </w:tcPr>
                <w:p w14:paraId="5367B00F">
                  <w:pPr>
                    <w:pStyle w:val="71"/>
                    <w:spacing w:line="30" w:lineRule="atLeast"/>
                    <w:rPr>
                      <w:rFonts w:eastAsiaTheme="minorEastAsia"/>
                      <w:b w:val="0"/>
                      <w:color w:val="000000" w:themeColor="text1"/>
                      <w14:textFill>
                        <w14:solidFill>
                          <w14:schemeClr w14:val="tx1"/>
                        </w14:solidFill>
                      </w14:textFill>
                    </w:rPr>
                  </w:pPr>
                  <w:r>
                    <w:rPr>
                      <w:rFonts w:hint="eastAsia" w:eastAsiaTheme="minorEastAsia"/>
                      <w:b w:val="0"/>
                      <w:color w:val="000000" w:themeColor="text1"/>
                      <w14:textFill>
                        <w14:solidFill>
                          <w14:schemeClr w14:val="tx1"/>
                        </w14:solidFill>
                      </w14:textFill>
                    </w:rPr>
                    <w:t>SS</w:t>
                  </w:r>
                </w:p>
              </w:tc>
              <w:tc>
                <w:tcPr>
                  <w:tcW w:w="1151" w:type="dxa"/>
                  <w:vAlign w:val="center"/>
                </w:tcPr>
                <w:p w14:paraId="4BDA1294">
                  <w:pPr>
                    <w:pStyle w:val="71"/>
                    <w:spacing w:line="30" w:lineRule="atLeast"/>
                    <w:rPr>
                      <w:rFonts w:eastAsiaTheme="minorEastAsia"/>
                      <w:b w:val="0"/>
                      <w:color w:val="000000" w:themeColor="text1"/>
                      <w14:textFill>
                        <w14:solidFill>
                          <w14:schemeClr w14:val="tx1"/>
                        </w14:solidFill>
                      </w14:textFill>
                    </w:rPr>
                  </w:pPr>
                  <w:r>
                    <w:rPr>
                      <w:rFonts w:hint="eastAsia" w:eastAsiaTheme="minorEastAsia"/>
                      <w:b w:val="0"/>
                      <w:color w:val="000000" w:themeColor="text1"/>
                      <w14:textFill>
                        <w14:solidFill>
                          <w14:schemeClr w14:val="tx1"/>
                        </w14:solidFill>
                      </w14:textFill>
                    </w:rPr>
                    <w:t>2</w:t>
                  </w:r>
                  <w:r>
                    <w:rPr>
                      <w:rFonts w:eastAsiaTheme="minorEastAsia"/>
                      <w:b w:val="0"/>
                      <w:color w:val="000000" w:themeColor="text1"/>
                      <w14:textFill>
                        <w14:solidFill>
                          <w14:schemeClr w14:val="tx1"/>
                        </w14:solidFill>
                      </w14:textFill>
                    </w:rPr>
                    <w:t>0</w:t>
                  </w:r>
                </w:p>
              </w:tc>
            </w:tr>
            <w:tr w14:paraId="74F40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15" w:type="dxa"/>
                  <w:vMerge w:val="continue"/>
                  <w:vAlign w:val="center"/>
                </w:tcPr>
                <w:p w14:paraId="2732C46B">
                  <w:pPr>
                    <w:pStyle w:val="71"/>
                    <w:spacing w:line="30" w:lineRule="atLeast"/>
                    <w:rPr>
                      <w:rFonts w:eastAsiaTheme="minorEastAsia"/>
                      <w:b w:val="0"/>
                      <w:color w:val="000000" w:themeColor="text1"/>
                      <w14:textFill>
                        <w14:solidFill>
                          <w14:schemeClr w14:val="tx1"/>
                        </w14:solidFill>
                      </w14:textFill>
                    </w:rPr>
                  </w:pPr>
                </w:p>
              </w:tc>
              <w:tc>
                <w:tcPr>
                  <w:tcW w:w="675" w:type="dxa"/>
                  <w:vMerge w:val="continue"/>
                  <w:vAlign w:val="center"/>
                </w:tcPr>
                <w:p w14:paraId="61A61330">
                  <w:pPr>
                    <w:pStyle w:val="71"/>
                    <w:spacing w:line="30" w:lineRule="atLeast"/>
                    <w:rPr>
                      <w:rFonts w:eastAsiaTheme="minorEastAsia"/>
                      <w:b w:val="0"/>
                      <w:color w:val="000000" w:themeColor="text1"/>
                      <w14:textFill>
                        <w14:solidFill>
                          <w14:schemeClr w14:val="tx1"/>
                        </w14:solidFill>
                      </w14:textFill>
                    </w:rPr>
                  </w:pPr>
                </w:p>
              </w:tc>
              <w:tc>
                <w:tcPr>
                  <w:tcW w:w="348" w:type="dxa"/>
                  <w:vMerge w:val="continue"/>
                  <w:vAlign w:val="center"/>
                </w:tcPr>
                <w:p w14:paraId="3B3AFBDE">
                  <w:pPr>
                    <w:pStyle w:val="71"/>
                    <w:spacing w:line="30" w:lineRule="atLeast"/>
                    <w:rPr>
                      <w:rFonts w:eastAsiaTheme="minorEastAsia"/>
                      <w:b w:val="0"/>
                      <w:color w:val="000000" w:themeColor="text1"/>
                      <w14:textFill>
                        <w14:solidFill>
                          <w14:schemeClr w14:val="tx1"/>
                        </w14:solidFill>
                      </w14:textFill>
                    </w:rPr>
                  </w:pPr>
                </w:p>
              </w:tc>
              <w:tc>
                <w:tcPr>
                  <w:tcW w:w="348" w:type="dxa"/>
                  <w:vMerge w:val="continue"/>
                  <w:vAlign w:val="center"/>
                </w:tcPr>
                <w:p w14:paraId="60DD4EE9">
                  <w:pPr>
                    <w:pStyle w:val="71"/>
                    <w:spacing w:line="30" w:lineRule="atLeast"/>
                    <w:rPr>
                      <w:rFonts w:eastAsiaTheme="minorEastAsia"/>
                      <w:b w:val="0"/>
                      <w:color w:val="000000" w:themeColor="text1"/>
                      <w14:textFill>
                        <w14:solidFill>
                          <w14:schemeClr w14:val="tx1"/>
                        </w14:solidFill>
                      </w14:textFill>
                    </w:rPr>
                  </w:pPr>
                </w:p>
              </w:tc>
              <w:tc>
                <w:tcPr>
                  <w:tcW w:w="806" w:type="dxa"/>
                  <w:vMerge w:val="continue"/>
                  <w:vAlign w:val="center"/>
                </w:tcPr>
                <w:p w14:paraId="252923A0">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364888F1">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17BA5AE6">
                  <w:pPr>
                    <w:pStyle w:val="71"/>
                    <w:spacing w:line="30" w:lineRule="atLeast"/>
                    <w:rPr>
                      <w:rFonts w:eastAsiaTheme="minorEastAsia"/>
                      <w:b w:val="0"/>
                      <w:color w:val="000000" w:themeColor="text1"/>
                      <w14:textFill>
                        <w14:solidFill>
                          <w14:schemeClr w14:val="tx1"/>
                        </w14:solidFill>
                      </w14:textFill>
                    </w:rPr>
                  </w:pPr>
                </w:p>
              </w:tc>
              <w:tc>
                <w:tcPr>
                  <w:tcW w:w="549" w:type="dxa"/>
                  <w:vMerge w:val="continue"/>
                  <w:vAlign w:val="center"/>
                </w:tcPr>
                <w:p w14:paraId="633DD8C2">
                  <w:pPr>
                    <w:pStyle w:val="71"/>
                    <w:spacing w:line="30" w:lineRule="atLeast"/>
                    <w:rPr>
                      <w:b w:val="0"/>
                      <w:color w:val="000000" w:themeColor="text1"/>
                      <w14:textFill>
                        <w14:solidFill>
                          <w14:schemeClr w14:val="tx1"/>
                        </w14:solidFill>
                      </w14:textFill>
                    </w:rPr>
                  </w:pPr>
                </w:p>
              </w:tc>
              <w:tc>
                <w:tcPr>
                  <w:tcW w:w="410" w:type="dxa"/>
                  <w:vMerge w:val="continue"/>
                  <w:vAlign w:val="center"/>
                </w:tcPr>
                <w:p w14:paraId="56B174F3">
                  <w:pPr>
                    <w:rPr>
                      <w:rFonts w:ascii="Times New Roman" w:hAnsi="Times New Roman" w:cs="Times New Roman"/>
                      <w:bCs/>
                      <w:color w:val="000000" w:themeColor="text1"/>
                      <w:kern w:val="0"/>
                      <w:szCs w:val="21"/>
                      <w14:textFill>
                        <w14:solidFill>
                          <w14:schemeClr w14:val="tx1"/>
                        </w14:solidFill>
                      </w14:textFill>
                    </w:rPr>
                  </w:pPr>
                </w:p>
              </w:tc>
              <w:tc>
                <w:tcPr>
                  <w:tcW w:w="739" w:type="dxa"/>
                  <w:vAlign w:val="center"/>
                </w:tcPr>
                <w:p w14:paraId="70E06C62">
                  <w:pPr>
                    <w:pStyle w:val="71"/>
                    <w:spacing w:line="30" w:lineRule="atLeast"/>
                    <w:rPr>
                      <w:rFonts w:eastAsiaTheme="minorEastAsia"/>
                      <w:b w:val="0"/>
                      <w:color w:val="000000" w:themeColor="text1"/>
                      <w14:textFill>
                        <w14:solidFill>
                          <w14:schemeClr w14:val="tx1"/>
                        </w14:solidFill>
                      </w14:textFill>
                    </w:rPr>
                  </w:pPr>
                  <w:r>
                    <w:rPr>
                      <w:b w:val="0"/>
                      <w:color w:val="000000" w:themeColor="text1"/>
                      <w:kern w:val="2"/>
                      <w14:textFill>
                        <w14:solidFill>
                          <w14:schemeClr w14:val="tx1"/>
                        </w14:solidFill>
                      </w14:textFill>
                    </w:rPr>
                    <w:t>COD</w:t>
                  </w:r>
                  <w:r>
                    <w:rPr>
                      <w:b w:val="0"/>
                      <w:color w:val="000000" w:themeColor="text1"/>
                      <w:kern w:val="2"/>
                      <w:vertAlign w:val="subscript"/>
                      <w14:textFill>
                        <w14:solidFill>
                          <w14:schemeClr w14:val="tx1"/>
                        </w14:solidFill>
                      </w14:textFill>
                    </w:rPr>
                    <w:t>Cr</w:t>
                  </w:r>
                </w:p>
              </w:tc>
              <w:tc>
                <w:tcPr>
                  <w:tcW w:w="1151" w:type="dxa"/>
                  <w:vAlign w:val="center"/>
                </w:tcPr>
                <w:p w14:paraId="6CAAF132">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40</w:t>
                  </w:r>
                </w:p>
              </w:tc>
            </w:tr>
            <w:tr w14:paraId="614F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15" w:type="dxa"/>
                  <w:vMerge w:val="continue"/>
                  <w:vAlign w:val="center"/>
                </w:tcPr>
                <w:p w14:paraId="50A16FB0">
                  <w:pPr>
                    <w:pStyle w:val="71"/>
                    <w:spacing w:line="30" w:lineRule="atLeast"/>
                    <w:rPr>
                      <w:rFonts w:eastAsiaTheme="minorEastAsia"/>
                      <w:b w:val="0"/>
                      <w:color w:val="000000" w:themeColor="text1"/>
                      <w14:textFill>
                        <w14:solidFill>
                          <w14:schemeClr w14:val="tx1"/>
                        </w14:solidFill>
                      </w14:textFill>
                    </w:rPr>
                  </w:pPr>
                </w:p>
              </w:tc>
              <w:tc>
                <w:tcPr>
                  <w:tcW w:w="675" w:type="dxa"/>
                  <w:vMerge w:val="continue"/>
                  <w:vAlign w:val="center"/>
                </w:tcPr>
                <w:p w14:paraId="5C469F0F">
                  <w:pPr>
                    <w:pStyle w:val="71"/>
                    <w:spacing w:line="30" w:lineRule="atLeast"/>
                    <w:rPr>
                      <w:rFonts w:eastAsiaTheme="minorEastAsia"/>
                      <w:b w:val="0"/>
                      <w:color w:val="000000" w:themeColor="text1"/>
                      <w14:textFill>
                        <w14:solidFill>
                          <w14:schemeClr w14:val="tx1"/>
                        </w14:solidFill>
                      </w14:textFill>
                    </w:rPr>
                  </w:pPr>
                </w:p>
              </w:tc>
              <w:tc>
                <w:tcPr>
                  <w:tcW w:w="348" w:type="dxa"/>
                  <w:vMerge w:val="continue"/>
                  <w:vAlign w:val="center"/>
                </w:tcPr>
                <w:p w14:paraId="1C50E069">
                  <w:pPr>
                    <w:pStyle w:val="71"/>
                    <w:spacing w:line="30" w:lineRule="atLeast"/>
                    <w:rPr>
                      <w:rFonts w:eastAsiaTheme="minorEastAsia"/>
                      <w:b w:val="0"/>
                      <w:color w:val="000000" w:themeColor="text1"/>
                      <w14:textFill>
                        <w14:solidFill>
                          <w14:schemeClr w14:val="tx1"/>
                        </w14:solidFill>
                      </w14:textFill>
                    </w:rPr>
                  </w:pPr>
                </w:p>
              </w:tc>
              <w:tc>
                <w:tcPr>
                  <w:tcW w:w="348" w:type="dxa"/>
                  <w:vMerge w:val="continue"/>
                  <w:vAlign w:val="center"/>
                </w:tcPr>
                <w:p w14:paraId="65BDED71">
                  <w:pPr>
                    <w:pStyle w:val="71"/>
                    <w:spacing w:line="30" w:lineRule="atLeast"/>
                    <w:rPr>
                      <w:rFonts w:eastAsiaTheme="minorEastAsia"/>
                      <w:b w:val="0"/>
                      <w:color w:val="000000" w:themeColor="text1"/>
                      <w14:textFill>
                        <w14:solidFill>
                          <w14:schemeClr w14:val="tx1"/>
                        </w14:solidFill>
                      </w14:textFill>
                    </w:rPr>
                  </w:pPr>
                </w:p>
              </w:tc>
              <w:tc>
                <w:tcPr>
                  <w:tcW w:w="806" w:type="dxa"/>
                  <w:vMerge w:val="continue"/>
                  <w:vAlign w:val="center"/>
                </w:tcPr>
                <w:p w14:paraId="424AE4F6">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4E3E9432">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51C83268">
                  <w:pPr>
                    <w:pStyle w:val="71"/>
                    <w:spacing w:line="30" w:lineRule="atLeast"/>
                    <w:rPr>
                      <w:rFonts w:eastAsiaTheme="minorEastAsia"/>
                      <w:b w:val="0"/>
                      <w:color w:val="000000" w:themeColor="text1"/>
                      <w14:textFill>
                        <w14:solidFill>
                          <w14:schemeClr w14:val="tx1"/>
                        </w14:solidFill>
                      </w14:textFill>
                    </w:rPr>
                  </w:pPr>
                </w:p>
              </w:tc>
              <w:tc>
                <w:tcPr>
                  <w:tcW w:w="549" w:type="dxa"/>
                  <w:vMerge w:val="continue"/>
                  <w:vAlign w:val="center"/>
                </w:tcPr>
                <w:p w14:paraId="08429D5F">
                  <w:pPr>
                    <w:pStyle w:val="71"/>
                    <w:spacing w:line="30" w:lineRule="atLeast"/>
                    <w:rPr>
                      <w:b w:val="0"/>
                      <w:color w:val="000000" w:themeColor="text1"/>
                      <w14:textFill>
                        <w14:solidFill>
                          <w14:schemeClr w14:val="tx1"/>
                        </w14:solidFill>
                      </w14:textFill>
                    </w:rPr>
                  </w:pPr>
                </w:p>
              </w:tc>
              <w:tc>
                <w:tcPr>
                  <w:tcW w:w="410" w:type="dxa"/>
                  <w:vMerge w:val="continue"/>
                  <w:vAlign w:val="center"/>
                </w:tcPr>
                <w:p w14:paraId="7E9BF3F7">
                  <w:pPr>
                    <w:rPr>
                      <w:rFonts w:ascii="Times New Roman" w:hAnsi="Times New Roman" w:cs="Times New Roman"/>
                      <w:bCs/>
                      <w:color w:val="000000" w:themeColor="text1"/>
                      <w:kern w:val="0"/>
                      <w:szCs w:val="21"/>
                      <w14:textFill>
                        <w14:solidFill>
                          <w14:schemeClr w14:val="tx1"/>
                        </w14:solidFill>
                      </w14:textFill>
                    </w:rPr>
                  </w:pPr>
                </w:p>
              </w:tc>
              <w:tc>
                <w:tcPr>
                  <w:tcW w:w="739" w:type="dxa"/>
                  <w:vAlign w:val="center"/>
                </w:tcPr>
                <w:p w14:paraId="3FEB3C3F">
                  <w:pPr>
                    <w:pStyle w:val="71"/>
                    <w:spacing w:line="30" w:lineRule="atLeast"/>
                    <w:rPr>
                      <w:rFonts w:eastAsiaTheme="minorEastAsia"/>
                      <w:b w:val="0"/>
                      <w:color w:val="000000" w:themeColor="text1"/>
                      <w14:textFill>
                        <w14:solidFill>
                          <w14:schemeClr w14:val="tx1"/>
                        </w14:solidFill>
                      </w14:textFill>
                    </w:rPr>
                  </w:pPr>
                  <w:r>
                    <w:rPr>
                      <w:b w:val="0"/>
                      <w:color w:val="000000" w:themeColor="text1"/>
                      <w:kern w:val="2"/>
                      <w14:textFill>
                        <w14:solidFill>
                          <w14:schemeClr w14:val="tx1"/>
                        </w14:solidFill>
                      </w14:textFill>
                    </w:rPr>
                    <w:t>BOD</w:t>
                  </w:r>
                  <w:r>
                    <w:rPr>
                      <w:b w:val="0"/>
                      <w:color w:val="000000" w:themeColor="text1"/>
                      <w:kern w:val="2"/>
                      <w:vertAlign w:val="subscript"/>
                      <w14:textFill>
                        <w14:solidFill>
                          <w14:schemeClr w14:val="tx1"/>
                        </w14:solidFill>
                      </w14:textFill>
                    </w:rPr>
                    <w:t>5</w:t>
                  </w:r>
                </w:p>
              </w:tc>
              <w:tc>
                <w:tcPr>
                  <w:tcW w:w="1151" w:type="dxa"/>
                  <w:vAlign w:val="center"/>
                </w:tcPr>
                <w:p w14:paraId="3E731DEB">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20</w:t>
                  </w:r>
                </w:p>
              </w:tc>
            </w:tr>
            <w:tr w14:paraId="4E0E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15" w:type="dxa"/>
                  <w:vMerge w:val="continue"/>
                  <w:vAlign w:val="center"/>
                </w:tcPr>
                <w:p w14:paraId="47266C6B">
                  <w:pPr>
                    <w:pStyle w:val="71"/>
                    <w:spacing w:line="30" w:lineRule="atLeast"/>
                    <w:rPr>
                      <w:rFonts w:eastAsiaTheme="minorEastAsia"/>
                      <w:b w:val="0"/>
                      <w:color w:val="000000" w:themeColor="text1"/>
                      <w14:textFill>
                        <w14:solidFill>
                          <w14:schemeClr w14:val="tx1"/>
                        </w14:solidFill>
                      </w14:textFill>
                    </w:rPr>
                  </w:pPr>
                </w:p>
              </w:tc>
              <w:tc>
                <w:tcPr>
                  <w:tcW w:w="675" w:type="dxa"/>
                  <w:vMerge w:val="continue"/>
                  <w:vAlign w:val="center"/>
                </w:tcPr>
                <w:p w14:paraId="281A10B3">
                  <w:pPr>
                    <w:pStyle w:val="71"/>
                    <w:spacing w:line="30" w:lineRule="atLeast"/>
                    <w:rPr>
                      <w:rFonts w:eastAsiaTheme="minorEastAsia"/>
                      <w:b w:val="0"/>
                      <w:color w:val="000000" w:themeColor="text1"/>
                      <w14:textFill>
                        <w14:solidFill>
                          <w14:schemeClr w14:val="tx1"/>
                        </w14:solidFill>
                      </w14:textFill>
                    </w:rPr>
                  </w:pPr>
                </w:p>
              </w:tc>
              <w:tc>
                <w:tcPr>
                  <w:tcW w:w="348" w:type="dxa"/>
                  <w:vMerge w:val="continue"/>
                  <w:vAlign w:val="center"/>
                </w:tcPr>
                <w:p w14:paraId="0AFF75FA">
                  <w:pPr>
                    <w:pStyle w:val="71"/>
                    <w:spacing w:line="30" w:lineRule="atLeast"/>
                    <w:rPr>
                      <w:rFonts w:eastAsiaTheme="minorEastAsia"/>
                      <w:b w:val="0"/>
                      <w:color w:val="000000" w:themeColor="text1"/>
                      <w14:textFill>
                        <w14:solidFill>
                          <w14:schemeClr w14:val="tx1"/>
                        </w14:solidFill>
                      </w14:textFill>
                    </w:rPr>
                  </w:pPr>
                </w:p>
              </w:tc>
              <w:tc>
                <w:tcPr>
                  <w:tcW w:w="348" w:type="dxa"/>
                  <w:vMerge w:val="continue"/>
                  <w:vAlign w:val="center"/>
                </w:tcPr>
                <w:p w14:paraId="055DAE39">
                  <w:pPr>
                    <w:pStyle w:val="71"/>
                    <w:spacing w:line="30" w:lineRule="atLeast"/>
                    <w:rPr>
                      <w:rFonts w:eastAsiaTheme="minorEastAsia"/>
                      <w:b w:val="0"/>
                      <w:color w:val="000000" w:themeColor="text1"/>
                      <w14:textFill>
                        <w14:solidFill>
                          <w14:schemeClr w14:val="tx1"/>
                        </w14:solidFill>
                      </w14:textFill>
                    </w:rPr>
                  </w:pPr>
                </w:p>
              </w:tc>
              <w:tc>
                <w:tcPr>
                  <w:tcW w:w="806" w:type="dxa"/>
                  <w:vMerge w:val="continue"/>
                  <w:vAlign w:val="center"/>
                </w:tcPr>
                <w:p w14:paraId="75F16F3C">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4A454948">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5F192BFE">
                  <w:pPr>
                    <w:pStyle w:val="71"/>
                    <w:spacing w:line="30" w:lineRule="atLeast"/>
                    <w:rPr>
                      <w:rFonts w:eastAsiaTheme="minorEastAsia"/>
                      <w:b w:val="0"/>
                      <w:color w:val="000000" w:themeColor="text1"/>
                      <w14:textFill>
                        <w14:solidFill>
                          <w14:schemeClr w14:val="tx1"/>
                        </w14:solidFill>
                      </w14:textFill>
                    </w:rPr>
                  </w:pPr>
                </w:p>
              </w:tc>
              <w:tc>
                <w:tcPr>
                  <w:tcW w:w="549" w:type="dxa"/>
                  <w:vMerge w:val="continue"/>
                  <w:vAlign w:val="center"/>
                </w:tcPr>
                <w:p w14:paraId="63B98B22">
                  <w:pPr>
                    <w:pStyle w:val="71"/>
                    <w:spacing w:line="30" w:lineRule="atLeast"/>
                    <w:rPr>
                      <w:b w:val="0"/>
                      <w:color w:val="000000" w:themeColor="text1"/>
                      <w14:textFill>
                        <w14:solidFill>
                          <w14:schemeClr w14:val="tx1"/>
                        </w14:solidFill>
                      </w14:textFill>
                    </w:rPr>
                  </w:pPr>
                </w:p>
              </w:tc>
              <w:tc>
                <w:tcPr>
                  <w:tcW w:w="410" w:type="dxa"/>
                  <w:vMerge w:val="continue"/>
                  <w:vAlign w:val="center"/>
                </w:tcPr>
                <w:p w14:paraId="601B8BB7">
                  <w:pPr>
                    <w:rPr>
                      <w:rFonts w:ascii="Times New Roman" w:hAnsi="Times New Roman" w:cs="Times New Roman"/>
                      <w:bCs/>
                      <w:color w:val="000000" w:themeColor="text1"/>
                      <w:kern w:val="0"/>
                      <w:szCs w:val="21"/>
                      <w14:textFill>
                        <w14:solidFill>
                          <w14:schemeClr w14:val="tx1"/>
                        </w14:solidFill>
                      </w14:textFill>
                    </w:rPr>
                  </w:pPr>
                </w:p>
              </w:tc>
              <w:tc>
                <w:tcPr>
                  <w:tcW w:w="739" w:type="dxa"/>
                  <w:vAlign w:val="center"/>
                </w:tcPr>
                <w:p w14:paraId="1BCBC8B2">
                  <w:pPr>
                    <w:pStyle w:val="71"/>
                    <w:spacing w:line="30" w:lineRule="atLeast"/>
                    <w:rPr>
                      <w:rFonts w:eastAsiaTheme="minorEastAsia"/>
                      <w:b w:val="0"/>
                      <w:color w:val="000000" w:themeColor="text1"/>
                      <w14:textFill>
                        <w14:solidFill>
                          <w14:schemeClr w14:val="tx1"/>
                        </w14:solidFill>
                      </w14:textFill>
                    </w:rPr>
                  </w:pPr>
                  <w:r>
                    <w:rPr>
                      <w:rFonts w:hint="eastAsia" w:eastAsiaTheme="minorEastAsia"/>
                      <w:b w:val="0"/>
                      <w:color w:val="000000" w:themeColor="text1"/>
                      <w14:textFill>
                        <w14:solidFill>
                          <w14:schemeClr w14:val="tx1"/>
                        </w14:solidFill>
                      </w14:textFill>
                    </w:rPr>
                    <w:t>氨氮</w:t>
                  </w:r>
                </w:p>
              </w:tc>
              <w:tc>
                <w:tcPr>
                  <w:tcW w:w="1151" w:type="dxa"/>
                  <w:vAlign w:val="center"/>
                </w:tcPr>
                <w:p w14:paraId="73DF06A3">
                  <w:pPr>
                    <w:pStyle w:val="71"/>
                    <w:spacing w:line="30" w:lineRule="atLeast"/>
                    <w:rPr>
                      <w:rFonts w:eastAsiaTheme="minorEastAsia"/>
                      <w:b w:val="0"/>
                      <w:color w:val="000000" w:themeColor="text1"/>
                      <w14:textFill>
                        <w14:solidFill>
                          <w14:schemeClr w14:val="tx1"/>
                        </w14:solidFill>
                      </w14:textFill>
                    </w:rPr>
                  </w:pPr>
                  <w:r>
                    <w:rPr>
                      <w:rFonts w:eastAsiaTheme="minorEastAsia"/>
                      <w:b w:val="0"/>
                      <w:color w:val="000000" w:themeColor="text1"/>
                      <w14:textFill>
                        <w14:solidFill>
                          <w14:schemeClr w14:val="tx1"/>
                        </w14:solidFill>
                      </w14:textFill>
                    </w:rPr>
                    <w:t>8</w:t>
                  </w:r>
                </w:p>
              </w:tc>
            </w:tr>
            <w:tr w14:paraId="2C85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15" w:type="dxa"/>
                  <w:vMerge w:val="continue"/>
                  <w:vAlign w:val="center"/>
                </w:tcPr>
                <w:p w14:paraId="7B1BCB47">
                  <w:pPr>
                    <w:pStyle w:val="71"/>
                    <w:spacing w:line="30" w:lineRule="atLeast"/>
                    <w:rPr>
                      <w:rFonts w:eastAsiaTheme="minorEastAsia"/>
                      <w:b w:val="0"/>
                      <w:color w:val="000000" w:themeColor="text1"/>
                      <w14:textFill>
                        <w14:solidFill>
                          <w14:schemeClr w14:val="tx1"/>
                        </w14:solidFill>
                      </w14:textFill>
                    </w:rPr>
                  </w:pPr>
                </w:p>
              </w:tc>
              <w:tc>
                <w:tcPr>
                  <w:tcW w:w="675" w:type="dxa"/>
                  <w:vMerge w:val="continue"/>
                  <w:vAlign w:val="center"/>
                </w:tcPr>
                <w:p w14:paraId="745263AB">
                  <w:pPr>
                    <w:pStyle w:val="71"/>
                    <w:spacing w:line="30" w:lineRule="atLeast"/>
                    <w:rPr>
                      <w:rFonts w:eastAsiaTheme="minorEastAsia"/>
                      <w:b w:val="0"/>
                      <w:color w:val="000000" w:themeColor="text1"/>
                      <w14:textFill>
                        <w14:solidFill>
                          <w14:schemeClr w14:val="tx1"/>
                        </w14:solidFill>
                      </w14:textFill>
                    </w:rPr>
                  </w:pPr>
                </w:p>
              </w:tc>
              <w:tc>
                <w:tcPr>
                  <w:tcW w:w="348" w:type="dxa"/>
                  <w:vMerge w:val="continue"/>
                  <w:vAlign w:val="center"/>
                </w:tcPr>
                <w:p w14:paraId="17C68126">
                  <w:pPr>
                    <w:pStyle w:val="71"/>
                    <w:spacing w:line="30" w:lineRule="atLeast"/>
                    <w:rPr>
                      <w:rFonts w:eastAsiaTheme="minorEastAsia"/>
                      <w:b w:val="0"/>
                      <w:color w:val="000000" w:themeColor="text1"/>
                      <w14:textFill>
                        <w14:solidFill>
                          <w14:schemeClr w14:val="tx1"/>
                        </w14:solidFill>
                      </w14:textFill>
                    </w:rPr>
                  </w:pPr>
                </w:p>
              </w:tc>
              <w:tc>
                <w:tcPr>
                  <w:tcW w:w="348" w:type="dxa"/>
                  <w:vMerge w:val="continue"/>
                  <w:vAlign w:val="center"/>
                </w:tcPr>
                <w:p w14:paraId="3555432E">
                  <w:pPr>
                    <w:pStyle w:val="71"/>
                    <w:spacing w:line="30" w:lineRule="atLeast"/>
                    <w:rPr>
                      <w:rFonts w:eastAsiaTheme="minorEastAsia"/>
                      <w:b w:val="0"/>
                      <w:color w:val="000000" w:themeColor="text1"/>
                      <w14:textFill>
                        <w14:solidFill>
                          <w14:schemeClr w14:val="tx1"/>
                        </w14:solidFill>
                      </w14:textFill>
                    </w:rPr>
                  </w:pPr>
                </w:p>
              </w:tc>
              <w:tc>
                <w:tcPr>
                  <w:tcW w:w="806" w:type="dxa"/>
                  <w:vMerge w:val="continue"/>
                  <w:vAlign w:val="center"/>
                </w:tcPr>
                <w:p w14:paraId="22FF1447">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2EB9B618">
                  <w:pPr>
                    <w:pStyle w:val="71"/>
                    <w:spacing w:line="30" w:lineRule="atLeast"/>
                    <w:rPr>
                      <w:rFonts w:eastAsiaTheme="minorEastAsia"/>
                      <w:b w:val="0"/>
                      <w:color w:val="000000" w:themeColor="text1"/>
                      <w14:textFill>
                        <w14:solidFill>
                          <w14:schemeClr w14:val="tx1"/>
                        </w14:solidFill>
                      </w14:textFill>
                    </w:rPr>
                  </w:pPr>
                </w:p>
              </w:tc>
              <w:tc>
                <w:tcPr>
                  <w:tcW w:w="1066" w:type="dxa"/>
                  <w:vMerge w:val="continue"/>
                  <w:vAlign w:val="center"/>
                </w:tcPr>
                <w:p w14:paraId="258B8971">
                  <w:pPr>
                    <w:pStyle w:val="71"/>
                    <w:spacing w:line="30" w:lineRule="atLeast"/>
                    <w:rPr>
                      <w:rFonts w:eastAsiaTheme="minorEastAsia"/>
                      <w:b w:val="0"/>
                      <w:color w:val="000000" w:themeColor="text1"/>
                      <w14:textFill>
                        <w14:solidFill>
                          <w14:schemeClr w14:val="tx1"/>
                        </w14:solidFill>
                      </w14:textFill>
                    </w:rPr>
                  </w:pPr>
                </w:p>
              </w:tc>
              <w:tc>
                <w:tcPr>
                  <w:tcW w:w="549" w:type="dxa"/>
                  <w:vMerge w:val="continue"/>
                  <w:vAlign w:val="center"/>
                </w:tcPr>
                <w:p w14:paraId="75247BE7">
                  <w:pPr>
                    <w:pStyle w:val="71"/>
                    <w:spacing w:line="30" w:lineRule="atLeast"/>
                    <w:rPr>
                      <w:b w:val="0"/>
                      <w:color w:val="000000" w:themeColor="text1"/>
                      <w14:textFill>
                        <w14:solidFill>
                          <w14:schemeClr w14:val="tx1"/>
                        </w14:solidFill>
                      </w14:textFill>
                    </w:rPr>
                  </w:pPr>
                </w:p>
              </w:tc>
              <w:tc>
                <w:tcPr>
                  <w:tcW w:w="410" w:type="dxa"/>
                  <w:vMerge w:val="continue"/>
                  <w:vAlign w:val="center"/>
                </w:tcPr>
                <w:p w14:paraId="13B2548B">
                  <w:pPr>
                    <w:rPr>
                      <w:rFonts w:ascii="Times New Roman" w:hAnsi="Times New Roman" w:cs="Times New Roman"/>
                      <w:bCs/>
                      <w:color w:val="000000" w:themeColor="text1"/>
                      <w:kern w:val="0"/>
                      <w:szCs w:val="21"/>
                      <w14:textFill>
                        <w14:solidFill>
                          <w14:schemeClr w14:val="tx1"/>
                        </w14:solidFill>
                      </w14:textFill>
                    </w:rPr>
                  </w:pPr>
                </w:p>
              </w:tc>
              <w:tc>
                <w:tcPr>
                  <w:tcW w:w="739" w:type="dxa"/>
                  <w:vAlign w:val="center"/>
                </w:tcPr>
                <w:p w14:paraId="3B620348">
                  <w:pPr>
                    <w:pStyle w:val="71"/>
                    <w:spacing w:line="30" w:lineRule="atLeast"/>
                    <w:rPr>
                      <w:rFonts w:eastAsiaTheme="minorEastAsia"/>
                      <w:b w:val="0"/>
                      <w:color w:val="000000" w:themeColor="text1"/>
                      <w14:textFill>
                        <w14:solidFill>
                          <w14:schemeClr w14:val="tx1"/>
                        </w14:solidFill>
                      </w14:textFill>
                    </w:rPr>
                  </w:pPr>
                  <w:r>
                    <w:rPr>
                      <w:rFonts w:hint="eastAsia" w:eastAsiaTheme="minorEastAsia"/>
                      <w:b w:val="0"/>
                      <w:color w:val="000000" w:themeColor="text1"/>
                      <w14:textFill>
                        <w14:solidFill>
                          <w14:schemeClr w14:val="tx1"/>
                        </w14:solidFill>
                      </w14:textFill>
                    </w:rPr>
                    <w:t>T</w:t>
                  </w:r>
                  <w:r>
                    <w:rPr>
                      <w:rFonts w:eastAsiaTheme="minorEastAsia"/>
                      <w:b w:val="0"/>
                      <w:color w:val="000000" w:themeColor="text1"/>
                      <w14:textFill>
                        <w14:solidFill>
                          <w14:schemeClr w14:val="tx1"/>
                        </w14:solidFill>
                      </w14:textFill>
                    </w:rPr>
                    <w:t>P</w:t>
                  </w:r>
                </w:p>
              </w:tc>
              <w:tc>
                <w:tcPr>
                  <w:tcW w:w="1151" w:type="dxa"/>
                  <w:vAlign w:val="center"/>
                </w:tcPr>
                <w:p w14:paraId="3A24B022">
                  <w:pPr>
                    <w:pStyle w:val="71"/>
                    <w:spacing w:line="30" w:lineRule="atLeast"/>
                    <w:rPr>
                      <w:rFonts w:eastAsiaTheme="minorEastAsia"/>
                      <w:b w:val="0"/>
                      <w:color w:val="000000" w:themeColor="text1"/>
                      <w14:textFill>
                        <w14:solidFill>
                          <w14:schemeClr w14:val="tx1"/>
                        </w14:solidFill>
                      </w14:textFill>
                    </w:rPr>
                  </w:pPr>
                  <w:r>
                    <w:rPr>
                      <w:rFonts w:hint="eastAsia" w:eastAsiaTheme="minorEastAsia"/>
                      <w:b w:val="0"/>
                      <w:color w:val="000000" w:themeColor="text1"/>
                      <w14:textFill>
                        <w14:solidFill>
                          <w14:schemeClr w14:val="tx1"/>
                        </w14:solidFill>
                      </w14:textFill>
                    </w:rPr>
                    <w:t>/</w:t>
                  </w:r>
                </w:p>
              </w:tc>
            </w:tr>
          </w:tbl>
          <w:p w14:paraId="22503F7A">
            <w:pPr>
              <w:pStyle w:val="301"/>
              <w:ind w:firstLine="0" w:firstLineChars="0"/>
              <w:rPr>
                <w:color w:val="000000" w:themeColor="text1"/>
                <w14:textFill>
                  <w14:solidFill>
                    <w14:schemeClr w14:val="tx1"/>
                  </w14:solidFill>
                </w14:textFill>
              </w:rPr>
            </w:pPr>
          </w:p>
          <w:p w14:paraId="7B9FFFFC">
            <w:pPr>
              <w:spacing w:line="30" w:lineRule="atLeast"/>
              <w:jc w:val="center"/>
              <w:rPr>
                <w:rFonts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表4-</w:t>
            </w:r>
            <w:r>
              <w:rPr>
                <w:rFonts w:hint="eastAsia" w:ascii="Times New Roman" w:hAnsi="Times New Roman" w:eastAsia="宋体" w:cs="Times New Roman"/>
                <w:b/>
                <w:color w:val="000000" w:themeColor="text1"/>
                <w:szCs w:val="21"/>
                <w:lang w:val="en-US" w:eastAsia="zh-CN"/>
                <w14:textFill>
                  <w14:solidFill>
                    <w14:schemeClr w14:val="tx1"/>
                  </w14:solidFill>
                </w14:textFill>
              </w:rPr>
              <w:t>20</w:t>
            </w:r>
            <w:r>
              <w:rPr>
                <w:rFonts w:ascii="Times New Roman" w:hAnsi="Times New Roman" w:eastAsia="宋体" w:cs="Times New Roman"/>
                <w:b/>
                <w:color w:val="000000" w:themeColor="text1"/>
                <w:szCs w:val="21"/>
                <w14:textFill>
                  <w14:solidFill>
                    <w14:schemeClr w14:val="tx1"/>
                  </w14:solidFill>
                </w14:textFill>
              </w:rPr>
              <w:t xml:space="preserve"> </w:t>
            </w:r>
            <w:r>
              <w:rPr>
                <w:rFonts w:hint="eastAsia" w:ascii="Times New Roman" w:hAnsi="Times New Roman" w:eastAsia="宋体" w:cs="Times New Roman"/>
                <w:b/>
                <w:color w:val="000000" w:themeColor="text1"/>
                <w:szCs w:val="21"/>
                <w14:textFill>
                  <w14:solidFill>
                    <w14:schemeClr w14:val="tx1"/>
                  </w14:solidFill>
                </w14:textFill>
              </w:rPr>
              <w:t>废水污染物排放信息表</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757"/>
              <w:gridCol w:w="811"/>
              <w:gridCol w:w="1558"/>
              <w:gridCol w:w="758"/>
              <w:gridCol w:w="1100"/>
              <w:gridCol w:w="1932"/>
            </w:tblGrid>
            <w:tr w14:paraId="1254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7" w:type="dxa"/>
                  <w:vAlign w:val="center"/>
                </w:tcPr>
                <w:p w14:paraId="442C707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757" w:type="dxa"/>
                  <w:vAlign w:val="center"/>
                </w:tcPr>
                <w:p w14:paraId="77E454A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排放口编号</w:t>
                  </w:r>
                </w:p>
              </w:tc>
              <w:tc>
                <w:tcPr>
                  <w:tcW w:w="811" w:type="dxa"/>
                  <w:vAlign w:val="center"/>
                </w:tcPr>
                <w:p w14:paraId="0D919F4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污染物种类</w:t>
                  </w:r>
                </w:p>
              </w:tc>
              <w:tc>
                <w:tcPr>
                  <w:tcW w:w="2316" w:type="dxa"/>
                  <w:gridSpan w:val="2"/>
                  <w:vAlign w:val="center"/>
                </w:tcPr>
                <w:p w14:paraId="76FAE5F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排放浓度/（mg/m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p>
              </w:tc>
              <w:tc>
                <w:tcPr>
                  <w:tcW w:w="1100" w:type="dxa"/>
                  <w:vAlign w:val="center"/>
                </w:tcPr>
                <w:p w14:paraId="656CB11F">
                  <w:pPr>
                    <w:pStyle w:val="66"/>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日排放量（t/d）</w:t>
                  </w:r>
                </w:p>
              </w:tc>
              <w:tc>
                <w:tcPr>
                  <w:tcW w:w="1932" w:type="dxa"/>
                  <w:vAlign w:val="center"/>
                </w:tcPr>
                <w:p w14:paraId="5E48A466">
                  <w:pPr>
                    <w:pStyle w:val="66"/>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年排放量（t/a）</w:t>
                  </w:r>
                </w:p>
              </w:tc>
            </w:tr>
            <w:tr w14:paraId="44E0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7" w:type="dxa"/>
                  <w:vAlign w:val="center"/>
                </w:tcPr>
                <w:p w14:paraId="5E546B50">
                  <w:pPr>
                    <w:pStyle w:val="66"/>
                    <w:rPr>
                      <w:color w:val="000000" w:themeColor="text1"/>
                      <w14:textFill>
                        <w14:solidFill>
                          <w14:schemeClr w14:val="tx1"/>
                        </w14:solidFill>
                      </w14:textFill>
                    </w:rPr>
                  </w:pPr>
                  <w:r>
                    <w:rPr>
                      <w:color w:val="000000" w:themeColor="text1"/>
                      <w14:textFill>
                        <w14:solidFill>
                          <w14:schemeClr w14:val="tx1"/>
                        </w14:solidFill>
                      </w14:textFill>
                    </w:rPr>
                    <w:t>1</w:t>
                  </w:r>
                </w:p>
              </w:tc>
              <w:tc>
                <w:tcPr>
                  <w:tcW w:w="757" w:type="dxa"/>
                  <w:vMerge w:val="restart"/>
                  <w:vAlign w:val="center"/>
                </w:tcPr>
                <w:p w14:paraId="67A5C1D0">
                  <w:pPr>
                    <w:pStyle w:val="66"/>
                    <w:rPr>
                      <w:color w:val="000000" w:themeColor="text1"/>
                      <w14:textFill>
                        <w14:solidFill>
                          <w14:schemeClr w14:val="tx1"/>
                        </w14:solidFill>
                      </w14:textFill>
                    </w:rPr>
                  </w:pPr>
                  <w:r>
                    <w:rPr>
                      <w:color w:val="000000" w:themeColor="text1"/>
                      <w14:textFill>
                        <w14:solidFill>
                          <w14:schemeClr w14:val="tx1"/>
                        </w14:solidFill>
                      </w14:textFill>
                    </w:rPr>
                    <w:t>DW001</w:t>
                  </w:r>
                </w:p>
              </w:tc>
              <w:tc>
                <w:tcPr>
                  <w:tcW w:w="811" w:type="dxa"/>
                  <w:vAlign w:val="center"/>
                </w:tcPr>
                <w:p w14:paraId="5D093C07">
                  <w:pPr>
                    <w:pStyle w:val="66"/>
                    <w:rPr>
                      <w:color w:val="000000" w:themeColor="text1"/>
                      <w14:textFill>
                        <w14:solidFill>
                          <w14:schemeClr w14:val="tx1"/>
                        </w14:solidFill>
                      </w14:textFill>
                    </w:rPr>
                  </w:pPr>
                  <w:r>
                    <w:rPr>
                      <w:color w:val="000000" w:themeColor="text1"/>
                      <w14:textFill>
                        <w14:solidFill>
                          <w14:schemeClr w14:val="tx1"/>
                        </w14:solidFill>
                      </w14:textFill>
                    </w:rPr>
                    <w:t>COD</w:t>
                  </w:r>
                  <w:r>
                    <w:rPr>
                      <w:color w:val="000000" w:themeColor="text1"/>
                      <w:vertAlign w:val="subscript"/>
                      <w14:textFill>
                        <w14:solidFill>
                          <w14:schemeClr w14:val="tx1"/>
                        </w14:solidFill>
                      </w14:textFill>
                    </w:rPr>
                    <w:t>Cr</w:t>
                  </w:r>
                </w:p>
              </w:tc>
              <w:tc>
                <w:tcPr>
                  <w:tcW w:w="2316" w:type="dxa"/>
                  <w:gridSpan w:val="2"/>
                  <w:vAlign w:val="center"/>
                </w:tcPr>
                <w:p w14:paraId="611384F5">
                  <w:pPr>
                    <w:pStyle w:val="66"/>
                    <w:rPr>
                      <w:color w:val="000000" w:themeColor="text1"/>
                      <w14:textFill>
                        <w14:solidFill>
                          <w14:schemeClr w14:val="tx1"/>
                        </w14:solidFill>
                      </w14:textFill>
                    </w:rPr>
                  </w:pPr>
                  <w:r>
                    <w:rPr>
                      <w:color w:val="000000" w:themeColor="text1"/>
                      <w14:textFill>
                        <w14:solidFill>
                          <w14:schemeClr w14:val="tx1"/>
                        </w14:solidFill>
                      </w14:textFill>
                    </w:rPr>
                    <w:t>240</w:t>
                  </w:r>
                </w:p>
              </w:tc>
              <w:tc>
                <w:tcPr>
                  <w:tcW w:w="1100" w:type="dxa"/>
                  <w:vAlign w:val="center"/>
                </w:tcPr>
                <w:p w14:paraId="02D63487">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.0001</w:t>
                  </w:r>
                </w:p>
              </w:tc>
              <w:tc>
                <w:tcPr>
                  <w:tcW w:w="1932" w:type="dxa"/>
                  <w:vAlign w:val="center"/>
                </w:tcPr>
                <w:p w14:paraId="066E3B4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.038</w:t>
                  </w:r>
                </w:p>
              </w:tc>
            </w:tr>
            <w:tr w14:paraId="1972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7" w:type="dxa"/>
                  <w:vAlign w:val="center"/>
                </w:tcPr>
                <w:p w14:paraId="75B3D45C">
                  <w:pPr>
                    <w:pStyle w:val="66"/>
                    <w:rPr>
                      <w:color w:val="000000" w:themeColor="text1"/>
                      <w14:textFill>
                        <w14:solidFill>
                          <w14:schemeClr w14:val="tx1"/>
                        </w14:solidFill>
                      </w14:textFill>
                    </w:rPr>
                  </w:pPr>
                  <w:r>
                    <w:rPr>
                      <w:color w:val="000000" w:themeColor="text1"/>
                      <w14:textFill>
                        <w14:solidFill>
                          <w14:schemeClr w14:val="tx1"/>
                        </w14:solidFill>
                      </w14:textFill>
                    </w:rPr>
                    <w:t>2</w:t>
                  </w:r>
                </w:p>
              </w:tc>
              <w:tc>
                <w:tcPr>
                  <w:tcW w:w="757" w:type="dxa"/>
                  <w:vMerge w:val="continue"/>
                  <w:vAlign w:val="center"/>
                </w:tcPr>
                <w:p w14:paraId="0EE6C922">
                  <w:pPr>
                    <w:pStyle w:val="66"/>
                    <w:rPr>
                      <w:color w:val="000000" w:themeColor="text1"/>
                      <w14:textFill>
                        <w14:solidFill>
                          <w14:schemeClr w14:val="tx1"/>
                        </w14:solidFill>
                      </w14:textFill>
                    </w:rPr>
                  </w:pPr>
                </w:p>
              </w:tc>
              <w:tc>
                <w:tcPr>
                  <w:tcW w:w="811" w:type="dxa"/>
                  <w:vAlign w:val="center"/>
                </w:tcPr>
                <w:p w14:paraId="46BECCA2">
                  <w:pPr>
                    <w:pStyle w:val="66"/>
                    <w:rPr>
                      <w:color w:val="000000" w:themeColor="text1"/>
                      <w14:textFill>
                        <w14:solidFill>
                          <w14:schemeClr w14:val="tx1"/>
                        </w14:solidFill>
                      </w14:textFill>
                    </w:rPr>
                  </w:pPr>
                  <w:r>
                    <w:rPr>
                      <w:color w:val="000000" w:themeColor="text1"/>
                      <w14:textFill>
                        <w14:solidFill>
                          <w14:schemeClr w14:val="tx1"/>
                        </w14:solidFill>
                      </w14:textFill>
                    </w:rPr>
                    <w:t>BOD</w:t>
                  </w:r>
                  <w:r>
                    <w:rPr>
                      <w:color w:val="000000" w:themeColor="text1"/>
                      <w:vertAlign w:val="subscript"/>
                      <w14:textFill>
                        <w14:solidFill>
                          <w14:schemeClr w14:val="tx1"/>
                        </w14:solidFill>
                      </w14:textFill>
                    </w:rPr>
                    <w:t>5</w:t>
                  </w:r>
                </w:p>
              </w:tc>
              <w:tc>
                <w:tcPr>
                  <w:tcW w:w="2316" w:type="dxa"/>
                  <w:gridSpan w:val="2"/>
                  <w:vAlign w:val="center"/>
                </w:tcPr>
                <w:p w14:paraId="21176463">
                  <w:pPr>
                    <w:pStyle w:val="66"/>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32</w:t>
                  </w:r>
                </w:p>
              </w:tc>
              <w:tc>
                <w:tcPr>
                  <w:tcW w:w="1100" w:type="dxa"/>
                  <w:vAlign w:val="center"/>
                </w:tcPr>
                <w:p w14:paraId="40FAE14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.0001</w:t>
                  </w:r>
                </w:p>
              </w:tc>
              <w:tc>
                <w:tcPr>
                  <w:tcW w:w="1932" w:type="dxa"/>
                  <w:vAlign w:val="center"/>
                </w:tcPr>
                <w:p w14:paraId="2D571B7C">
                  <w:pPr>
                    <w:pStyle w:val="66"/>
                    <w:rPr>
                      <w:rFonts w:hint="eastAsia"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.02</w:t>
                  </w:r>
                  <w:r>
                    <w:rPr>
                      <w:rFonts w:hint="eastAsia"/>
                      <w:color w:val="000000" w:themeColor="text1"/>
                      <w:lang w:val="en-US" w:eastAsia="zh-CN"/>
                      <w14:textFill>
                        <w14:solidFill>
                          <w14:schemeClr w14:val="tx1"/>
                        </w14:solidFill>
                      </w14:textFill>
                    </w:rPr>
                    <w:t>1</w:t>
                  </w:r>
                </w:p>
              </w:tc>
            </w:tr>
            <w:tr w14:paraId="5712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7" w:type="dxa"/>
                  <w:vAlign w:val="center"/>
                </w:tcPr>
                <w:p w14:paraId="6B185682">
                  <w:pPr>
                    <w:pStyle w:val="66"/>
                    <w:rPr>
                      <w:color w:val="000000" w:themeColor="text1"/>
                      <w14:textFill>
                        <w14:solidFill>
                          <w14:schemeClr w14:val="tx1"/>
                        </w14:solidFill>
                      </w14:textFill>
                    </w:rPr>
                  </w:pPr>
                  <w:r>
                    <w:rPr>
                      <w:color w:val="000000" w:themeColor="text1"/>
                      <w14:textFill>
                        <w14:solidFill>
                          <w14:schemeClr w14:val="tx1"/>
                        </w14:solidFill>
                      </w14:textFill>
                    </w:rPr>
                    <w:t>3</w:t>
                  </w:r>
                </w:p>
              </w:tc>
              <w:tc>
                <w:tcPr>
                  <w:tcW w:w="757" w:type="dxa"/>
                  <w:vMerge w:val="continue"/>
                  <w:vAlign w:val="center"/>
                </w:tcPr>
                <w:p w14:paraId="1FBBA44D">
                  <w:pPr>
                    <w:pStyle w:val="66"/>
                    <w:rPr>
                      <w:color w:val="000000" w:themeColor="text1"/>
                      <w14:textFill>
                        <w14:solidFill>
                          <w14:schemeClr w14:val="tx1"/>
                        </w14:solidFill>
                      </w14:textFill>
                    </w:rPr>
                  </w:pPr>
                </w:p>
              </w:tc>
              <w:tc>
                <w:tcPr>
                  <w:tcW w:w="811" w:type="dxa"/>
                  <w:vAlign w:val="center"/>
                </w:tcPr>
                <w:p w14:paraId="7C9AE72D">
                  <w:pPr>
                    <w:pStyle w:val="66"/>
                    <w:rPr>
                      <w:color w:val="000000" w:themeColor="text1"/>
                      <w14:textFill>
                        <w14:solidFill>
                          <w14:schemeClr w14:val="tx1"/>
                        </w14:solidFill>
                      </w14:textFill>
                    </w:rPr>
                  </w:pPr>
                  <w:r>
                    <w:rPr>
                      <w:color w:val="000000" w:themeColor="text1"/>
                      <w14:textFill>
                        <w14:solidFill>
                          <w14:schemeClr w14:val="tx1"/>
                        </w14:solidFill>
                      </w14:textFill>
                    </w:rPr>
                    <w:t>SS</w:t>
                  </w:r>
                </w:p>
              </w:tc>
              <w:tc>
                <w:tcPr>
                  <w:tcW w:w="2316" w:type="dxa"/>
                  <w:gridSpan w:val="2"/>
                  <w:vAlign w:val="center"/>
                </w:tcPr>
                <w:p w14:paraId="7B1105A5">
                  <w:pPr>
                    <w:pStyle w:val="66"/>
                    <w:rPr>
                      <w:color w:val="000000" w:themeColor="text1"/>
                      <w14:textFill>
                        <w14:solidFill>
                          <w14:schemeClr w14:val="tx1"/>
                        </w14:solidFill>
                      </w14:textFill>
                    </w:rPr>
                  </w:pPr>
                  <w:r>
                    <w:rPr>
                      <w:color w:val="000000" w:themeColor="text1"/>
                      <w14:textFill>
                        <w14:solidFill>
                          <w14:schemeClr w14:val="tx1"/>
                        </w14:solidFill>
                      </w14:textFill>
                    </w:rPr>
                    <w:t>80</w:t>
                  </w:r>
                </w:p>
              </w:tc>
              <w:tc>
                <w:tcPr>
                  <w:tcW w:w="1100" w:type="dxa"/>
                  <w:vAlign w:val="center"/>
                </w:tcPr>
                <w:p w14:paraId="639E385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.00004</w:t>
                  </w:r>
                </w:p>
              </w:tc>
              <w:tc>
                <w:tcPr>
                  <w:tcW w:w="1932" w:type="dxa"/>
                  <w:vAlign w:val="center"/>
                </w:tcPr>
                <w:p w14:paraId="296EDF9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.013</w:t>
                  </w:r>
                </w:p>
              </w:tc>
            </w:tr>
            <w:tr w14:paraId="50E5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7" w:type="dxa"/>
                  <w:vAlign w:val="center"/>
                </w:tcPr>
                <w:p w14:paraId="7D821B69">
                  <w:pPr>
                    <w:pStyle w:val="66"/>
                    <w:rPr>
                      <w:color w:val="000000" w:themeColor="text1"/>
                      <w14:textFill>
                        <w14:solidFill>
                          <w14:schemeClr w14:val="tx1"/>
                        </w14:solidFill>
                      </w14:textFill>
                    </w:rPr>
                  </w:pPr>
                  <w:r>
                    <w:rPr>
                      <w:color w:val="000000" w:themeColor="text1"/>
                      <w14:textFill>
                        <w14:solidFill>
                          <w14:schemeClr w14:val="tx1"/>
                        </w14:solidFill>
                      </w14:textFill>
                    </w:rPr>
                    <w:t>4</w:t>
                  </w:r>
                </w:p>
              </w:tc>
              <w:tc>
                <w:tcPr>
                  <w:tcW w:w="757" w:type="dxa"/>
                  <w:vMerge w:val="continue"/>
                  <w:vAlign w:val="center"/>
                </w:tcPr>
                <w:p w14:paraId="03627925">
                  <w:pPr>
                    <w:pStyle w:val="66"/>
                    <w:rPr>
                      <w:color w:val="000000" w:themeColor="text1"/>
                      <w14:textFill>
                        <w14:solidFill>
                          <w14:schemeClr w14:val="tx1"/>
                        </w14:solidFill>
                      </w14:textFill>
                    </w:rPr>
                  </w:pPr>
                </w:p>
              </w:tc>
              <w:tc>
                <w:tcPr>
                  <w:tcW w:w="811" w:type="dxa"/>
                  <w:vAlign w:val="center"/>
                </w:tcPr>
                <w:p w14:paraId="73CE266D">
                  <w:pPr>
                    <w:pStyle w:val="66"/>
                    <w:rPr>
                      <w:color w:val="000000" w:themeColor="text1"/>
                      <w14:textFill>
                        <w14:solidFill>
                          <w14:schemeClr w14:val="tx1"/>
                        </w14:solidFill>
                      </w14:textFill>
                    </w:rPr>
                  </w:pPr>
                  <w:r>
                    <w:rPr>
                      <w:color w:val="000000" w:themeColor="text1"/>
                      <w14:textFill>
                        <w14:solidFill>
                          <w14:schemeClr w14:val="tx1"/>
                        </w14:solidFill>
                      </w14:textFill>
                    </w:rPr>
                    <w:t>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-N</w:t>
                  </w:r>
                </w:p>
              </w:tc>
              <w:tc>
                <w:tcPr>
                  <w:tcW w:w="2316" w:type="dxa"/>
                  <w:gridSpan w:val="2"/>
                  <w:vAlign w:val="center"/>
                </w:tcPr>
                <w:p w14:paraId="2ED2326F">
                  <w:pPr>
                    <w:pStyle w:val="66"/>
                    <w:rPr>
                      <w:color w:val="000000" w:themeColor="text1"/>
                      <w14:textFill>
                        <w14:solidFill>
                          <w14:schemeClr w14:val="tx1"/>
                        </w14:solidFill>
                      </w14:textFill>
                    </w:rPr>
                  </w:pPr>
                  <w:r>
                    <w:rPr>
                      <w:color w:val="000000" w:themeColor="text1"/>
                      <w14:textFill>
                        <w14:solidFill>
                          <w14:schemeClr w14:val="tx1"/>
                        </w14:solidFill>
                      </w14:textFill>
                    </w:rPr>
                    <w:t>22.5</w:t>
                  </w:r>
                </w:p>
              </w:tc>
              <w:tc>
                <w:tcPr>
                  <w:tcW w:w="1100" w:type="dxa"/>
                  <w:vAlign w:val="center"/>
                </w:tcPr>
                <w:p w14:paraId="641A27D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.00001</w:t>
                  </w:r>
                </w:p>
              </w:tc>
              <w:tc>
                <w:tcPr>
                  <w:tcW w:w="1932" w:type="dxa"/>
                  <w:vAlign w:val="center"/>
                </w:tcPr>
                <w:p w14:paraId="2D960A7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.004</w:t>
                  </w:r>
                </w:p>
              </w:tc>
            </w:tr>
            <w:tr w14:paraId="5E37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7" w:type="dxa"/>
                  <w:vAlign w:val="center"/>
                </w:tcPr>
                <w:p w14:paraId="14CE2ED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757" w:type="dxa"/>
                  <w:vMerge w:val="continue"/>
                  <w:vAlign w:val="center"/>
                </w:tcPr>
                <w:p w14:paraId="44E69D21">
                  <w:pPr>
                    <w:pStyle w:val="66"/>
                    <w:rPr>
                      <w:color w:val="000000" w:themeColor="text1"/>
                      <w14:textFill>
                        <w14:solidFill>
                          <w14:schemeClr w14:val="tx1"/>
                        </w14:solidFill>
                      </w14:textFill>
                    </w:rPr>
                  </w:pPr>
                </w:p>
              </w:tc>
              <w:tc>
                <w:tcPr>
                  <w:tcW w:w="811" w:type="dxa"/>
                  <w:vAlign w:val="center"/>
                </w:tcPr>
                <w:p w14:paraId="5E26E45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T</w:t>
                  </w:r>
                  <w:r>
                    <w:rPr>
                      <w:color w:val="000000" w:themeColor="text1"/>
                      <w14:textFill>
                        <w14:solidFill>
                          <w14:schemeClr w14:val="tx1"/>
                        </w14:solidFill>
                      </w14:textFill>
                    </w:rPr>
                    <w:t>P</w:t>
                  </w:r>
                </w:p>
              </w:tc>
              <w:tc>
                <w:tcPr>
                  <w:tcW w:w="2316" w:type="dxa"/>
                  <w:gridSpan w:val="2"/>
                  <w:vAlign w:val="center"/>
                </w:tcPr>
                <w:p w14:paraId="08A5DDB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color w:val="000000" w:themeColor="text1"/>
                      <w14:textFill>
                        <w14:solidFill>
                          <w14:schemeClr w14:val="tx1"/>
                        </w14:solidFill>
                      </w14:textFill>
                    </w:rPr>
                    <w:t>.2</w:t>
                  </w:r>
                </w:p>
              </w:tc>
              <w:tc>
                <w:tcPr>
                  <w:tcW w:w="1100" w:type="dxa"/>
                  <w:vAlign w:val="center"/>
                </w:tcPr>
                <w:p w14:paraId="6A2DB487">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.000003</w:t>
                  </w:r>
                </w:p>
              </w:tc>
              <w:tc>
                <w:tcPr>
                  <w:tcW w:w="1932" w:type="dxa"/>
                  <w:vAlign w:val="center"/>
                </w:tcPr>
                <w:p w14:paraId="1567670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.001</w:t>
                  </w:r>
                </w:p>
              </w:tc>
            </w:tr>
            <w:tr w14:paraId="44DB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4" w:type="dxa"/>
                  <w:gridSpan w:val="2"/>
                  <w:vMerge w:val="restart"/>
                  <w:vAlign w:val="center"/>
                </w:tcPr>
                <w:p w14:paraId="1262C6E8">
                  <w:pPr>
                    <w:pStyle w:val="66"/>
                    <w:jc w:val="center"/>
                    <w:rPr>
                      <w:color w:val="000000" w:themeColor="text1"/>
                      <w14:textFill>
                        <w14:solidFill>
                          <w14:schemeClr w14:val="tx1"/>
                        </w14:solidFill>
                      </w14:textFill>
                    </w:rPr>
                  </w:pPr>
                  <w:r>
                    <w:rPr>
                      <w:color w:val="000000" w:themeColor="text1"/>
                      <w14:textFill>
                        <w14:solidFill>
                          <w14:schemeClr w14:val="tx1"/>
                        </w14:solidFill>
                      </w14:textFill>
                    </w:rPr>
                    <w:t>全厂排放口合计</w:t>
                  </w:r>
                </w:p>
              </w:tc>
              <w:tc>
                <w:tcPr>
                  <w:tcW w:w="2369" w:type="dxa"/>
                  <w:gridSpan w:val="2"/>
                  <w:vAlign w:val="center"/>
                </w:tcPr>
                <w:p w14:paraId="727570EB">
                  <w:pPr>
                    <w:pStyle w:val="66"/>
                    <w:rPr>
                      <w:color w:val="000000" w:themeColor="text1"/>
                      <w14:textFill>
                        <w14:solidFill>
                          <w14:schemeClr w14:val="tx1"/>
                        </w14:solidFill>
                      </w14:textFill>
                    </w:rPr>
                  </w:pPr>
                  <w:r>
                    <w:rPr>
                      <w:color w:val="000000" w:themeColor="text1"/>
                      <w14:textFill>
                        <w14:solidFill>
                          <w14:schemeClr w14:val="tx1"/>
                        </w14:solidFill>
                      </w14:textFill>
                    </w:rPr>
                    <w:t>COD</w:t>
                  </w:r>
                  <w:r>
                    <w:rPr>
                      <w:color w:val="000000" w:themeColor="text1"/>
                      <w:vertAlign w:val="subscript"/>
                      <w14:textFill>
                        <w14:solidFill>
                          <w14:schemeClr w14:val="tx1"/>
                        </w14:solidFill>
                      </w14:textFill>
                    </w:rPr>
                    <w:t>Cr</w:t>
                  </w:r>
                </w:p>
              </w:tc>
              <w:tc>
                <w:tcPr>
                  <w:tcW w:w="3790" w:type="dxa"/>
                  <w:gridSpan w:val="3"/>
                  <w:vAlign w:val="center"/>
                </w:tcPr>
                <w:p w14:paraId="0C7F769F">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0.038</w:t>
                  </w:r>
                </w:p>
              </w:tc>
            </w:tr>
            <w:tr w14:paraId="5B76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4" w:type="dxa"/>
                  <w:gridSpan w:val="2"/>
                  <w:vMerge w:val="continue"/>
                  <w:vAlign w:val="center"/>
                </w:tcPr>
                <w:p w14:paraId="2C4B5679">
                  <w:pPr>
                    <w:pStyle w:val="66"/>
                    <w:rPr>
                      <w:color w:val="000000" w:themeColor="text1"/>
                      <w14:textFill>
                        <w14:solidFill>
                          <w14:schemeClr w14:val="tx1"/>
                        </w14:solidFill>
                      </w14:textFill>
                    </w:rPr>
                  </w:pPr>
                </w:p>
              </w:tc>
              <w:tc>
                <w:tcPr>
                  <w:tcW w:w="2369" w:type="dxa"/>
                  <w:gridSpan w:val="2"/>
                  <w:vAlign w:val="center"/>
                </w:tcPr>
                <w:p w14:paraId="614133F3">
                  <w:pPr>
                    <w:pStyle w:val="66"/>
                    <w:rPr>
                      <w:color w:val="000000" w:themeColor="text1"/>
                      <w14:textFill>
                        <w14:solidFill>
                          <w14:schemeClr w14:val="tx1"/>
                        </w14:solidFill>
                      </w14:textFill>
                    </w:rPr>
                  </w:pPr>
                  <w:r>
                    <w:rPr>
                      <w:color w:val="000000" w:themeColor="text1"/>
                      <w14:textFill>
                        <w14:solidFill>
                          <w14:schemeClr w14:val="tx1"/>
                        </w14:solidFill>
                      </w14:textFill>
                    </w:rPr>
                    <w:t>BOD</w:t>
                  </w:r>
                  <w:r>
                    <w:rPr>
                      <w:color w:val="000000" w:themeColor="text1"/>
                      <w:vertAlign w:val="subscript"/>
                      <w14:textFill>
                        <w14:solidFill>
                          <w14:schemeClr w14:val="tx1"/>
                        </w14:solidFill>
                      </w14:textFill>
                    </w:rPr>
                    <w:t>5</w:t>
                  </w:r>
                </w:p>
              </w:tc>
              <w:tc>
                <w:tcPr>
                  <w:tcW w:w="3790" w:type="dxa"/>
                  <w:gridSpan w:val="3"/>
                  <w:vAlign w:val="center"/>
                </w:tcPr>
                <w:p w14:paraId="1C916005">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0.021</w:t>
                  </w:r>
                </w:p>
              </w:tc>
            </w:tr>
            <w:tr w14:paraId="40D0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4" w:type="dxa"/>
                  <w:gridSpan w:val="2"/>
                  <w:vMerge w:val="continue"/>
                  <w:vAlign w:val="center"/>
                </w:tcPr>
                <w:p w14:paraId="637E4CC4">
                  <w:pPr>
                    <w:pStyle w:val="66"/>
                    <w:rPr>
                      <w:color w:val="000000" w:themeColor="text1"/>
                      <w14:textFill>
                        <w14:solidFill>
                          <w14:schemeClr w14:val="tx1"/>
                        </w14:solidFill>
                      </w14:textFill>
                    </w:rPr>
                  </w:pPr>
                </w:p>
              </w:tc>
              <w:tc>
                <w:tcPr>
                  <w:tcW w:w="2369" w:type="dxa"/>
                  <w:gridSpan w:val="2"/>
                  <w:vAlign w:val="center"/>
                </w:tcPr>
                <w:p w14:paraId="7F53F376">
                  <w:pPr>
                    <w:pStyle w:val="66"/>
                    <w:rPr>
                      <w:color w:val="000000" w:themeColor="text1"/>
                      <w14:textFill>
                        <w14:solidFill>
                          <w14:schemeClr w14:val="tx1"/>
                        </w14:solidFill>
                      </w14:textFill>
                    </w:rPr>
                  </w:pPr>
                  <w:r>
                    <w:rPr>
                      <w:color w:val="000000" w:themeColor="text1"/>
                      <w14:textFill>
                        <w14:solidFill>
                          <w14:schemeClr w14:val="tx1"/>
                        </w14:solidFill>
                      </w14:textFill>
                    </w:rPr>
                    <w:t>SS</w:t>
                  </w:r>
                </w:p>
              </w:tc>
              <w:tc>
                <w:tcPr>
                  <w:tcW w:w="3790" w:type="dxa"/>
                  <w:gridSpan w:val="3"/>
                  <w:vAlign w:val="center"/>
                </w:tcPr>
                <w:p w14:paraId="38485726">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0.013</w:t>
                  </w:r>
                </w:p>
              </w:tc>
            </w:tr>
            <w:tr w14:paraId="5DBB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4" w:type="dxa"/>
                  <w:gridSpan w:val="2"/>
                  <w:vMerge w:val="continue"/>
                  <w:vAlign w:val="center"/>
                </w:tcPr>
                <w:p w14:paraId="28592F24">
                  <w:pPr>
                    <w:pStyle w:val="66"/>
                    <w:rPr>
                      <w:color w:val="000000" w:themeColor="text1"/>
                      <w14:textFill>
                        <w14:solidFill>
                          <w14:schemeClr w14:val="tx1"/>
                        </w14:solidFill>
                      </w14:textFill>
                    </w:rPr>
                  </w:pPr>
                </w:p>
              </w:tc>
              <w:tc>
                <w:tcPr>
                  <w:tcW w:w="2369" w:type="dxa"/>
                  <w:gridSpan w:val="2"/>
                  <w:vAlign w:val="center"/>
                </w:tcPr>
                <w:p w14:paraId="0072397F">
                  <w:pPr>
                    <w:pStyle w:val="66"/>
                    <w:rPr>
                      <w:color w:val="000000" w:themeColor="text1"/>
                      <w14:textFill>
                        <w14:solidFill>
                          <w14:schemeClr w14:val="tx1"/>
                        </w14:solidFill>
                      </w14:textFill>
                    </w:rPr>
                  </w:pPr>
                  <w:r>
                    <w:rPr>
                      <w:color w:val="000000" w:themeColor="text1"/>
                      <w14:textFill>
                        <w14:solidFill>
                          <w14:schemeClr w14:val="tx1"/>
                        </w14:solidFill>
                      </w14:textFill>
                    </w:rPr>
                    <w:t>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-N</w:t>
                  </w:r>
                </w:p>
              </w:tc>
              <w:tc>
                <w:tcPr>
                  <w:tcW w:w="3790" w:type="dxa"/>
                  <w:gridSpan w:val="3"/>
                  <w:vAlign w:val="center"/>
                </w:tcPr>
                <w:p w14:paraId="3D8CCB35">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0.004</w:t>
                  </w:r>
                </w:p>
              </w:tc>
            </w:tr>
            <w:tr w14:paraId="28D7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4" w:type="dxa"/>
                  <w:gridSpan w:val="2"/>
                  <w:vMerge w:val="continue"/>
                  <w:vAlign w:val="center"/>
                </w:tcPr>
                <w:p w14:paraId="7DEB568C">
                  <w:pPr>
                    <w:pStyle w:val="66"/>
                    <w:rPr>
                      <w:color w:val="000000" w:themeColor="text1"/>
                      <w14:textFill>
                        <w14:solidFill>
                          <w14:schemeClr w14:val="tx1"/>
                        </w14:solidFill>
                      </w14:textFill>
                    </w:rPr>
                  </w:pPr>
                </w:p>
              </w:tc>
              <w:tc>
                <w:tcPr>
                  <w:tcW w:w="2369" w:type="dxa"/>
                  <w:gridSpan w:val="2"/>
                  <w:vAlign w:val="center"/>
                </w:tcPr>
                <w:p w14:paraId="4864467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T</w:t>
                  </w:r>
                  <w:r>
                    <w:rPr>
                      <w:color w:val="000000" w:themeColor="text1"/>
                      <w14:textFill>
                        <w14:solidFill>
                          <w14:schemeClr w14:val="tx1"/>
                        </w14:solidFill>
                      </w14:textFill>
                    </w:rPr>
                    <w:t>P</w:t>
                  </w:r>
                </w:p>
              </w:tc>
              <w:tc>
                <w:tcPr>
                  <w:tcW w:w="3790" w:type="dxa"/>
                  <w:gridSpan w:val="3"/>
                  <w:vAlign w:val="center"/>
                </w:tcPr>
                <w:p w14:paraId="7C7EFC96">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0.001</w:t>
                  </w:r>
                </w:p>
              </w:tc>
            </w:tr>
          </w:tbl>
          <w:p w14:paraId="7FCFC0FC">
            <w:pPr>
              <w:pStyle w:val="301"/>
              <w:ind w:firstLine="0" w:firstLineChars="0"/>
              <w:rPr>
                <w:color w:val="000000" w:themeColor="text1"/>
                <w14:textFill>
                  <w14:solidFill>
                    <w14:schemeClr w14:val="tx1"/>
                  </w14:solidFill>
                </w14:textFill>
              </w:rPr>
            </w:pPr>
          </w:p>
          <w:p w14:paraId="602B8C37">
            <w:pPr>
              <w:pStyle w:val="301"/>
              <w:ind w:firstLine="0" w:firstLineChars="0"/>
              <w:rPr>
                <w:b/>
                <w:color w:val="000000" w:themeColor="text1"/>
                <w14:textFill>
                  <w14:solidFill>
                    <w14:schemeClr w14:val="tx1"/>
                  </w14:solidFill>
                </w14:textFill>
              </w:rPr>
            </w:pPr>
            <w:r>
              <w:rPr>
                <w:rFonts w:hint="eastAsia"/>
                <w:b/>
                <w:color w:val="000000" w:themeColor="text1"/>
                <w14:textFill>
                  <w14:solidFill>
                    <w14:schemeClr w14:val="tx1"/>
                  </w14:solidFill>
                </w14:textFill>
              </w:rPr>
              <w:t>2</w:t>
            </w:r>
            <w:r>
              <w:rPr>
                <w:b/>
                <w:color w:val="000000" w:themeColor="text1"/>
                <w14:textFill>
                  <w14:solidFill>
                    <w14:schemeClr w14:val="tx1"/>
                  </w14:solidFill>
                </w14:textFill>
              </w:rPr>
              <w:t>、各环保措施的技术可行性分析</w:t>
            </w:r>
          </w:p>
          <w:p w14:paraId="01AEFFD0">
            <w:pPr>
              <w:pStyle w:val="301"/>
              <w:ind w:firstLine="0" w:firstLineChars="0"/>
              <w:rPr>
                <w:b/>
                <w:color w:val="000000" w:themeColor="text1"/>
                <w14:textFill>
                  <w14:solidFill>
                    <w14:schemeClr w14:val="tx1"/>
                  </w14:solidFill>
                </w14:textFill>
              </w:rPr>
            </w:pPr>
            <w:r>
              <w:rPr>
                <w:b/>
                <w:color w:val="000000" w:themeColor="text1"/>
                <w14:textFill>
                  <w14:solidFill>
                    <w14:schemeClr w14:val="tx1"/>
                  </w14:solidFill>
                </w14:textFill>
              </w:rPr>
              <w:t>（</w:t>
            </w:r>
            <w:r>
              <w:rPr>
                <w:rFonts w:hint="eastAsia"/>
                <w:b/>
                <w:color w:val="000000" w:themeColor="text1"/>
                <w14:textFill>
                  <w14:solidFill>
                    <w14:schemeClr w14:val="tx1"/>
                  </w14:solidFill>
                </w14:textFill>
              </w:rPr>
              <w:t>1</w:t>
            </w:r>
            <w:r>
              <w:rPr>
                <w:b/>
                <w:color w:val="000000" w:themeColor="text1"/>
                <w14:textFill>
                  <w14:solidFill>
                    <w14:schemeClr w14:val="tx1"/>
                  </w14:solidFill>
                </w14:textFill>
              </w:rPr>
              <w:t>）废水污染治理设施可行性分析</w:t>
            </w:r>
          </w:p>
          <w:p w14:paraId="31987C45">
            <w:pPr>
              <w:pStyle w:val="30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化粪池工作原理</w:t>
            </w:r>
          </w:p>
          <w:p w14:paraId="41E43544">
            <w:pPr>
              <w:pStyle w:val="30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化粪池：一般生活污水主要来自于员工的洗手、冲厕废水，这部分废水的主要污染因子为COD</w:t>
            </w:r>
            <w:r>
              <w:rPr>
                <w:rFonts w:hint="eastAsia" w:cs="Times New Roman"/>
                <w:color w:val="000000" w:themeColor="text1"/>
                <w:vertAlign w:val="subscript"/>
                <w14:textFill>
                  <w14:solidFill>
                    <w14:schemeClr w14:val="tx1"/>
                  </w14:solidFill>
                </w14:textFill>
              </w:rPr>
              <w:t>Cr</w:t>
            </w:r>
            <w:r>
              <w:rPr>
                <w:rFonts w:hint="eastAsia" w:cs="Times New Roman"/>
                <w:color w:val="000000" w:themeColor="text1"/>
                <w14:textFill>
                  <w14:solidFill>
                    <w14:schemeClr w14:val="tx1"/>
                  </w14:solidFill>
                </w14:textFill>
              </w:rPr>
              <w:t>、BOD</w:t>
            </w:r>
            <w:r>
              <w:rPr>
                <w:rFonts w:hint="eastAsia" w:cs="Times New Roman"/>
                <w:color w:val="000000" w:themeColor="text1"/>
                <w:vertAlign w:val="subscript"/>
                <w14:textFill>
                  <w14:solidFill>
                    <w14:schemeClr w14:val="tx1"/>
                  </w14:solidFill>
                </w14:textFill>
              </w:rPr>
              <w:t>5</w:t>
            </w:r>
            <w:r>
              <w:rPr>
                <w:rFonts w:hint="eastAsia" w:cs="Times New Roman"/>
                <w:color w:val="000000" w:themeColor="text1"/>
                <w14:textFill>
                  <w14:solidFill>
                    <w14:schemeClr w14:val="tx1"/>
                  </w14:solidFill>
                </w14:textFill>
              </w:rPr>
              <w:t>、SS、NH</w:t>
            </w:r>
            <w:r>
              <w:rPr>
                <w:rFonts w:hint="eastAsia" w:cs="Times New Roman"/>
                <w:color w:val="000000" w:themeColor="text1"/>
                <w:vertAlign w:val="subscript"/>
                <w14:textFill>
                  <w14:solidFill>
                    <w14:schemeClr w14:val="tx1"/>
                  </w14:solidFill>
                </w14:textFill>
              </w:rPr>
              <w:t>3</w:t>
            </w:r>
            <w:r>
              <w:rPr>
                <w:rFonts w:hint="eastAsia" w:cs="Times New Roman"/>
                <w:color w:val="000000" w:themeColor="text1"/>
                <w14:textFill>
                  <w14:solidFill>
                    <w14:schemeClr w14:val="tx1"/>
                  </w14:solidFill>
                </w14:textFill>
              </w:rPr>
              <w:t>-N，污染物浓度不高。项目生活污水采用三级化粪池处理，化粪池工作过程大致分为四个环节：过滤沉淀-厌氧发酵-固体物分解-粪液排放。</w:t>
            </w:r>
          </w:p>
          <w:p w14:paraId="6ADC4625">
            <w:pPr>
              <w:pStyle w:val="301"/>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化粪池的工作原理：污水首先由进水口排到第一格，在第一格里比重较大的固体物及寄生虫卵等物沉淀下来，开始初步的发酵分解，经第一格处理过的污水可分为三层：糊状粪皮、比较澄清的粪液、和固体状的粪渣。经过初步分解的粪液流入第二格，而漂浮在上面的粪皮和沉积在下面的粪渣则留在第一格继续发酵。在第二格中，粪液继续发酵分解，虫卵继续下沉，病原</w:t>
            </w:r>
            <w:r>
              <w:rPr>
                <w:rFonts w:hint="eastAsia"/>
                <w:color w:val="000000" w:themeColor="text1"/>
                <w14:textFill>
                  <w14:solidFill>
                    <w14:schemeClr w14:val="tx1"/>
                  </w14:solidFill>
                </w14:textFill>
              </w:rPr>
              <w:t>体逐渐死亡，</w:t>
            </w:r>
            <w:r>
              <w:rPr>
                <w:rFonts w:hint="eastAsia" w:cs="Times New Roman"/>
                <w:color w:val="000000" w:themeColor="text1"/>
                <w14:textFill>
                  <w14:solidFill>
                    <w14:schemeClr w14:val="tx1"/>
                  </w14:solidFill>
                </w14:textFill>
              </w:rPr>
              <w:t>粪液得到进一步无害化，产生的粪皮和粪渣厚度比第一格显著减少。流入第三格的粪液一般已经腐熟，其中病菌和寄生虫卵已基本杀灭。第三格功能主要起暂时储存已基本无害的粪液作用。</w:t>
            </w:r>
          </w:p>
          <w:p w14:paraId="1F7BEE7B">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污水进入化粪池经过12～24h的沉淀，可去除大部分的悬浮物。沉淀下来的污泥经过3个月以上的厌氧发酵分解，使污泥中的有机物分解成稳定的无机物，易腐败的生污泥转化成稳定的熟污泥，改变了污泥的结构，降低了污泥的含水率。</w:t>
            </w:r>
          </w:p>
          <w:p w14:paraId="7078B408">
            <w:pPr>
              <w:pStyle w:val="301"/>
              <w:ind w:firstLine="482"/>
              <w:rPr>
                <w:b/>
                <w:color w:val="000000" w:themeColor="text1"/>
                <w14:textFill>
                  <w14:solidFill>
                    <w14:schemeClr w14:val="tx1"/>
                  </w14:solidFill>
                </w14:textFill>
              </w:rPr>
            </w:pPr>
            <w:r>
              <w:rPr>
                <w:rFonts w:hint="eastAsia"/>
                <w:b/>
                <w:color w:val="000000" w:themeColor="text1"/>
                <w14:textFill>
                  <w14:solidFill>
                    <w14:schemeClr w14:val="tx1"/>
                  </w14:solidFill>
                </w14:textFill>
              </w:rPr>
              <w:t>（2）废水纳入园区污水处理厂的可行性分析</w:t>
            </w:r>
          </w:p>
          <w:p w14:paraId="619F7E75">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①水污染控制和水环境影响减缓措施有效性评价</w:t>
            </w:r>
          </w:p>
          <w:p w14:paraId="3EC3298B">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位于广东省韶关市乐昌市乐昌产业转移工业园内，属于园区污水处理厂纳污范围，</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办公生活污水经三级化粪池处理后经管网排入园区污水处理厂进一步处理，最终排入武江（乐昌城-犁市）河段。园区污水处理厂出水水质执行《城镇污水处理厂污 染物排放标准》（GB18918-2002）中一级</w:t>
            </w:r>
            <w:r>
              <w:rPr>
                <w:rFonts w:hint="eastAsia"/>
                <w:color w:val="000000" w:themeColor="text1"/>
                <w:lang w:val="en-US" w:eastAsia="zh-CN"/>
                <w14:textFill>
                  <w14:solidFill>
                    <w14:schemeClr w14:val="tx1"/>
                  </w14:solidFill>
                </w14:textFill>
              </w:rPr>
              <w:t>A</w:t>
            </w:r>
            <w:r>
              <w:rPr>
                <w:rFonts w:hint="eastAsia"/>
                <w:color w:val="000000" w:themeColor="text1"/>
                <w14:textFill>
                  <w14:solidFill>
                    <w14:schemeClr w14:val="tx1"/>
                  </w14:solidFill>
                </w14:textFill>
              </w:rPr>
              <w:t>标准和广东省《水污染物排放限值》（DB44/26-2001）中的第二时段一级排放标准较严者，对周围环境影响较小。</w:t>
            </w:r>
          </w:p>
          <w:p w14:paraId="601D8792">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②依托污水处理设施的环境可行性评价</w:t>
            </w:r>
          </w:p>
          <w:p w14:paraId="67E6D037">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根据《东莞东坑（乐昌）产业转移工业园污水处理厂及配套管网工程建设项目环境影响报告表》，园区收集废水经循环式活性污泥法（</w:t>
            </w:r>
            <w:r>
              <w:rPr>
                <w:color w:val="000000" w:themeColor="text1"/>
                <w14:textFill>
                  <w14:solidFill>
                    <w14:schemeClr w14:val="tx1"/>
                  </w14:solidFill>
                </w14:textFill>
              </w:rPr>
              <w:t>CASS</w:t>
            </w:r>
            <w:r>
              <w:rPr>
                <w:rFonts w:hint="eastAsia"/>
                <w:color w:val="000000" w:themeColor="text1"/>
                <w14:textFill>
                  <w14:solidFill>
                    <w14:schemeClr w14:val="tx1"/>
                  </w14:solidFill>
                </w14:textFill>
              </w:rPr>
              <w:t>）处理后，达到《城镇污水处理厂污染物排放标准》（</w:t>
            </w:r>
            <w:r>
              <w:rPr>
                <w:color w:val="000000" w:themeColor="text1"/>
                <w14:textFill>
                  <w14:solidFill>
                    <w14:schemeClr w14:val="tx1"/>
                  </w14:solidFill>
                </w14:textFill>
              </w:rPr>
              <w:t>GB18918-2002</w:t>
            </w:r>
            <w:r>
              <w:rPr>
                <w:rFonts w:hint="eastAsia"/>
                <w:color w:val="000000" w:themeColor="text1"/>
                <w14:textFill>
                  <w14:solidFill>
                    <w14:schemeClr w14:val="tx1"/>
                  </w14:solidFill>
                </w14:textFill>
              </w:rPr>
              <w:t>）一级</w:t>
            </w:r>
            <w:r>
              <w:rPr>
                <w:rFonts w:hint="eastAsia"/>
                <w:color w:val="000000" w:themeColor="text1"/>
                <w:lang w:val="en-US" w:eastAsia="zh-CN"/>
                <w14:textFill>
                  <w14:solidFill>
                    <w14:schemeClr w14:val="tx1"/>
                  </w14:solidFill>
                </w14:textFill>
              </w:rPr>
              <w:t>A</w:t>
            </w:r>
            <w:r>
              <w:rPr>
                <w:rFonts w:hint="eastAsia"/>
                <w:color w:val="000000" w:themeColor="text1"/>
                <w14:textFill>
                  <w14:solidFill>
                    <w14:schemeClr w14:val="tx1"/>
                  </w14:solidFill>
                </w14:textFill>
              </w:rPr>
              <w:t>标准和广东省《水污染物排放限标准值》（</w:t>
            </w:r>
            <w:r>
              <w:rPr>
                <w:color w:val="000000" w:themeColor="text1"/>
                <w14:textFill>
                  <w14:solidFill>
                    <w14:schemeClr w14:val="tx1"/>
                  </w14:solidFill>
                </w14:textFill>
              </w:rPr>
              <w:t>DB44/26-2001</w:t>
            </w:r>
            <w:r>
              <w:rPr>
                <w:rFonts w:hint="eastAsia"/>
                <w:color w:val="000000" w:themeColor="text1"/>
                <w14:textFill>
                  <w14:solidFill>
                    <w14:schemeClr w14:val="tx1"/>
                  </w14:solidFill>
                </w14:textFill>
              </w:rPr>
              <w:t>）第二时段一级标准中的较严者后通过污水管网外排至武江河段。产业园污水处理厂目前已建成正常运行，并安装了在线监控设施并</w:t>
            </w:r>
            <w:r>
              <w:rPr>
                <w:rFonts w:hint="eastAsia"/>
                <w:color w:val="000000" w:themeColor="text1"/>
                <w:lang w:eastAsia="zh-CN"/>
                <w14:textFill>
                  <w14:solidFill>
                    <w14:schemeClr w14:val="tx1"/>
                  </w14:solidFill>
                </w14:textFill>
              </w:rPr>
              <w:t>与</w:t>
            </w:r>
            <w:r>
              <w:rPr>
                <w:rFonts w:hint="eastAsia"/>
                <w:color w:val="000000" w:themeColor="text1"/>
                <w14:textFill>
                  <w14:solidFill>
                    <w14:schemeClr w14:val="tx1"/>
                  </w14:solidFill>
                </w14:textFill>
              </w:rPr>
              <w:t>环保部门联网，园区污水处理厂占地面积</w:t>
            </w:r>
            <w:r>
              <w:rPr>
                <w:color w:val="000000" w:themeColor="text1"/>
                <w14:textFill>
                  <w14:solidFill>
                    <w14:schemeClr w14:val="tx1"/>
                  </w14:solidFill>
                </w14:textFill>
              </w:rPr>
              <w:t>15400m</w:t>
            </w:r>
            <w:r>
              <w:rPr>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，设计处理能力为</w:t>
            </w:r>
            <w:r>
              <w:rPr>
                <w:color w:val="000000" w:themeColor="text1"/>
                <w14:textFill>
                  <w14:solidFill>
                    <w14:schemeClr w14:val="tx1"/>
                  </w14:solidFill>
                </w14:textFill>
              </w:rPr>
              <w:t>10000m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w:t>
            </w:r>
            <w:r>
              <w:rPr>
                <w:rFonts w:hint="eastAsia"/>
                <w:color w:val="000000" w:themeColor="text1"/>
                <w14:textFill>
                  <w14:solidFill>
                    <w14:schemeClr w14:val="tx1"/>
                  </w14:solidFill>
                </w14:textFill>
              </w:rPr>
              <w:t>，分两期建设，一期处理能力</w:t>
            </w:r>
            <w:r>
              <w:rPr>
                <w:color w:val="000000" w:themeColor="text1"/>
                <w14:textFill>
                  <w14:solidFill>
                    <w14:schemeClr w14:val="tx1"/>
                  </w14:solidFill>
                </w14:textFill>
              </w:rPr>
              <w:t>5000m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w:t>
            </w:r>
            <w:r>
              <w:rPr>
                <w:rFonts w:hint="eastAsia"/>
                <w:color w:val="000000" w:themeColor="text1"/>
                <w14:textFill>
                  <w14:solidFill>
                    <w14:schemeClr w14:val="tx1"/>
                  </w14:solidFill>
                </w14:textFill>
              </w:rPr>
              <w:t>，二期处理能力</w:t>
            </w:r>
            <w:r>
              <w:rPr>
                <w:color w:val="000000" w:themeColor="text1"/>
                <w14:textFill>
                  <w14:solidFill>
                    <w14:schemeClr w14:val="tx1"/>
                  </w14:solidFill>
                </w14:textFill>
              </w:rPr>
              <w:t>5000m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w:t>
            </w:r>
            <w:r>
              <w:rPr>
                <w:rFonts w:hint="eastAsia"/>
                <w:color w:val="000000" w:themeColor="text1"/>
                <w14:textFill>
                  <w14:solidFill>
                    <w14:schemeClr w14:val="tx1"/>
                  </w14:solidFill>
                </w14:textFill>
              </w:rPr>
              <w:t>，现状首期</w:t>
            </w:r>
            <w:r>
              <w:rPr>
                <w:color w:val="000000" w:themeColor="text1"/>
                <w14:textFill>
                  <w14:solidFill>
                    <w14:schemeClr w14:val="tx1"/>
                  </w14:solidFill>
                </w14:textFill>
              </w:rPr>
              <w:t>5000m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w:t>
            </w:r>
            <w:r>
              <w:rPr>
                <w:rFonts w:hint="eastAsia"/>
                <w:color w:val="000000" w:themeColor="text1"/>
                <w14:textFill>
                  <w14:solidFill>
                    <w14:schemeClr w14:val="tx1"/>
                  </w14:solidFill>
                </w14:textFill>
              </w:rPr>
              <w:t>已经建成运行。本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外排废水总量为</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617</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w:t>
            </w:r>
            <w:r>
              <w:rPr>
                <w:rFonts w:hint="eastAsia"/>
                <w:color w:val="000000" w:themeColor="text1"/>
                <w14:textFill>
                  <w14:solidFill>
                    <w14:schemeClr w14:val="tx1"/>
                  </w14:solidFill>
                </w14:textFill>
              </w:rPr>
              <w:t>，仅占园区污水处理厂处理能力的</w:t>
            </w:r>
            <w:r>
              <w:rPr>
                <w:color w:val="000000" w:themeColor="text1"/>
                <w14:textFill>
                  <w14:solidFill>
                    <w14:schemeClr w14:val="tx1"/>
                  </w14:solidFill>
                </w14:textFill>
              </w:rPr>
              <w:t>0.01%</w:t>
            </w:r>
            <w:r>
              <w:rPr>
                <w:rFonts w:hint="eastAsia"/>
                <w:color w:val="000000" w:themeColor="text1"/>
                <w14:textFill>
                  <w14:solidFill>
                    <w14:schemeClr w14:val="tx1"/>
                  </w14:solidFill>
                </w14:textFill>
              </w:rPr>
              <w:t>，外排废水浓度符合园区污水处理厂进水水质要求，因此，</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外排废水不会对污水处理厂造成水量和水质的冲击负荷。可见本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废水可依托园区污水处理厂处理。</w:t>
            </w:r>
          </w:p>
          <w:p w14:paraId="2BBB3EC4">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生活污水经三级化粪池预处理后经市政污水管网排入园区污水处理厂处理；间接冷却水为清净下水，一年一排，汇同经三级化粪池预处理后的生活污水接入市政污水管网排入园区污水处理厂处理。生活污水满足园区污水处理厂依托可行性，综上，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产生的废水对周边地表水环境的影响是可接受的。</w:t>
            </w:r>
          </w:p>
          <w:p w14:paraId="6D6E19D9">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3、监测计划</w:t>
            </w:r>
          </w:p>
          <w:p w14:paraId="5E43CD55">
            <w:pPr>
              <w:pStyle w:val="301"/>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无生产废水排放，</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排放的污水为生活污水、间接冷却水，生活污水经三级化粪池预处理后排入市政污水管网，最终</w:t>
            </w:r>
            <w:r>
              <w:rPr>
                <w:rFonts w:hint="eastAsia"/>
                <w:color w:val="000000" w:themeColor="text1"/>
                <w:lang w:eastAsia="zh-CN"/>
                <w14:textFill>
                  <w14:solidFill>
                    <w14:schemeClr w14:val="tx1"/>
                  </w14:solidFill>
                </w14:textFill>
              </w:rPr>
              <w:t>进入</w:t>
            </w:r>
            <w:r>
              <w:rPr>
                <w:rFonts w:hint="eastAsia"/>
                <w:color w:val="000000" w:themeColor="text1"/>
                <w14:textFill>
                  <w14:solidFill>
                    <w14:schemeClr w14:val="tx1"/>
                  </w14:solidFill>
                </w14:textFill>
              </w:rPr>
              <w:t>园区污水处理厂处理。根据《排污许可证申请与核发技术规范总则》（HJ942-2018）5.2.1“单独排入城镇集中污水处理设施的生活污水仅说明排放去向”，故本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生活污水无需进行监测。</w:t>
            </w:r>
          </w:p>
        </w:tc>
      </w:tr>
      <w:bookmarkEnd w:id="15"/>
    </w:tbl>
    <w:p w14:paraId="15713E61">
      <w:pPr>
        <w:pStyle w:val="39"/>
        <w:spacing w:before="100" w:after="100"/>
        <w:ind w:right="-126"/>
        <w:outlineLvl w:val="0"/>
        <w:rPr>
          <w:rFonts w:hint="default" w:ascii="黑体" w:hAnsi="黑体" w:eastAsia="黑体"/>
          <w:snapToGrid w:val="0"/>
          <w:sz w:val="32"/>
          <w:szCs w:val="32"/>
        </w:rPr>
        <w:sectPr>
          <w:pgSz w:w="12240" w:h="15840"/>
          <w:pgMar w:top="1440" w:right="1797" w:bottom="1440" w:left="1797" w:header="720" w:footer="720" w:gutter="0"/>
          <w:cols w:space="425" w:num="1"/>
          <w:docGrid w:type="linesAndChars" w:linePitch="312" w:charSpace="0"/>
        </w:sectPr>
      </w:pP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12340"/>
      </w:tblGrid>
      <w:tr w14:paraId="7791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60046AF0">
            <w:pPr>
              <w:pStyle w:val="61"/>
            </w:pPr>
          </w:p>
        </w:tc>
        <w:tc>
          <w:tcPr>
            <w:tcW w:w="12498" w:type="dxa"/>
            <w:vAlign w:val="center"/>
          </w:tcPr>
          <w:p w14:paraId="72AB35EA">
            <w:pPr>
              <w:spacing w:before="159" w:line="360" w:lineRule="auto"/>
              <w:ind w:right="123"/>
              <w:rPr>
                <w:rFonts w:ascii="Times New Roman" w:hAnsi="Times New Roman" w:eastAsia="宋体" w:cs="宋体"/>
                <w:b/>
                <w:sz w:val="24"/>
              </w:rPr>
            </w:pPr>
            <w:r>
              <w:rPr>
                <w:rFonts w:ascii="Times New Roman" w:hAnsi="Times New Roman" w:eastAsia="宋体" w:cs="宋体"/>
                <w:b/>
                <w:sz w:val="24"/>
              </w:rPr>
              <w:t>三、噪声</w:t>
            </w:r>
          </w:p>
          <w:p w14:paraId="72117A47">
            <w:pPr>
              <w:tabs>
                <w:tab w:val="left" w:pos="1467"/>
              </w:tabs>
              <w:spacing w:line="360" w:lineRule="auto"/>
              <w:ind w:firstLine="241" w:firstLineChars="100"/>
              <w:rPr>
                <w:rFonts w:ascii="Times New Roman" w:hAnsi="Times New Roman" w:cs="Times New Roman"/>
                <w:b/>
                <w:sz w:val="24"/>
              </w:rPr>
            </w:pPr>
            <w:r>
              <w:rPr>
                <w:rFonts w:hint="eastAsia" w:ascii="Times New Roman" w:hAnsi="Times New Roman" w:cs="Times New Roman"/>
                <w:b/>
                <w:sz w:val="24"/>
              </w:rPr>
              <w:t>（1）噪声源强</w:t>
            </w:r>
          </w:p>
          <w:p w14:paraId="2E233D12">
            <w:pPr>
              <w:tabs>
                <w:tab w:val="left" w:pos="1467"/>
              </w:tabs>
              <w:spacing w:line="360" w:lineRule="auto"/>
              <w:ind w:firstLine="480" w:firstLineChars="200"/>
              <w:rPr>
                <w:rFonts w:ascii="Times New Roman" w:hAnsi="Times New Roman" w:eastAsia="宋体" w:cs="宋体"/>
                <w:sz w:val="24"/>
              </w:rPr>
            </w:pPr>
            <w:r>
              <w:rPr>
                <w:rFonts w:ascii="Times New Roman" w:hAnsi="Times New Roman" w:eastAsia="宋体" w:cs="宋体"/>
                <w:sz w:val="24"/>
              </w:rPr>
              <w:t>本</w:t>
            </w:r>
            <w:r>
              <w:rPr>
                <w:rFonts w:hint="eastAsia" w:ascii="Times New Roman" w:hAnsi="Times New Roman" w:eastAsia="宋体" w:cs="宋体"/>
                <w:sz w:val="24"/>
                <w:lang w:eastAsia="zh-CN"/>
              </w:rPr>
              <w:t>项目</w:t>
            </w:r>
            <w:r>
              <w:rPr>
                <w:rFonts w:ascii="Times New Roman" w:hAnsi="Times New Roman" w:eastAsia="宋体" w:cs="宋体"/>
                <w:sz w:val="24"/>
              </w:rPr>
              <w:t>噪声源主要为抛丸机、数控车床、普通车床、刷胶机、浇注机等生产设备，</w:t>
            </w:r>
            <w:r>
              <w:rPr>
                <w:rFonts w:hint="eastAsia" w:ascii="Times New Roman" w:hAnsi="Times New Roman" w:eastAsia="宋体" w:cs="宋体"/>
                <w:sz w:val="24"/>
              </w:rPr>
              <w:t>根据建设方提供数据源强在</w:t>
            </w:r>
            <w:r>
              <w:rPr>
                <w:rFonts w:hint="eastAsia" w:ascii="Times New Roman" w:hAnsi="Times New Roman" w:eastAsia="宋体" w:cs="宋体"/>
                <w:sz w:val="24"/>
                <w:lang w:val="en-US" w:eastAsia="zh-CN"/>
              </w:rPr>
              <w:t>65</w:t>
            </w:r>
            <w:r>
              <w:rPr>
                <w:rFonts w:hint="eastAsia" w:ascii="Times New Roman" w:hAnsi="Times New Roman" w:eastAsia="宋体" w:cs="宋体"/>
                <w:sz w:val="24"/>
              </w:rPr>
              <w:t>～</w:t>
            </w:r>
            <w:r>
              <w:rPr>
                <w:rFonts w:hint="eastAsia" w:ascii="Times New Roman" w:hAnsi="Times New Roman" w:eastAsia="宋体" w:cs="宋体"/>
                <w:sz w:val="24"/>
                <w:lang w:val="en-US" w:eastAsia="zh-CN"/>
              </w:rPr>
              <w:t>80</w:t>
            </w:r>
            <w:r>
              <w:rPr>
                <w:rFonts w:hint="eastAsia" w:ascii="Times New Roman" w:hAnsi="Times New Roman" w:eastAsia="宋体" w:cs="宋体"/>
                <w:sz w:val="24"/>
              </w:rPr>
              <w:t>dB(A)之间。本</w:t>
            </w:r>
            <w:r>
              <w:rPr>
                <w:rFonts w:hint="eastAsia" w:ascii="Times New Roman" w:hAnsi="Times New Roman" w:eastAsia="宋体" w:cs="宋体"/>
                <w:sz w:val="24"/>
                <w:lang w:eastAsia="zh-CN"/>
              </w:rPr>
              <w:t>项目</w:t>
            </w:r>
            <w:r>
              <w:rPr>
                <w:rFonts w:hint="eastAsia" w:ascii="Times New Roman" w:hAnsi="Times New Roman" w:eastAsia="宋体" w:cs="宋体"/>
                <w:sz w:val="24"/>
              </w:rPr>
              <w:t>车间墙体主要为双层砖墙，根据《噪声污染物控制工程》（高等教育出版社，洪宗辉）中的资料，一砖墙双面粉刷的墙体，实测的隔声量为49dB(A)，考虑到人员进出本</w:t>
            </w:r>
            <w:r>
              <w:rPr>
                <w:rFonts w:hint="eastAsia" w:ascii="Times New Roman" w:hAnsi="Times New Roman" w:eastAsia="宋体" w:cs="宋体"/>
                <w:sz w:val="24"/>
                <w:lang w:eastAsia="zh-CN"/>
              </w:rPr>
              <w:t>项目</w:t>
            </w:r>
            <w:r>
              <w:rPr>
                <w:rFonts w:hint="eastAsia" w:ascii="Times New Roman" w:hAnsi="Times New Roman" w:eastAsia="宋体" w:cs="宋体"/>
                <w:sz w:val="24"/>
              </w:rPr>
              <w:t>过程中开关门、窗户等对隔声的负面影响，实际隔声量按20dB(A)进行计算</w:t>
            </w:r>
            <w:r>
              <w:rPr>
                <w:rFonts w:ascii="Times New Roman" w:hAnsi="Times New Roman" w:eastAsia="宋体" w:cs="宋体"/>
                <w:sz w:val="24"/>
              </w:rPr>
              <w:t>。</w:t>
            </w:r>
          </w:p>
          <w:p w14:paraId="489A6414">
            <w:pPr>
              <w:tabs>
                <w:tab w:val="left" w:pos="1467"/>
              </w:tabs>
              <w:spacing w:line="360" w:lineRule="auto"/>
              <w:ind w:firstLine="480" w:firstLineChars="200"/>
              <w:rPr>
                <w:rFonts w:ascii="Times New Roman" w:hAnsi="Times New Roman" w:eastAsia="宋体" w:cs="宋体"/>
                <w:sz w:val="24"/>
              </w:rPr>
            </w:pPr>
            <w:r>
              <w:rPr>
                <w:rFonts w:ascii="Times New Roman" w:hAnsi="Times New Roman" w:eastAsia="宋体" w:cs="宋体"/>
                <w:sz w:val="24"/>
              </w:rPr>
              <w:t>本</w:t>
            </w:r>
            <w:r>
              <w:rPr>
                <w:rFonts w:hint="eastAsia" w:ascii="Times New Roman" w:hAnsi="Times New Roman" w:eastAsia="宋体" w:cs="宋体"/>
                <w:sz w:val="24"/>
                <w:lang w:eastAsia="zh-CN"/>
              </w:rPr>
              <w:t>项目</w:t>
            </w:r>
            <w:r>
              <w:rPr>
                <w:rFonts w:ascii="Times New Roman" w:hAnsi="Times New Roman" w:eastAsia="宋体" w:cs="宋体"/>
                <w:sz w:val="24"/>
              </w:rPr>
              <w:t>主要噪声源的情况详见下表：</w:t>
            </w:r>
          </w:p>
          <w:p w14:paraId="4D188D7B">
            <w:pPr>
              <w:tabs>
                <w:tab w:val="left" w:pos="1467"/>
              </w:tabs>
              <w:ind w:firstLine="422" w:firstLineChars="200"/>
              <w:jc w:val="center"/>
              <w:rPr>
                <w:rFonts w:hint="default" w:eastAsiaTheme="minorEastAsia"/>
                <w:b/>
                <w:lang w:val="en-US" w:eastAsia="zh-CN"/>
              </w:rPr>
            </w:pPr>
            <w:r>
              <w:rPr>
                <w:rFonts w:ascii="Times New Roman" w:hAnsi="Times New Roman" w:cs="Times New Roman"/>
                <w:b/>
              </w:rPr>
              <w:t>表4-</w:t>
            </w:r>
            <w:r>
              <w:rPr>
                <w:rFonts w:hint="eastAsia" w:ascii="Times New Roman" w:hAnsi="Times New Roman" w:cs="Times New Roman"/>
                <w:b/>
                <w:lang w:val="en-US" w:eastAsia="zh-CN"/>
              </w:rPr>
              <w:t>21</w:t>
            </w:r>
            <w:r>
              <w:rPr>
                <w:rFonts w:ascii="Times New Roman" w:hAnsi="Times New Roman" w:cs="Times New Roman"/>
                <w:b/>
              </w:rPr>
              <w:t xml:space="preserve"> 本</w:t>
            </w:r>
            <w:r>
              <w:rPr>
                <w:rFonts w:hint="eastAsia" w:ascii="Times New Roman" w:hAnsi="Times New Roman" w:cs="Times New Roman"/>
                <w:b/>
                <w:lang w:eastAsia="zh-CN"/>
              </w:rPr>
              <w:t>项目</w:t>
            </w:r>
            <w:r>
              <w:rPr>
                <w:rFonts w:hint="eastAsia"/>
                <w:b/>
              </w:rPr>
              <w:t>主要噪声源</w:t>
            </w:r>
            <w:r>
              <w:rPr>
                <w:rFonts w:hint="eastAsia"/>
                <w:b/>
                <w:lang w:val="en-US" w:eastAsia="zh-CN"/>
              </w:rPr>
              <w:t>分析一览表（室内声源）</w:t>
            </w:r>
          </w:p>
          <w:tbl>
            <w:tblPr>
              <w:tblStyle w:val="45"/>
              <w:tblW w:w="48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726"/>
              <w:gridCol w:w="527"/>
              <w:gridCol w:w="811"/>
              <w:gridCol w:w="662"/>
              <w:gridCol w:w="708"/>
              <w:gridCol w:w="709"/>
              <w:gridCol w:w="643"/>
              <w:gridCol w:w="637"/>
              <w:gridCol w:w="637"/>
              <w:gridCol w:w="637"/>
              <w:gridCol w:w="637"/>
              <w:gridCol w:w="637"/>
              <w:gridCol w:w="637"/>
              <w:gridCol w:w="637"/>
              <w:gridCol w:w="637"/>
              <w:gridCol w:w="546"/>
              <w:gridCol w:w="811"/>
            </w:tblGrid>
            <w:tr w14:paraId="1367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Merge w:val="restart"/>
                  <w:noWrap w:val="0"/>
                  <w:vAlign w:val="center"/>
                </w:tcPr>
                <w:p w14:paraId="11A14A7A">
                  <w:pPr>
                    <w:pStyle w:val="66"/>
                    <w:rPr>
                      <w:rFonts w:hint="default" w:ascii="Times New Roman" w:hAnsi="Times New Roman" w:eastAsia="等线" w:cs="Times New Roman"/>
                    </w:rPr>
                  </w:pPr>
                  <w:r>
                    <w:rPr>
                      <w:rFonts w:hint="default" w:ascii="Times New Roman" w:hAnsi="Times New Roman" w:cs="Times New Roman"/>
                    </w:rPr>
                    <w:t>序号</w:t>
                  </w:r>
                </w:p>
              </w:tc>
              <w:tc>
                <w:tcPr>
                  <w:tcW w:w="823" w:type="dxa"/>
                  <w:vMerge w:val="restart"/>
                  <w:noWrap w:val="0"/>
                  <w:vAlign w:val="center"/>
                </w:tcPr>
                <w:p w14:paraId="2EBCB6F9">
                  <w:pPr>
                    <w:pStyle w:val="66"/>
                    <w:rPr>
                      <w:rFonts w:hint="default" w:ascii="Times New Roman" w:hAnsi="Times New Roman" w:eastAsia="等线" w:cs="Times New Roman"/>
                    </w:rPr>
                  </w:pPr>
                  <w:r>
                    <w:rPr>
                      <w:rFonts w:hint="default" w:ascii="Times New Roman" w:hAnsi="Times New Roman" w:cs="Times New Roman"/>
                    </w:rPr>
                    <w:t>声源名称</w:t>
                  </w:r>
                </w:p>
              </w:tc>
              <w:tc>
                <w:tcPr>
                  <w:tcW w:w="559" w:type="dxa"/>
                  <w:vMerge w:val="restart"/>
                  <w:noWrap w:val="0"/>
                  <w:vAlign w:val="center"/>
                </w:tcPr>
                <w:p w14:paraId="7163916A">
                  <w:pPr>
                    <w:pStyle w:val="66"/>
                    <w:rPr>
                      <w:rFonts w:hint="default" w:ascii="Times New Roman" w:hAnsi="Times New Roman" w:eastAsia="等线" w:cs="Times New Roman"/>
                    </w:rPr>
                  </w:pPr>
                  <w:r>
                    <w:rPr>
                      <w:rFonts w:hint="default" w:ascii="Times New Roman" w:hAnsi="Times New Roman" w:cs="Times New Roman"/>
                    </w:rPr>
                    <w:t>数量</w:t>
                  </w:r>
                </w:p>
              </w:tc>
              <w:tc>
                <w:tcPr>
                  <w:tcW w:w="811" w:type="dxa"/>
                  <w:vMerge w:val="restart"/>
                  <w:noWrap w:val="0"/>
                  <w:vAlign w:val="center"/>
                </w:tcPr>
                <w:p w14:paraId="46BA6560">
                  <w:pPr>
                    <w:pStyle w:val="66"/>
                    <w:rPr>
                      <w:rFonts w:hint="default" w:ascii="Times New Roman" w:hAnsi="Times New Roman" w:eastAsia="等线" w:cs="Times New Roman"/>
                    </w:rPr>
                  </w:pPr>
                  <w:r>
                    <w:rPr>
                      <w:rFonts w:hint="default" w:ascii="Times New Roman" w:hAnsi="Times New Roman" w:cs="Times New Roman"/>
                    </w:rPr>
                    <w:t>声功率级</w:t>
                  </w:r>
                  <w:r>
                    <w:rPr>
                      <w:rFonts w:hint="default" w:ascii="Times New Roman" w:hAnsi="Times New Roman" w:eastAsia="等线" w:cs="Times New Roman"/>
                    </w:rPr>
                    <w:t>/dB</w:t>
                  </w:r>
                  <w:r>
                    <w:rPr>
                      <w:rFonts w:hint="default" w:ascii="Times New Roman" w:hAnsi="Times New Roman" w:cs="Times New Roman"/>
                    </w:rPr>
                    <w:t>(</w:t>
                  </w:r>
                  <w:r>
                    <w:rPr>
                      <w:rFonts w:hint="default" w:ascii="Times New Roman" w:hAnsi="Times New Roman" w:eastAsia="等线" w:cs="Times New Roman"/>
                    </w:rPr>
                    <w:t>A</w:t>
                  </w:r>
                  <w:r>
                    <w:rPr>
                      <w:rFonts w:hint="default" w:ascii="Times New Roman" w:hAnsi="Times New Roman" w:cs="Times New Roman"/>
                    </w:rPr>
                    <w:t>)</w:t>
                  </w:r>
                </w:p>
              </w:tc>
              <w:tc>
                <w:tcPr>
                  <w:tcW w:w="670" w:type="dxa"/>
                  <w:vMerge w:val="restart"/>
                  <w:noWrap w:val="0"/>
                  <w:vAlign w:val="center"/>
                </w:tcPr>
                <w:p w14:paraId="08382377">
                  <w:pPr>
                    <w:pStyle w:val="66"/>
                    <w:rPr>
                      <w:rFonts w:hint="default" w:ascii="Times New Roman" w:hAnsi="Times New Roman" w:eastAsia="等线" w:cs="Times New Roman"/>
                    </w:rPr>
                  </w:pPr>
                  <w:r>
                    <w:rPr>
                      <w:rFonts w:hint="default" w:ascii="Times New Roman" w:hAnsi="Times New Roman" w:cs="Times New Roman"/>
                    </w:rPr>
                    <w:t>声源控制措施</w:t>
                  </w:r>
                </w:p>
              </w:tc>
              <w:tc>
                <w:tcPr>
                  <w:tcW w:w="2060" w:type="dxa"/>
                  <w:gridSpan w:val="3"/>
                  <w:noWrap w:val="0"/>
                  <w:vAlign w:val="center"/>
                </w:tcPr>
                <w:p w14:paraId="21105B5B">
                  <w:pPr>
                    <w:pStyle w:val="66"/>
                    <w:rPr>
                      <w:rFonts w:hint="default" w:ascii="Times New Roman" w:hAnsi="Times New Roman" w:eastAsia="等线" w:cs="Times New Roman"/>
                    </w:rPr>
                  </w:pPr>
                  <w:r>
                    <w:rPr>
                      <w:rFonts w:hint="default" w:ascii="Times New Roman" w:hAnsi="Times New Roman" w:cs="Times New Roman"/>
                    </w:rPr>
                    <w:t>空间相对位置</w:t>
                  </w:r>
                </w:p>
              </w:tc>
              <w:tc>
                <w:tcPr>
                  <w:tcW w:w="2548" w:type="dxa"/>
                  <w:gridSpan w:val="4"/>
                  <w:noWrap/>
                  <w:vAlign w:val="center"/>
                </w:tcPr>
                <w:p w14:paraId="2828F535">
                  <w:pPr>
                    <w:pStyle w:val="66"/>
                    <w:rPr>
                      <w:rFonts w:hint="default" w:ascii="Times New Roman" w:hAnsi="Times New Roman" w:cs="Times New Roman"/>
                    </w:rPr>
                  </w:pPr>
                  <w:r>
                    <w:rPr>
                      <w:rFonts w:hint="default" w:ascii="Times New Roman" w:hAnsi="Times New Roman" w:cs="Times New Roman"/>
                    </w:rPr>
                    <w:t>距室内边界距离/m</w:t>
                  </w:r>
                </w:p>
              </w:tc>
              <w:tc>
                <w:tcPr>
                  <w:tcW w:w="2548" w:type="dxa"/>
                  <w:gridSpan w:val="4"/>
                  <w:noWrap/>
                  <w:vAlign w:val="center"/>
                </w:tcPr>
                <w:p w14:paraId="5DCF25ED">
                  <w:pPr>
                    <w:pStyle w:val="66"/>
                    <w:rPr>
                      <w:rFonts w:hint="default" w:ascii="Times New Roman" w:hAnsi="Times New Roman" w:eastAsia="等线" w:cs="Times New Roman"/>
                    </w:rPr>
                  </w:pPr>
                  <w:r>
                    <w:rPr>
                      <w:rFonts w:hint="default" w:ascii="Times New Roman" w:hAnsi="Times New Roman" w:cs="Times New Roman"/>
                    </w:rPr>
                    <w:t>室内边界声级</w:t>
                  </w:r>
                  <w:r>
                    <w:rPr>
                      <w:rFonts w:hint="default" w:ascii="Times New Roman" w:hAnsi="Times New Roman" w:eastAsia="等线" w:cs="Times New Roman"/>
                    </w:rPr>
                    <w:t>/dB</w:t>
                  </w:r>
                  <w:r>
                    <w:rPr>
                      <w:rFonts w:hint="default" w:ascii="Times New Roman" w:hAnsi="Times New Roman" w:cs="Times New Roman"/>
                    </w:rPr>
                    <w:t>（</w:t>
                  </w:r>
                  <w:r>
                    <w:rPr>
                      <w:rFonts w:hint="default" w:ascii="Times New Roman" w:hAnsi="Times New Roman" w:eastAsia="等线" w:cs="Times New Roman"/>
                    </w:rPr>
                    <w:t>A</w:t>
                  </w:r>
                  <w:r>
                    <w:rPr>
                      <w:rFonts w:hint="default" w:ascii="Times New Roman" w:hAnsi="Times New Roman" w:cs="Times New Roman"/>
                    </w:rPr>
                    <w:t>）</w:t>
                  </w:r>
                </w:p>
              </w:tc>
              <w:tc>
                <w:tcPr>
                  <w:tcW w:w="562" w:type="dxa"/>
                  <w:vMerge w:val="restart"/>
                  <w:noWrap w:val="0"/>
                  <w:vAlign w:val="center"/>
                </w:tcPr>
                <w:p w14:paraId="1845629E">
                  <w:pPr>
                    <w:pStyle w:val="66"/>
                    <w:rPr>
                      <w:rFonts w:hint="default" w:ascii="Times New Roman" w:hAnsi="Times New Roman" w:eastAsia="等线" w:cs="Times New Roman"/>
                    </w:rPr>
                  </w:pPr>
                  <w:r>
                    <w:rPr>
                      <w:rFonts w:hint="default" w:ascii="Times New Roman" w:hAnsi="Times New Roman" w:cs="Times New Roman"/>
                    </w:rPr>
                    <w:t>运行时段</w:t>
                  </w:r>
                </w:p>
              </w:tc>
              <w:tc>
                <w:tcPr>
                  <w:tcW w:w="811" w:type="dxa"/>
                  <w:vMerge w:val="restart"/>
                  <w:noWrap w:val="0"/>
                  <w:vAlign w:val="center"/>
                </w:tcPr>
                <w:p w14:paraId="2158C04A">
                  <w:pPr>
                    <w:pStyle w:val="66"/>
                    <w:rPr>
                      <w:rFonts w:hint="default" w:ascii="Times New Roman" w:hAnsi="Times New Roman" w:eastAsia="等线" w:cs="Times New Roman"/>
                    </w:rPr>
                  </w:pPr>
                  <w:r>
                    <w:rPr>
                      <w:rFonts w:hint="default" w:ascii="Times New Roman" w:hAnsi="Times New Roman" w:cs="Times New Roman"/>
                    </w:rPr>
                    <w:t>建筑物插入损失</w:t>
                  </w:r>
                  <w:r>
                    <w:rPr>
                      <w:rFonts w:hint="default" w:ascii="Times New Roman" w:hAnsi="Times New Roman" w:eastAsia="等线" w:cs="Times New Roman"/>
                    </w:rPr>
                    <w:t>/dB</w:t>
                  </w:r>
                  <w:r>
                    <w:rPr>
                      <w:rFonts w:hint="default" w:ascii="Times New Roman" w:hAnsi="Times New Roman" w:cs="Times New Roman"/>
                    </w:rPr>
                    <w:t>(</w:t>
                  </w:r>
                  <w:r>
                    <w:rPr>
                      <w:rFonts w:hint="default" w:ascii="Times New Roman" w:hAnsi="Times New Roman" w:eastAsia="等线" w:cs="Times New Roman"/>
                    </w:rPr>
                    <w:t>A</w:t>
                  </w:r>
                  <w:r>
                    <w:rPr>
                      <w:rFonts w:hint="default" w:ascii="Times New Roman" w:hAnsi="Times New Roman" w:cs="Times New Roman"/>
                    </w:rPr>
                    <w:t>)</w:t>
                  </w:r>
                </w:p>
              </w:tc>
            </w:tr>
            <w:tr w14:paraId="0639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vMerge w:val="continue"/>
                  <w:noWrap w:val="0"/>
                  <w:vAlign w:val="center"/>
                </w:tcPr>
                <w:p w14:paraId="00B76E6A">
                  <w:pPr>
                    <w:pStyle w:val="66"/>
                    <w:rPr>
                      <w:rFonts w:hint="default" w:ascii="Times New Roman" w:hAnsi="Times New Roman" w:eastAsia="等线" w:cs="Times New Roman"/>
                    </w:rPr>
                  </w:pPr>
                </w:p>
              </w:tc>
              <w:tc>
                <w:tcPr>
                  <w:tcW w:w="823" w:type="dxa"/>
                  <w:vMerge w:val="continue"/>
                  <w:noWrap w:val="0"/>
                  <w:vAlign w:val="center"/>
                </w:tcPr>
                <w:p w14:paraId="5D96D471">
                  <w:pPr>
                    <w:pStyle w:val="66"/>
                    <w:rPr>
                      <w:rFonts w:hint="default" w:ascii="Times New Roman" w:hAnsi="Times New Roman" w:eastAsia="等线" w:cs="Times New Roman"/>
                    </w:rPr>
                  </w:pPr>
                </w:p>
              </w:tc>
              <w:tc>
                <w:tcPr>
                  <w:tcW w:w="559" w:type="dxa"/>
                  <w:vMerge w:val="continue"/>
                  <w:noWrap w:val="0"/>
                  <w:vAlign w:val="center"/>
                </w:tcPr>
                <w:p w14:paraId="19CFB378">
                  <w:pPr>
                    <w:pStyle w:val="66"/>
                    <w:rPr>
                      <w:rFonts w:hint="default" w:ascii="Times New Roman" w:hAnsi="Times New Roman" w:eastAsia="等线" w:cs="Times New Roman"/>
                    </w:rPr>
                  </w:pPr>
                </w:p>
              </w:tc>
              <w:tc>
                <w:tcPr>
                  <w:tcW w:w="811" w:type="dxa"/>
                  <w:vMerge w:val="continue"/>
                  <w:noWrap w:val="0"/>
                  <w:vAlign w:val="center"/>
                </w:tcPr>
                <w:p w14:paraId="6F87367B">
                  <w:pPr>
                    <w:pStyle w:val="66"/>
                    <w:rPr>
                      <w:rFonts w:hint="default" w:ascii="Times New Roman" w:hAnsi="Times New Roman" w:eastAsia="等线" w:cs="Times New Roman"/>
                    </w:rPr>
                  </w:pPr>
                </w:p>
              </w:tc>
              <w:tc>
                <w:tcPr>
                  <w:tcW w:w="670" w:type="dxa"/>
                  <w:vMerge w:val="continue"/>
                  <w:noWrap w:val="0"/>
                  <w:vAlign w:val="center"/>
                </w:tcPr>
                <w:p w14:paraId="2BCAE7DF">
                  <w:pPr>
                    <w:pStyle w:val="66"/>
                    <w:rPr>
                      <w:rFonts w:hint="default" w:ascii="Times New Roman" w:hAnsi="Times New Roman" w:eastAsia="等线" w:cs="Times New Roman"/>
                    </w:rPr>
                  </w:pPr>
                </w:p>
              </w:tc>
              <w:tc>
                <w:tcPr>
                  <w:tcW w:w="708" w:type="dxa"/>
                  <w:noWrap w:val="0"/>
                  <w:vAlign w:val="center"/>
                </w:tcPr>
                <w:p w14:paraId="5C6CA975">
                  <w:pPr>
                    <w:pStyle w:val="66"/>
                    <w:rPr>
                      <w:rFonts w:hint="default" w:ascii="Times New Roman" w:hAnsi="Times New Roman" w:eastAsia="等线" w:cs="Times New Roman"/>
                    </w:rPr>
                  </w:pPr>
                  <w:r>
                    <w:rPr>
                      <w:rFonts w:hint="default" w:ascii="Times New Roman" w:hAnsi="Times New Roman" w:eastAsia="等线" w:cs="Times New Roman"/>
                    </w:rPr>
                    <w:t>X</w:t>
                  </w:r>
                </w:p>
              </w:tc>
              <w:tc>
                <w:tcPr>
                  <w:tcW w:w="709" w:type="dxa"/>
                  <w:noWrap w:val="0"/>
                  <w:vAlign w:val="center"/>
                </w:tcPr>
                <w:p w14:paraId="732BEDCB">
                  <w:pPr>
                    <w:pStyle w:val="66"/>
                    <w:rPr>
                      <w:rFonts w:hint="default" w:ascii="Times New Roman" w:hAnsi="Times New Roman" w:eastAsia="等线" w:cs="Times New Roman"/>
                    </w:rPr>
                  </w:pPr>
                  <w:r>
                    <w:rPr>
                      <w:rFonts w:hint="default" w:ascii="Times New Roman" w:hAnsi="Times New Roman" w:eastAsia="等线" w:cs="Times New Roman"/>
                    </w:rPr>
                    <w:t>Y</w:t>
                  </w:r>
                </w:p>
              </w:tc>
              <w:tc>
                <w:tcPr>
                  <w:tcW w:w="643" w:type="dxa"/>
                  <w:noWrap w:val="0"/>
                  <w:vAlign w:val="center"/>
                </w:tcPr>
                <w:p w14:paraId="1C93E0C8">
                  <w:pPr>
                    <w:pStyle w:val="66"/>
                    <w:rPr>
                      <w:rFonts w:hint="default" w:ascii="Times New Roman" w:hAnsi="Times New Roman" w:eastAsia="等线" w:cs="Times New Roman"/>
                    </w:rPr>
                  </w:pPr>
                  <w:r>
                    <w:rPr>
                      <w:rFonts w:hint="default" w:ascii="Times New Roman" w:hAnsi="Times New Roman" w:eastAsia="等线" w:cs="Times New Roman"/>
                    </w:rPr>
                    <w:t>Z</w:t>
                  </w:r>
                </w:p>
              </w:tc>
              <w:tc>
                <w:tcPr>
                  <w:tcW w:w="637" w:type="dxa"/>
                  <w:noWrap/>
                  <w:vAlign w:val="center"/>
                </w:tcPr>
                <w:p w14:paraId="47B8350C">
                  <w:pPr>
                    <w:pStyle w:val="66"/>
                    <w:rPr>
                      <w:rFonts w:hint="default" w:ascii="Times New Roman" w:hAnsi="Times New Roman" w:cs="Times New Roman"/>
                    </w:rPr>
                  </w:pPr>
                  <w:r>
                    <w:rPr>
                      <w:rFonts w:hint="default" w:ascii="Times New Roman" w:hAnsi="Times New Roman" w:cs="Times New Roman"/>
                    </w:rPr>
                    <w:t>东</w:t>
                  </w:r>
                </w:p>
              </w:tc>
              <w:tc>
                <w:tcPr>
                  <w:tcW w:w="637" w:type="dxa"/>
                  <w:noWrap/>
                  <w:vAlign w:val="center"/>
                </w:tcPr>
                <w:p w14:paraId="0E1CB512">
                  <w:pPr>
                    <w:pStyle w:val="66"/>
                    <w:rPr>
                      <w:rFonts w:hint="default" w:ascii="Times New Roman" w:hAnsi="Times New Roman" w:cs="Times New Roman"/>
                    </w:rPr>
                  </w:pPr>
                  <w:r>
                    <w:rPr>
                      <w:rFonts w:hint="default" w:ascii="Times New Roman" w:hAnsi="Times New Roman" w:cs="Times New Roman"/>
                    </w:rPr>
                    <w:t>南</w:t>
                  </w:r>
                </w:p>
              </w:tc>
              <w:tc>
                <w:tcPr>
                  <w:tcW w:w="637" w:type="dxa"/>
                  <w:noWrap/>
                  <w:vAlign w:val="center"/>
                </w:tcPr>
                <w:p w14:paraId="7962029F">
                  <w:pPr>
                    <w:pStyle w:val="66"/>
                    <w:rPr>
                      <w:rFonts w:hint="default" w:ascii="Times New Roman" w:hAnsi="Times New Roman" w:cs="Times New Roman"/>
                    </w:rPr>
                  </w:pPr>
                  <w:r>
                    <w:rPr>
                      <w:rFonts w:hint="default" w:ascii="Times New Roman" w:hAnsi="Times New Roman" w:cs="Times New Roman"/>
                    </w:rPr>
                    <w:t>西</w:t>
                  </w:r>
                </w:p>
              </w:tc>
              <w:tc>
                <w:tcPr>
                  <w:tcW w:w="637" w:type="dxa"/>
                  <w:noWrap/>
                  <w:vAlign w:val="center"/>
                </w:tcPr>
                <w:p w14:paraId="6791467C">
                  <w:pPr>
                    <w:pStyle w:val="66"/>
                    <w:rPr>
                      <w:rFonts w:hint="default" w:ascii="Times New Roman" w:hAnsi="Times New Roman" w:cs="Times New Roman"/>
                    </w:rPr>
                  </w:pPr>
                  <w:r>
                    <w:rPr>
                      <w:rFonts w:hint="default" w:ascii="Times New Roman" w:hAnsi="Times New Roman" w:cs="Times New Roman"/>
                    </w:rPr>
                    <w:t>北</w:t>
                  </w:r>
                </w:p>
              </w:tc>
              <w:tc>
                <w:tcPr>
                  <w:tcW w:w="637" w:type="dxa"/>
                  <w:noWrap/>
                  <w:vAlign w:val="center"/>
                </w:tcPr>
                <w:p w14:paraId="1AB324C4">
                  <w:pPr>
                    <w:pStyle w:val="66"/>
                    <w:rPr>
                      <w:rFonts w:hint="default" w:ascii="Times New Roman" w:hAnsi="Times New Roman" w:cs="Times New Roman"/>
                    </w:rPr>
                  </w:pPr>
                  <w:r>
                    <w:rPr>
                      <w:rFonts w:hint="default" w:ascii="Times New Roman" w:hAnsi="Times New Roman" w:cs="Times New Roman"/>
                    </w:rPr>
                    <w:t>东</w:t>
                  </w:r>
                </w:p>
              </w:tc>
              <w:tc>
                <w:tcPr>
                  <w:tcW w:w="637" w:type="dxa"/>
                  <w:noWrap/>
                  <w:vAlign w:val="center"/>
                </w:tcPr>
                <w:p w14:paraId="084CF90D">
                  <w:pPr>
                    <w:pStyle w:val="66"/>
                    <w:rPr>
                      <w:rFonts w:hint="default" w:ascii="Times New Roman" w:hAnsi="Times New Roman" w:cs="Times New Roman"/>
                    </w:rPr>
                  </w:pPr>
                  <w:r>
                    <w:rPr>
                      <w:rFonts w:hint="default" w:ascii="Times New Roman" w:hAnsi="Times New Roman" w:cs="Times New Roman"/>
                    </w:rPr>
                    <w:t>南</w:t>
                  </w:r>
                </w:p>
              </w:tc>
              <w:tc>
                <w:tcPr>
                  <w:tcW w:w="637" w:type="dxa"/>
                  <w:noWrap/>
                  <w:vAlign w:val="center"/>
                </w:tcPr>
                <w:p w14:paraId="3DCC106D">
                  <w:pPr>
                    <w:pStyle w:val="66"/>
                    <w:rPr>
                      <w:rFonts w:hint="default" w:ascii="Times New Roman" w:hAnsi="Times New Roman" w:cs="Times New Roman"/>
                    </w:rPr>
                  </w:pPr>
                  <w:r>
                    <w:rPr>
                      <w:rFonts w:hint="default" w:ascii="Times New Roman" w:hAnsi="Times New Roman" w:cs="Times New Roman"/>
                    </w:rPr>
                    <w:t>西</w:t>
                  </w:r>
                </w:p>
              </w:tc>
              <w:tc>
                <w:tcPr>
                  <w:tcW w:w="637" w:type="dxa"/>
                  <w:noWrap/>
                  <w:vAlign w:val="center"/>
                </w:tcPr>
                <w:p w14:paraId="69572DAB">
                  <w:pPr>
                    <w:pStyle w:val="66"/>
                    <w:rPr>
                      <w:rFonts w:hint="default" w:ascii="Times New Roman" w:hAnsi="Times New Roman" w:cs="Times New Roman"/>
                    </w:rPr>
                  </w:pPr>
                  <w:r>
                    <w:rPr>
                      <w:rFonts w:hint="default" w:ascii="Times New Roman" w:hAnsi="Times New Roman" w:cs="Times New Roman"/>
                    </w:rPr>
                    <w:t>北</w:t>
                  </w:r>
                </w:p>
              </w:tc>
              <w:tc>
                <w:tcPr>
                  <w:tcW w:w="562" w:type="dxa"/>
                  <w:vMerge w:val="continue"/>
                  <w:noWrap w:val="0"/>
                  <w:vAlign w:val="center"/>
                </w:tcPr>
                <w:p w14:paraId="4A4AB23D">
                  <w:pPr>
                    <w:pStyle w:val="66"/>
                    <w:rPr>
                      <w:rFonts w:hint="default" w:ascii="Times New Roman" w:hAnsi="Times New Roman" w:eastAsia="等线" w:cs="Times New Roman"/>
                    </w:rPr>
                  </w:pPr>
                </w:p>
              </w:tc>
              <w:tc>
                <w:tcPr>
                  <w:tcW w:w="811" w:type="dxa"/>
                  <w:vMerge w:val="continue"/>
                  <w:noWrap w:val="0"/>
                  <w:vAlign w:val="center"/>
                </w:tcPr>
                <w:p w14:paraId="718B2343">
                  <w:pPr>
                    <w:pStyle w:val="66"/>
                    <w:rPr>
                      <w:rFonts w:hint="default" w:ascii="Times New Roman" w:hAnsi="Times New Roman" w:eastAsia="等线" w:cs="Times New Roman"/>
                    </w:rPr>
                  </w:pPr>
                </w:p>
              </w:tc>
            </w:tr>
            <w:tr w14:paraId="741D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noWrap/>
                  <w:vAlign w:val="center"/>
                </w:tcPr>
                <w:p w14:paraId="0F51ECB5">
                  <w:pPr>
                    <w:pStyle w:val="66"/>
                    <w:rPr>
                      <w:rFonts w:hint="default" w:ascii="Times New Roman" w:hAnsi="Times New Roman" w:eastAsia="等线" w:cs="Times New Roman"/>
                    </w:rPr>
                  </w:pPr>
                  <w:r>
                    <w:rPr>
                      <w:rFonts w:hint="default" w:ascii="Times New Roman" w:hAnsi="Times New Roman" w:eastAsia="等线" w:cs="Times New Roman"/>
                    </w:rPr>
                    <w:t>1</w:t>
                  </w:r>
                </w:p>
              </w:tc>
              <w:tc>
                <w:tcPr>
                  <w:tcW w:w="823" w:type="dxa"/>
                  <w:noWrap w:val="0"/>
                  <w:vAlign w:val="center"/>
                </w:tcPr>
                <w:p w14:paraId="4AAE93EA">
                  <w:pPr>
                    <w:pStyle w:val="66"/>
                    <w:rPr>
                      <w:rFonts w:hint="default" w:ascii="Times New Roman" w:hAnsi="Times New Roman" w:eastAsia="宋体" w:cs="Times New Roman"/>
                      <w:lang w:val="en-US" w:eastAsia="zh-CN"/>
                    </w:rPr>
                  </w:pPr>
                  <w:r>
                    <w:rPr>
                      <w:rFonts w:hint="default" w:ascii="Times New Roman" w:hAnsi="Times New Roman" w:cs="Times New Roman"/>
                      <w:lang w:val="en-US" w:eastAsia="zh-CN"/>
                    </w:rPr>
                    <w:t>抛丸机</w:t>
                  </w:r>
                </w:p>
              </w:tc>
              <w:tc>
                <w:tcPr>
                  <w:tcW w:w="559" w:type="dxa"/>
                  <w:noWrap w:val="0"/>
                  <w:vAlign w:val="center"/>
                </w:tcPr>
                <w:p w14:paraId="752C7B14">
                  <w:pPr>
                    <w:pStyle w:val="66"/>
                    <w:rPr>
                      <w:rFonts w:hint="default" w:ascii="Times New Roman" w:hAnsi="Times New Roman" w:eastAsia="等线" w:cs="Times New Roman"/>
                      <w:lang w:eastAsia="zh-CN"/>
                    </w:rPr>
                  </w:pPr>
                  <w:r>
                    <w:rPr>
                      <w:rFonts w:hint="eastAsia" w:eastAsia="等线" w:cs="Times New Roman"/>
                      <w:lang w:val="en-US" w:eastAsia="zh-CN"/>
                    </w:rPr>
                    <w:t>2</w:t>
                  </w:r>
                </w:p>
              </w:tc>
              <w:tc>
                <w:tcPr>
                  <w:tcW w:w="811" w:type="dxa"/>
                  <w:vMerge w:val="restart"/>
                  <w:noWrap/>
                  <w:vAlign w:val="center"/>
                </w:tcPr>
                <w:p w14:paraId="0E778519">
                  <w:pPr>
                    <w:pStyle w:val="66"/>
                    <w:rPr>
                      <w:rFonts w:hint="default" w:ascii="Times New Roman" w:hAnsi="Times New Roman" w:eastAsia="等线" w:cs="Times New Roman"/>
                    </w:rPr>
                  </w:pPr>
                  <w:r>
                    <w:rPr>
                      <w:rFonts w:hint="default" w:ascii="Times New Roman" w:hAnsi="Times New Roman" w:eastAsia="等线" w:cs="Times New Roman"/>
                    </w:rPr>
                    <w:t>80</w:t>
                  </w:r>
                </w:p>
              </w:tc>
              <w:tc>
                <w:tcPr>
                  <w:tcW w:w="670" w:type="dxa"/>
                  <w:vMerge w:val="restart"/>
                  <w:noWrap w:val="0"/>
                  <w:vAlign w:val="center"/>
                </w:tcPr>
                <w:p w14:paraId="55ADCD89">
                  <w:pPr>
                    <w:pStyle w:val="66"/>
                    <w:rPr>
                      <w:rFonts w:hint="default" w:ascii="Times New Roman" w:hAnsi="Times New Roman" w:cs="Times New Roman"/>
                    </w:rPr>
                  </w:pPr>
                  <w:r>
                    <w:rPr>
                      <w:rFonts w:hint="default" w:ascii="Times New Roman" w:hAnsi="Times New Roman" w:cs="Times New Roman"/>
                    </w:rPr>
                    <w:t>优化布局、选用低噪声设备、隔声</w:t>
                  </w:r>
                </w:p>
              </w:tc>
              <w:tc>
                <w:tcPr>
                  <w:tcW w:w="708" w:type="dxa"/>
                  <w:noWrap/>
                  <w:vAlign w:val="center"/>
                </w:tcPr>
                <w:p w14:paraId="0FC4D283">
                  <w:pPr>
                    <w:pStyle w:val="66"/>
                    <w:rPr>
                      <w:rFonts w:hint="default" w:ascii="Times New Roman" w:hAnsi="Times New Roman" w:eastAsia="等线" w:cs="Times New Roman"/>
                    </w:rPr>
                  </w:pPr>
                  <w:r>
                    <w:rPr>
                      <w:rFonts w:hint="default" w:ascii="Times New Roman" w:hAnsi="Times New Roman" w:eastAsia="等线" w:cs="Times New Roman"/>
                      <w:lang w:val="en-US" w:eastAsia="zh-CN"/>
                    </w:rPr>
                    <w:t>8</w:t>
                  </w:r>
                </w:p>
              </w:tc>
              <w:tc>
                <w:tcPr>
                  <w:tcW w:w="709" w:type="dxa"/>
                  <w:noWrap/>
                  <w:vAlign w:val="center"/>
                </w:tcPr>
                <w:p w14:paraId="4605ABF3">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20</w:t>
                  </w:r>
                </w:p>
              </w:tc>
              <w:tc>
                <w:tcPr>
                  <w:tcW w:w="643" w:type="dxa"/>
                  <w:noWrap/>
                  <w:vAlign w:val="center"/>
                </w:tcPr>
                <w:p w14:paraId="12F225B3">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w:t>
                  </w:r>
                </w:p>
              </w:tc>
              <w:tc>
                <w:tcPr>
                  <w:tcW w:w="637" w:type="dxa"/>
                  <w:noWrap/>
                  <w:vAlign w:val="center"/>
                </w:tcPr>
                <w:p w14:paraId="1AB88C65">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24</w:t>
                  </w:r>
                </w:p>
              </w:tc>
              <w:tc>
                <w:tcPr>
                  <w:tcW w:w="637" w:type="dxa"/>
                  <w:noWrap/>
                  <w:vAlign w:val="center"/>
                </w:tcPr>
                <w:p w14:paraId="1DE02AAF">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71</w:t>
                  </w:r>
                </w:p>
              </w:tc>
              <w:tc>
                <w:tcPr>
                  <w:tcW w:w="637" w:type="dxa"/>
                  <w:noWrap/>
                  <w:vAlign w:val="center"/>
                </w:tcPr>
                <w:p w14:paraId="535E8C06">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25</w:t>
                  </w:r>
                </w:p>
              </w:tc>
              <w:tc>
                <w:tcPr>
                  <w:tcW w:w="637" w:type="dxa"/>
                  <w:noWrap/>
                  <w:vAlign w:val="center"/>
                </w:tcPr>
                <w:p w14:paraId="7E8C7F9C">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10</w:t>
                  </w:r>
                </w:p>
              </w:tc>
              <w:tc>
                <w:tcPr>
                  <w:tcW w:w="637" w:type="dxa"/>
                  <w:noWrap/>
                  <w:vAlign w:val="center"/>
                </w:tcPr>
                <w:p w14:paraId="26C02B62">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63.6</w:t>
                  </w:r>
                </w:p>
              </w:tc>
              <w:tc>
                <w:tcPr>
                  <w:tcW w:w="637" w:type="dxa"/>
                  <w:noWrap/>
                  <w:vAlign w:val="center"/>
                </w:tcPr>
                <w:p w14:paraId="3066741E">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63.5</w:t>
                  </w:r>
                </w:p>
              </w:tc>
              <w:tc>
                <w:tcPr>
                  <w:tcW w:w="637" w:type="dxa"/>
                  <w:noWrap/>
                  <w:vAlign w:val="center"/>
                </w:tcPr>
                <w:p w14:paraId="24F2A3D6">
                  <w:pPr>
                    <w:spacing w:line="240" w:lineRule="auto"/>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63.</w:t>
                  </w:r>
                  <w:r>
                    <w:rPr>
                      <w:rFonts w:hint="default" w:ascii="Times New Roman" w:hAnsi="Times New Roman" w:cs="Times New Roman"/>
                      <w:sz w:val="21"/>
                      <w:szCs w:val="21"/>
                      <w:lang w:val="en-US" w:eastAsia="zh-CN"/>
                    </w:rPr>
                    <w:t>6</w:t>
                  </w:r>
                </w:p>
              </w:tc>
              <w:tc>
                <w:tcPr>
                  <w:tcW w:w="637" w:type="dxa"/>
                  <w:noWrap/>
                  <w:vAlign w:val="center"/>
                </w:tcPr>
                <w:p w14:paraId="36F07726">
                  <w:pPr>
                    <w:spacing w:line="240" w:lineRule="auto"/>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63.</w:t>
                  </w:r>
                  <w:r>
                    <w:rPr>
                      <w:rFonts w:hint="default" w:ascii="Times New Roman" w:hAnsi="Times New Roman" w:cs="Times New Roman"/>
                      <w:sz w:val="21"/>
                      <w:szCs w:val="21"/>
                      <w:lang w:val="en-US" w:eastAsia="zh-CN"/>
                    </w:rPr>
                    <w:t>8</w:t>
                  </w:r>
                </w:p>
              </w:tc>
              <w:tc>
                <w:tcPr>
                  <w:tcW w:w="562" w:type="dxa"/>
                  <w:vMerge w:val="restart"/>
                  <w:noWrap w:val="0"/>
                  <w:vAlign w:val="center"/>
                </w:tcPr>
                <w:p w14:paraId="61BAA41A">
                  <w:pPr>
                    <w:pStyle w:val="66"/>
                    <w:rPr>
                      <w:rFonts w:hint="default" w:ascii="Times New Roman" w:hAnsi="Times New Roman" w:eastAsia="等线" w:cs="Times New Roman"/>
                    </w:rPr>
                  </w:pPr>
                  <w:r>
                    <w:rPr>
                      <w:rFonts w:hint="default" w:ascii="Times New Roman" w:hAnsi="Times New Roman" w:eastAsia="等线" w:cs="Times New Roman"/>
                    </w:rPr>
                    <w:t>9-1</w:t>
                  </w:r>
                  <w:r>
                    <w:rPr>
                      <w:rFonts w:hint="default" w:ascii="Times New Roman" w:hAnsi="Times New Roman" w:cs="Times New Roman"/>
                    </w:rPr>
                    <w:t>时</w:t>
                  </w:r>
                </w:p>
              </w:tc>
              <w:tc>
                <w:tcPr>
                  <w:tcW w:w="811" w:type="dxa"/>
                  <w:vMerge w:val="restart"/>
                  <w:noWrap w:val="0"/>
                  <w:vAlign w:val="center"/>
                </w:tcPr>
                <w:p w14:paraId="219CA980">
                  <w:pPr>
                    <w:pStyle w:val="66"/>
                    <w:rPr>
                      <w:rFonts w:hint="default" w:ascii="Times New Roman" w:hAnsi="Times New Roman" w:eastAsia="等线" w:cs="Times New Roman"/>
                    </w:rPr>
                  </w:pPr>
                  <w:r>
                    <w:rPr>
                      <w:rFonts w:hint="default" w:ascii="Times New Roman" w:hAnsi="Times New Roman" w:eastAsia="等线" w:cs="Times New Roman"/>
                    </w:rPr>
                    <w:t>20</w:t>
                  </w:r>
                </w:p>
              </w:tc>
            </w:tr>
            <w:tr w14:paraId="08AD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noWrap/>
                  <w:vAlign w:val="center"/>
                </w:tcPr>
                <w:p w14:paraId="221B4D92">
                  <w:pPr>
                    <w:pStyle w:val="66"/>
                    <w:rPr>
                      <w:rFonts w:hint="default" w:ascii="Times New Roman" w:hAnsi="Times New Roman" w:eastAsia="等线" w:cs="Times New Roman"/>
                    </w:rPr>
                  </w:pPr>
                  <w:r>
                    <w:rPr>
                      <w:rFonts w:hint="default" w:ascii="Times New Roman" w:hAnsi="Times New Roman" w:eastAsia="等线" w:cs="Times New Roman"/>
                    </w:rPr>
                    <w:t>2</w:t>
                  </w:r>
                </w:p>
              </w:tc>
              <w:tc>
                <w:tcPr>
                  <w:tcW w:w="823" w:type="dxa"/>
                  <w:noWrap w:val="0"/>
                  <w:vAlign w:val="center"/>
                </w:tcPr>
                <w:p w14:paraId="488BC48D">
                  <w:pPr>
                    <w:pStyle w:val="66"/>
                    <w:rPr>
                      <w:rFonts w:hint="default" w:ascii="Times New Roman" w:hAnsi="Times New Roman" w:eastAsia="宋体" w:cs="Times New Roman"/>
                      <w:lang w:val="en-US" w:eastAsia="zh-CN"/>
                    </w:rPr>
                  </w:pPr>
                  <w:r>
                    <w:rPr>
                      <w:rFonts w:hint="default" w:ascii="Times New Roman" w:hAnsi="Times New Roman" w:cs="Times New Roman"/>
                      <w:lang w:val="en-US" w:eastAsia="zh-CN"/>
                    </w:rPr>
                    <w:t>浇注机</w:t>
                  </w:r>
                </w:p>
              </w:tc>
              <w:tc>
                <w:tcPr>
                  <w:tcW w:w="559" w:type="dxa"/>
                  <w:noWrap w:val="0"/>
                  <w:vAlign w:val="center"/>
                </w:tcPr>
                <w:p w14:paraId="56FF4501">
                  <w:pPr>
                    <w:pStyle w:val="66"/>
                    <w:rPr>
                      <w:rFonts w:hint="default" w:ascii="Times New Roman" w:hAnsi="Times New Roman" w:eastAsia="等线" w:cs="Times New Roman"/>
                      <w:lang w:eastAsia="zh-CN"/>
                    </w:rPr>
                  </w:pPr>
                  <w:r>
                    <w:rPr>
                      <w:rFonts w:hint="eastAsia" w:eastAsia="等线" w:cs="Times New Roman"/>
                      <w:lang w:val="en-US" w:eastAsia="zh-CN"/>
                    </w:rPr>
                    <w:t>2</w:t>
                  </w:r>
                </w:p>
              </w:tc>
              <w:tc>
                <w:tcPr>
                  <w:tcW w:w="811" w:type="dxa"/>
                  <w:vMerge w:val="continue"/>
                  <w:noWrap/>
                  <w:vAlign w:val="center"/>
                </w:tcPr>
                <w:p w14:paraId="3CB6A01D">
                  <w:pPr>
                    <w:pStyle w:val="66"/>
                    <w:rPr>
                      <w:rFonts w:hint="default" w:ascii="Times New Roman" w:hAnsi="Times New Roman" w:eastAsia="等线" w:cs="Times New Roman"/>
                    </w:rPr>
                  </w:pPr>
                </w:p>
              </w:tc>
              <w:tc>
                <w:tcPr>
                  <w:tcW w:w="670" w:type="dxa"/>
                  <w:vMerge w:val="continue"/>
                  <w:noWrap w:val="0"/>
                  <w:vAlign w:val="center"/>
                </w:tcPr>
                <w:p w14:paraId="51975613">
                  <w:pPr>
                    <w:pStyle w:val="66"/>
                    <w:rPr>
                      <w:rFonts w:hint="default" w:ascii="Times New Roman" w:hAnsi="Times New Roman" w:cs="Times New Roman"/>
                    </w:rPr>
                  </w:pPr>
                </w:p>
              </w:tc>
              <w:tc>
                <w:tcPr>
                  <w:tcW w:w="708" w:type="dxa"/>
                  <w:noWrap/>
                  <w:vAlign w:val="center"/>
                </w:tcPr>
                <w:p w14:paraId="504029D9">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-9</w:t>
                  </w:r>
                </w:p>
              </w:tc>
              <w:tc>
                <w:tcPr>
                  <w:tcW w:w="709" w:type="dxa"/>
                  <w:noWrap/>
                  <w:vAlign w:val="center"/>
                </w:tcPr>
                <w:p w14:paraId="36C977E5">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12</w:t>
                  </w:r>
                </w:p>
              </w:tc>
              <w:tc>
                <w:tcPr>
                  <w:tcW w:w="643" w:type="dxa"/>
                  <w:noWrap/>
                  <w:vAlign w:val="center"/>
                </w:tcPr>
                <w:p w14:paraId="66C843D9">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w:t>
                  </w:r>
                </w:p>
              </w:tc>
              <w:tc>
                <w:tcPr>
                  <w:tcW w:w="637" w:type="dxa"/>
                  <w:noWrap/>
                  <w:vAlign w:val="center"/>
                </w:tcPr>
                <w:p w14:paraId="5AD49FA6">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41</w:t>
                  </w:r>
                </w:p>
              </w:tc>
              <w:tc>
                <w:tcPr>
                  <w:tcW w:w="637" w:type="dxa"/>
                  <w:noWrap/>
                  <w:vAlign w:val="center"/>
                </w:tcPr>
                <w:p w14:paraId="5355D924">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79</w:t>
                  </w:r>
                </w:p>
              </w:tc>
              <w:tc>
                <w:tcPr>
                  <w:tcW w:w="637" w:type="dxa"/>
                  <w:noWrap/>
                  <w:vAlign w:val="center"/>
                </w:tcPr>
                <w:p w14:paraId="06EBE6F3">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31</w:t>
                  </w:r>
                </w:p>
              </w:tc>
              <w:tc>
                <w:tcPr>
                  <w:tcW w:w="637" w:type="dxa"/>
                  <w:noWrap/>
                  <w:vAlign w:val="center"/>
                </w:tcPr>
                <w:p w14:paraId="09CB21B0">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13</w:t>
                  </w:r>
                </w:p>
              </w:tc>
              <w:tc>
                <w:tcPr>
                  <w:tcW w:w="637" w:type="dxa"/>
                  <w:noWrap/>
                  <w:vAlign w:val="center"/>
                </w:tcPr>
                <w:p w14:paraId="3C8F1DB2">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63.6</w:t>
                  </w:r>
                </w:p>
              </w:tc>
              <w:tc>
                <w:tcPr>
                  <w:tcW w:w="637" w:type="dxa"/>
                  <w:noWrap/>
                  <w:vAlign w:val="center"/>
                </w:tcPr>
                <w:p w14:paraId="260CC750">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63.5</w:t>
                  </w:r>
                </w:p>
              </w:tc>
              <w:tc>
                <w:tcPr>
                  <w:tcW w:w="637" w:type="dxa"/>
                  <w:noWrap/>
                  <w:vAlign w:val="center"/>
                </w:tcPr>
                <w:p w14:paraId="63A8B9F5">
                  <w:pPr>
                    <w:spacing w:line="240" w:lineRule="auto"/>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63.</w:t>
                  </w:r>
                  <w:r>
                    <w:rPr>
                      <w:rFonts w:hint="default" w:ascii="Times New Roman" w:hAnsi="Times New Roman" w:cs="Times New Roman"/>
                      <w:sz w:val="21"/>
                      <w:szCs w:val="21"/>
                      <w:lang w:val="en-US" w:eastAsia="zh-CN"/>
                    </w:rPr>
                    <w:t>6</w:t>
                  </w:r>
                </w:p>
              </w:tc>
              <w:tc>
                <w:tcPr>
                  <w:tcW w:w="637" w:type="dxa"/>
                  <w:noWrap/>
                  <w:vAlign w:val="center"/>
                </w:tcPr>
                <w:p w14:paraId="0DB200A0">
                  <w:pPr>
                    <w:spacing w:line="240" w:lineRule="auto"/>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63.</w:t>
                  </w:r>
                  <w:r>
                    <w:rPr>
                      <w:rFonts w:hint="default" w:ascii="Times New Roman" w:hAnsi="Times New Roman" w:cs="Times New Roman"/>
                      <w:sz w:val="21"/>
                      <w:szCs w:val="21"/>
                      <w:lang w:val="en-US" w:eastAsia="zh-CN"/>
                    </w:rPr>
                    <w:t>8</w:t>
                  </w:r>
                </w:p>
              </w:tc>
              <w:tc>
                <w:tcPr>
                  <w:tcW w:w="562" w:type="dxa"/>
                  <w:vMerge w:val="continue"/>
                  <w:noWrap w:val="0"/>
                  <w:vAlign w:val="center"/>
                </w:tcPr>
                <w:p w14:paraId="68DA5107">
                  <w:pPr>
                    <w:pStyle w:val="66"/>
                    <w:rPr>
                      <w:rFonts w:hint="default" w:ascii="Times New Roman" w:hAnsi="Times New Roman" w:eastAsia="等线" w:cs="Times New Roman"/>
                    </w:rPr>
                  </w:pPr>
                </w:p>
              </w:tc>
              <w:tc>
                <w:tcPr>
                  <w:tcW w:w="811" w:type="dxa"/>
                  <w:vMerge w:val="continue"/>
                  <w:noWrap w:val="0"/>
                  <w:vAlign w:val="center"/>
                </w:tcPr>
                <w:p w14:paraId="7677C69F">
                  <w:pPr>
                    <w:pStyle w:val="66"/>
                    <w:rPr>
                      <w:rFonts w:hint="default" w:ascii="Times New Roman" w:hAnsi="Times New Roman" w:eastAsia="等线" w:cs="Times New Roman"/>
                    </w:rPr>
                  </w:pPr>
                </w:p>
              </w:tc>
            </w:tr>
            <w:tr w14:paraId="171A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noWrap/>
                  <w:vAlign w:val="center"/>
                </w:tcPr>
                <w:p w14:paraId="38B5917B">
                  <w:pPr>
                    <w:pStyle w:val="66"/>
                    <w:rPr>
                      <w:rFonts w:hint="default" w:ascii="Times New Roman" w:hAnsi="Times New Roman" w:eastAsia="等线" w:cs="Times New Roman"/>
                    </w:rPr>
                  </w:pPr>
                  <w:r>
                    <w:rPr>
                      <w:rFonts w:hint="default" w:ascii="Times New Roman" w:hAnsi="Times New Roman" w:eastAsia="等线" w:cs="Times New Roman"/>
                    </w:rPr>
                    <w:t>3</w:t>
                  </w:r>
                </w:p>
              </w:tc>
              <w:tc>
                <w:tcPr>
                  <w:tcW w:w="823" w:type="dxa"/>
                  <w:noWrap w:val="0"/>
                  <w:vAlign w:val="center"/>
                </w:tcPr>
                <w:p w14:paraId="0F23182D">
                  <w:pPr>
                    <w:pStyle w:val="66"/>
                    <w:rPr>
                      <w:rFonts w:hint="default" w:ascii="Times New Roman" w:hAnsi="Times New Roman" w:eastAsia="宋体" w:cs="Times New Roman"/>
                      <w:lang w:val="en-US" w:eastAsia="zh-CN"/>
                    </w:rPr>
                  </w:pPr>
                  <w:r>
                    <w:rPr>
                      <w:rFonts w:hint="default" w:ascii="Times New Roman" w:hAnsi="Times New Roman" w:cs="Times New Roman"/>
                      <w:lang w:val="en-US" w:eastAsia="zh-CN"/>
                    </w:rPr>
                    <w:t>刷胶机</w:t>
                  </w:r>
                </w:p>
              </w:tc>
              <w:tc>
                <w:tcPr>
                  <w:tcW w:w="559" w:type="dxa"/>
                  <w:noWrap w:val="0"/>
                  <w:vAlign w:val="center"/>
                </w:tcPr>
                <w:p w14:paraId="55AE3264">
                  <w:pPr>
                    <w:pStyle w:val="66"/>
                    <w:rPr>
                      <w:rFonts w:hint="default" w:ascii="Times New Roman" w:hAnsi="Times New Roman" w:eastAsia="等线" w:cs="Times New Roman"/>
                      <w:lang w:val="en-US" w:eastAsia="zh-CN"/>
                    </w:rPr>
                  </w:pPr>
                  <w:r>
                    <w:rPr>
                      <w:rFonts w:hint="eastAsia" w:eastAsia="等线" w:cs="Times New Roman"/>
                      <w:lang w:val="en-US" w:eastAsia="zh-CN"/>
                    </w:rPr>
                    <w:t>2</w:t>
                  </w:r>
                </w:p>
              </w:tc>
              <w:tc>
                <w:tcPr>
                  <w:tcW w:w="811" w:type="dxa"/>
                  <w:vMerge w:val="continue"/>
                  <w:noWrap/>
                  <w:vAlign w:val="center"/>
                </w:tcPr>
                <w:p w14:paraId="105F5752">
                  <w:pPr>
                    <w:pStyle w:val="66"/>
                    <w:rPr>
                      <w:rFonts w:hint="default" w:ascii="Times New Roman" w:hAnsi="Times New Roman" w:eastAsia="等线" w:cs="Times New Roman"/>
                    </w:rPr>
                  </w:pPr>
                </w:p>
              </w:tc>
              <w:tc>
                <w:tcPr>
                  <w:tcW w:w="670" w:type="dxa"/>
                  <w:vMerge w:val="continue"/>
                  <w:noWrap w:val="0"/>
                  <w:vAlign w:val="center"/>
                </w:tcPr>
                <w:p w14:paraId="08B6D02C">
                  <w:pPr>
                    <w:pStyle w:val="66"/>
                    <w:rPr>
                      <w:rFonts w:hint="default" w:ascii="Times New Roman" w:hAnsi="Times New Roman" w:cs="Times New Roman"/>
                    </w:rPr>
                  </w:pPr>
                </w:p>
              </w:tc>
              <w:tc>
                <w:tcPr>
                  <w:tcW w:w="708" w:type="dxa"/>
                  <w:noWrap/>
                  <w:vAlign w:val="center"/>
                </w:tcPr>
                <w:p w14:paraId="318FED7A">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-8</w:t>
                  </w:r>
                </w:p>
              </w:tc>
              <w:tc>
                <w:tcPr>
                  <w:tcW w:w="709" w:type="dxa"/>
                  <w:noWrap/>
                  <w:vAlign w:val="center"/>
                </w:tcPr>
                <w:p w14:paraId="1DE78ADE">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14</w:t>
                  </w:r>
                </w:p>
              </w:tc>
              <w:tc>
                <w:tcPr>
                  <w:tcW w:w="643" w:type="dxa"/>
                  <w:noWrap/>
                  <w:vAlign w:val="center"/>
                </w:tcPr>
                <w:p w14:paraId="21B8635D">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w:t>
                  </w:r>
                </w:p>
              </w:tc>
              <w:tc>
                <w:tcPr>
                  <w:tcW w:w="637" w:type="dxa"/>
                  <w:noWrap/>
                  <w:vAlign w:val="center"/>
                </w:tcPr>
                <w:p w14:paraId="3DAB79E7">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42</w:t>
                  </w:r>
                </w:p>
              </w:tc>
              <w:tc>
                <w:tcPr>
                  <w:tcW w:w="637" w:type="dxa"/>
                  <w:noWrap/>
                  <w:vAlign w:val="center"/>
                </w:tcPr>
                <w:p w14:paraId="251BE14D">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81</w:t>
                  </w:r>
                </w:p>
              </w:tc>
              <w:tc>
                <w:tcPr>
                  <w:tcW w:w="637" w:type="dxa"/>
                  <w:noWrap/>
                  <w:vAlign w:val="center"/>
                </w:tcPr>
                <w:p w14:paraId="059C92DA">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35</w:t>
                  </w:r>
                </w:p>
              </w:tc>
              <w:tc>
                <w:tcPr>
                  <w:tcW w:w="637" w:type="dxa"/>
                  <w:noWrap/>
                  <w:vAlign w:val="center"/>
                </w:tcPr>
                <w:p w14:paraId="1719F961">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12</w:t>
                  </w:r>
                </w:p>
              </w:tc>
              <w:tc>
                <w:tcPr>
                  <w:tcW w:w="637" w:type="dxa"/>
                  <w:noWrap/>
                  <w:vAlign w:val="center"/>
                </w:tcPr>
                <w:p w14:paraId="32453A68">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63.6</w:t>
                  </w:r>
                </w:p>
              </w:tc>
              <w:tc>
                <w:tcPr>
                  <w:tcW w:w="637" w:type="dxa"/>
                  <w:noWrap/>
                  <w:vAlign w:val="center"/>
                </w:tcPr>
                <w:p w14:paraId="594A624D">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63.5</w:t>
                  </w:r>
                </w:p>
              </w:tc>
              <w:tc>
                <w:tcPr>
                  <w:tcW w:w="637" w:type="dxa"/>
                  <w:noWrap/>
                  <w:vAlign w:val="center"/>
                </w:tcPr>
                <w:p w14:paraId="7CABE7B0">
                  <w:pPr>
                    <w:spacing w:line="240" w:lineRule="auto"/>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63.</w:t>
                  </w:r>
                  <w:r>
                    <w:rPr>
                      <w:rFonts w:hint="default" w:ascii="Times New Roman" w:hAnsi="Times New Roman" w:cs="Times New Roman"/>
                      <w:sz w:val="21"/>
                      <w:szCs w:val="21"/>
                      <w:lang w:val="en-US" w:eastAsia="zh-CN"/>
                    </w:rPr>
                    <w:t>6</w:t>
                  </w:r>
                </w:p>
              </w:tc>
              <w:tc>
                <w:tcPr>
                  <w:tcW w:w="637" w:type="dxa"/>
                  <w:noWrap/>
                  <w:vAlign w:val="center"/>
                </w:tcPr>
                <w:p w14:paraId="3171CEE0">
                  <w:pPr>
                    <w:spacing w:line="240" w:lineRule="auto"/>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6</w:t>
                  </w:r>
                  <w:r>
                    <w:rPr>
                      <w:rFonts w:hint="default" w:ascii="Times New Roman" w:hAnsi="Times New Roman" w:cs="Times New Roman"/>
                      <w:sz w:val="21"/>
                      <w:szCs w:val="21"/>
                      <w:lang w:val="en-US" w:eastAsia="zh-CN"/>
                    </w:rPr>
                    <w:t>3</w:t>
                  </w:r>
                  <w:r>
                    <w:rPr>
                      <w:rFonts w:hint="default" w:ascii="Times New Roman" w:hAnsi="Times New Roman" w:cs="Times New Roman"/>
                      <w:sz w:val="21"/>
                      <w:szCs w:val="21"/>
                    </w:rPr>
                    <w:cr/>
                  </w:r>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8</w:t>
                  </w:r>
                </w:p>
              </w:tc>
              <w:tc>
                <w:tcPr>
                  <w:tcW w:w="562" w:type="dxa"/>
                  <w:vMerge w:val="continue"/>
                  <w:noWrap w:val="0"/>
                  <w:vAlign w:val="center"/>
                </w:tcPr>
                <w:p w14:paraId="259CF1A4">
                  <w:pPr>
                    <w:pStyle w:val="66"/>
                    <w:rPr>
                      <w:rFonts w:hint="default" w:ascii="Times New Roman" w:hAnsi="Times New Roman" w:eastAsia="等线" w:cs="Times New Roman"/>
                    </w:rPr>
                  </w:pPr>
                </w:p>
              </w:tc>
              <w:tc>
                <w:tcPr>
                  <w:tcW w:w="811" w:type="dxa"/>
                  <w:vMerge w:val="continue"/>
                  <w:noWrap w:val="0"/>
                  <w:vAlign w:val="center"/>
                </w:tcPr>
                <w:p w14:paraId="5E1D4964">
                  <w:pPr>
                    <w:pStyle w:val="66"/>
                    <w:rPr>
                      <w:rFonts w:hint="default" w:ascii="Times New Roman" w:hAnsi="Times New Roman" w:eastAsia="等线" w:cs="Times New Roman"/>
                    </w:rPr>
                  </w:pPr>
                </w:p>
              </w:tc>
            </w:tr>
            <w:tr w14:paraId="6439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noWrap/>
                  <w:vAlign w:val="center"/>
                </w:tcPr>
                <w:p w14:paraId="75CD2586">
                  <w:pPr>
                    <w:pStyle w:val="66"/>
                    <w:rPr>
                      <w:rFonts w:hint="default" w:ascii="Times New Roman" w:hAnsi="Times New Roman" w:eastAsia="等线" w:cs="Times New Roman"/>
                    </w:rPr>
                  </w:pPr>
                  <w:r>
                    <w:rPr>
                      <w:rFonts w:hint="default" w:ascii="Times New Roman" w:hAnsi="Times New Roman" w:eastAsia="等线" w:cs="Times New Roman"/>
                    </w:rPr>
                    <w:t>4</w:t>
                  </w:r>
                </w:p>
              </w:tc>
              <w:tc>
                <w:tcPr>
                  <w:tcW w:w="823" w:type="dxa"/>
                  <w:noWrap w:val="0"/>
                  <w:vAlign w:val="center"/>
                </w:tcPr>
                <w:p w14:paraId="37BBB260">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数控机床</w:t>
                  </w:r>
                </w:p>
              </w:tc>
              <w:tc>
                <w:tcPr>
                  <w:tcW w:w="559" w:type="dxa"/>
                  <w:noWrap w:val="0"/>
                  <w:vAlign w:val="center"/>
                </w:tcPr>
                <w:p w14:paraId="635632C7">
                  <w:pPr>
                    <w:pStyle w:val="66"/>
                    <w:rPr>
                      <w:rFonts w:hint="eastAsia" w:ascii="Times New Roman" w:hAnsi="Times New Roman" w:eastAsia="等线" w:cs="Times New Roman"/>
                      <w:lang w:val="en-US" w:eastAsia="zh-CN"/>
                    </w:rPr>
                  </w:pPr>
                  <w:r>
                    <w:rPr>
                      <w:rFonts w:hint="eastAsia" w:eastAsia="等线" w:cs="Times New Roman"/>
                      <w:lang w:val="en-US" w:eastAsia="zh-CN"/>
                    </w:rPr>
                    <w:t>4</w:t>
                  </w:r>
                </w:p>
              </w:tc>
              <w:tc>
                <w:tcPr>
                  <w:tcW w:w="811" w:type="dxa"/>
                  <w:vMerge w:val="continue"/>
                  <w:noWrap/>
                  <w:vAlign w:val="center"/>
                </w:tcPr>
                <w:p w14:paraId="1D897370">
                  <w:pPr>
                    <w:pStyle w:val="66"/>
                    <w:rPr>
                      <w:rFonts w:hint="default" w:ascii="Times New Roman" w:hAnsi="Times New Roman" w:eastAsia="等线" w:cs="Times New Roman"/>
                    </w:rPr>
                  </w:pPr>
                </w:p>
              </w:tc>
              <w:tc>
                <w:tcPr>
                  <w:tcW w:w="670" w:type="dxa"/>
                  <w:vMerge w:val="continue"/>
                  <w:noWrap w:val="0"/>
                  <w:vAlign w:val="center"/>
                </w:tcPr>
                <w:p w14:paraId="79F2DD55">
                  <w:pPr>
                    <w:pStyle w:val="66"/>
                    <w:rPr>
                      <w:rFonts w:hint="default" w:ascii="Times New Roman" w:hAnsi="Times New Roman" w:cs="Times New Roman"/>
                    </w:rPr>
                  </w:pPr>
                </w:p>
              </w:tc>
              <w:tc>
                <w:tcPr>
                  <w:tcW w:w="708" w:type="dxa"/>
                  <w:noWrap/>
                  <w:vAlign w:val="center"/>
                </w:tcPr>
                <w:p w14:paraId="301218BE">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8</w:t>
                  </w:r>
                </w:p>
              </w:tc>
              <w:tc>
                <w:tcPr>
                  <w:tcW w:w="709" w:type="dxa"/>
                  <w:noWrap/>
                  <w:vAlign w:val="center"/>
                </w:tcPr>
                <w:p w14:paraId="4E367D6B">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10</w:t>
                  </w:r>
                </w:p>
              </w:tc>
              <w:tc>
                <w:tcPr>
                  <w:tcW w:w="643" w:type="dxa"/>
                  <w:noWrap/>
                  <w:vAlign w:val="center"/>
                </w:tcPr>
                <w:p w14:paraId="5B9FE383">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w:t>
                  </w:r>
                </w:p>
              </w:tc>
              <w:tc>
                <w:tcPr>
                  <w:tcW w:w="637" w:type="dxa"/>
                  <w:noWrap/>
                  <w:vAlign w:val="center"/>
                </w:tcPr>
                <w:p w14:paraId="1C40A3FA">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24</w:t>
                  </w:r>
                </w:p>
              </w:tc>
              <w:tc>
                <w:tcPr>
                  <w:tcW w:w="637" w:type="dxa"/>
                  <w:noWrap/>
                  <w:vAlign w:val="center"/>
                </w:tcPr>
                <w:p w14:paraId="29CC08B9">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64</w:t>
                  </w:r>
                </w:p>
              </w:tc>
              <w:tc>
                <w:tcPr>
                  <w:tcW w:w="637" w:type="dxa"/>
                  <w:noWrap/>
                  <w:vAlign w:val="center"/>
                </w:tcPr>
                <w:p w14:paraId="15C710B9">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25</w:t>
                  </w:r>
                </w:p>
              </w:tc>
              <w:tc>
                <w:tcPr>
                  <w:tcW w:w="637" w:type="dxa"/>
                  <w:noWrap/>
                  <w:vAlign w:val="center"/>
                </w:tcPr>
                <w:p w14:paraId="115222DD">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20</w:t>
                  </w:r>
                </w:p>
              </w:tc>
              <w:tc>
                <w:tcPr>
                  <w:tcW w:w="637" w:type="dxa"/>
                  <w:noWrap/>
                  <w:vAlign w:val="center"/>
                </w:tcPr>
                <w:p w14:paraId="26033904">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63.6</w:t>
                  </w:r>
                </w:p>
              </w:tc>
              <w:tc>
                <w:tcPr>
                  <w:tcW w:w="637" w:type="dxa"/>
                  <w:noWrap/>
                  <w:vAlign w:val="center"/>
                </w:tcPr>
                <w:p w14:paraId="1F0192BD">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63.5</w:t>
                  </w:r>
                </w:p>
              </w:tc>
              <w:tc>
                <w:tcPr>
                  <w:tcW w:w="637" w:type="dxa"/>
                  <w:noWrap/>
                  <w:vAlign w:val="center"/>
                </w:tcPr>
                <w:p w14:paraId="426701E6">
                  <w:pPr>
                    <w:spacing w:line="240" w:lineRule="auto"/>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63.</w:t>
                  </w:r>
                  <w:r>
                    <w:rPr>
                      <w:rFonts w:hint="default" w:ascii="Times New Roman" w:hAnsi="Times New Roman" w:cs="Times New Roman"/>
                      <w:sz w:val="21"/>
                      <w:szCs w:val="21"/>
                      <w:lang w:val="en-US" w:eastAsia="zh-CN"/>
                    </w:rPr>
                    <w:t>6</w:t>
                  </w:r>
                </w:p>
              </w:tc>
              <w:tc>
                <w:tcPr>
                  <w:tcW w:w="637" w:type="dxa"/>
                  <w:noWrap/>
                  <w:vAlign w:val="center"/>
                </w:tcPr>
                <w:p w14:paraId="0E035E25">
                  <w:pPr>
                    <w:spacing w:line="240" w:lineRule="auto"/>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63.</w:t>
                  </w:r>
                  <w:r>
                    <w:rPr>
                      <w:rFonts w:hint="default" w:ascii="Times New Roman" w:hAnsi="Times New Roman" w:cs="Times New Roman"/>
                      <w:sz w:val="21"/>
                      <w:szCs w:val="21"/>
                      <w:lang w:val="en-US" w:eastAsia="zh-CN"/>
                    </w:rPr>
                    <w:t>8</w:t>
                  </w:r>
                </w:p>
              </w:tc>
              <w:tc>
                <w:tcPr>
                  <w:tcW w:w="562" w:type="dxa"/>
                  <w:vMerge w:val="continue"/>
                  <w:noWrap w:val="0"/>
                  <w:vAlign w:val="center"/>
                </w:tcPr>
                <w:p w14:paraId="4B5B40BA">
                  <w:pPr>
                    <w:pStyle w:val="66"/>
                    <w:rPr>
                      <w:rFonts w:hint="default" w:ascii="Times New Roman" w:hAnsi="Times New Roman" w:eastAsia="等线" w:cs="Times New Roman"/>
                    </w:rPr>
                  </w:pPr>
                </w:p>
              </w:tc>
              <w:tc>
                <w:tcPr>
                  <w:tcW w:w="811" w:type="dxa"/>
                  <w:vMerge w:val="continue"/>
                  <w:noWrap w:val="0"/>
                  <w:vAlign w:val="center"/>
                </w:tcPr>
                <w:p w14:paraId="14150CBC">
                  <w:pPr>
                    <w:pStyle w:val="66"/>
                    <w:rPr>
                      <w:rFonts w:hint="default" w:ascii="Times New Roman" w:hAnsi="Times New Roman" w:eastAsia="等线" w:cs="Times New Roman"/>
                    </w:rPr>
                  </w:pPr>
                </w:p>
              </w:tc>
            </w:tr>
            <w:tr w14:paraId="53EE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3" w:type="dxa"/>
                  <w:noWrap/>
                  <w:vAlign w:val="center"/>
                </w:tcPr>
                <w:p w14:paraId="59EFB390">
                  <w:pPr>
                    <w:pStyle w:val="66"/>
                    <w:rPr>
                      <w:rFonts w:hint="default" w:ascii="Times New Roman" w:hAnsi="Times New Roman" w:eastAsia="等线" w:cs="Times New Roman"/>
                    </w:rPr>
                  </w:pPr>
                  <w:r>
                    <w:rPr>
                      <w:rFonts w:hint="default" w:ascii="Times New Roman" w:hAnsi="Times New Roman" w:eastAsia="等线" w:cs="Times New Roman"/>
                    </w:rPr>
                    <w:t>5</w:t>
                  </w:r>
                </w:p>
              </w:tc>
              <w:tc>
                <w:tcPr>
                  <w:tcW w:w="823" w:type="dxa"/>
                  <w:noWrap w:val="0"/>
                  <w:vAlign w:val="center"/>
                </w:tcPr>
                <w:p w14:paraId="4281E503">
                  <w:pPr>
                    <w:pStyle w:val="66"/>
                    <w:rPr>
                      <w:rFonts w:hint="default" w:ascii="Times New Roman" w:hAnsi="Times New Roman" w:eastAsia="宋体" w:cs="Times New Roman"/>
                      <w:lang w:val="en-US" w:eastAsia="zh-CN"/>
                    </w:rPr>
                  </w:pPr>
                  <w:r>
                    <w:rPr>
                      <w:rFonts w:hint="default" w:ascii="Times New Roman" w:hAnsi="Times New Roman" w:cs="Times New Roman"/>
                      <w:lang w:val="en-US" w:eastAsia="zh-CN"/>
                    </w:rPr>
                    <w:t>普通车床</w:t>
                  </w:r>
                </w:p>
              </w:tc>
              <w:tc>
                <w:tcPr>
                  <w:tcW w:w="559" w:type="dxa"/>
                  <w:noWrap w:val="0"/>
                  <w:vAlign w:val="center"/>
                </w:tcPr>
                <w:p w14:paraId="61BBF86D">
                  <w:pPr>
                    <w:pStyle w:val="66"/>
                    <w:rPr>
                      <w:rFonts w:hint="eastAsia" w:ascii="Times New Roman" w:hAnsi="Times New Roman" w:eastAsia="等线" w:cs="Times New Roman"/>
                      <w:lang w:val="en-US" w:eastAsia="zh-CN"/>
                    </w:rPr>
                  </w:pPr>
                  <w:r>
                    <w:rPr>
                      <w:rFonts w:hint="eastAsia" w:eastAsia="等线" w:cs="Times New Roman"/>
                      <w:lang w:val="en-US" w:eastAsia="zh-CN"/>
                    </w:rPr>
                    <w:t>3</w:t>
                  </w:r>
                </w:p>
              </w:tc>
              <w:tc>
                <w:tcPr>
                  <w:tcW w:w="811" w:type="dxa"/>
                  <w:vMerge w:val="continue"/>
                  <w:noWrap/>
                  <w:vAlign w:val="center"/>
                </w:tcPr>
                <w:p w14:paraId="53C6B33C">
                  <w:pPr>
                    <w:pStyle w:val="66"/>
                    <w:rPr>
                      <w:rFonts w:hint="default" w:ascii="Times New Roman" w:hAnsi="Times New Roman" w:eastAsia="等线" w:cs="Times New Roman"/>
                    </w:rPr>
                  </w:pPr>
                </w:p>
              </w:tc>
              <w:tc>
                <w:tcPr>
                  <w:tcW w:w="670" w:type="dxa"/>
                  <w:vMerge w:val="continue"/>
                  <w:noWrap w:val="0"/>
                  <w:vAlign w:val="center"/>
                </w:tcPr>
                <w:p w14:paraId="3B1F7909">
                  <w:pPr>
                    <w:pStyle w:val="66"/>
                    <w:rPr>
                      <w:rFonts w:hint="default" w:ascii="Times New Roman" w:hAnsi="Times New Roman" w:cs="Times New Roman"/>
                    </w:rPr>
                  </w:pPr>
                </w:p>
              </w:tc>
              <w:tc>
                <w:tcPr>
                  <w:tcW w:w="708" w:type="dxa"/>
                  <w:noWrap/>
                  <w:vAlign w:val="center"/>
                </w:tcPr>
                <w:p w14:paraId="2B80E7B4">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6</w:t>
                  </w:r>
                </w:p>
              </w:tc>
              <w:tc>
                <w:tcPr>
                  <w:tcW w:w="709" w:type="dxa"/>
                  <w:noWrap/>
                  <w:vAlign w:val="center"/>
                </w:tcPr>
                <w:p w14:paraId="5FDBF221">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5</w:t>
                  </w:r>
                </w:p>
              </w:tc>
              <w:tc>
                <w:tcPr>
                  <w:tcW w:w="643" w:type="dxa"/>
                  <w:noWrap/>
                  <w:vAlign w:val="center"/>
                </w:tcPr>
                <w:p w14:paraId="6615B3DC">
                  <w:pPr>
                    <w:pStyle w:val="66"/>
                    <w:rPr>
                      <w:rFonts w:hint="default" w:ascii="Times New Roman" w:hAnsi="Times New Roman" w:eastAsia="等线" w:cs="Times New Roman"/>
                    </w:rPr>
                  </w:pPr>
                  <w:r>
                    <w:rPr>
                      <w:rFonts w:hint="default" w:ascii="Times New Roman" w:hAnsi="Times New Roman" w:eastAsia="等线" w:cs="Times New Roman"/>
                    </w:rPr>
                    <w:t>2</w:t>
                  </w:r>
                </w:p>
              </w:tc>
              <w:tc>
                <w:tcPr>
                  <w:tcW w:w="637" w:type="dxa"/>
                  <w:noWrap/>
                  <w:vAlign w:val="center"/>
                </w:tcPr>
                <w:p w14:paraId="1ACDDE4F">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22</w:t>
                  </w:r>
                </w:p>
              </w:tc>
              <w:tc>
                <w:tcPr>
                  <w:tcW w:w="637" w:type="dxa"/>
                  <w:noWrap/>
                  <w:vAlign w:val="center"/>
                </w:tcPr>
                <w:p w14:paraId="5DC1B4F0">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59</w:t>
                  </w:r>
                </w:p>
              </w:tc>
              <w:tc>
                <w:tcPr>
                  <w:tcW w:w="637" w:type="dxa"/>
                  <w:noWrap/>
                  <w:vAlign w:val="center"/>
                </w:tcPr>
                <w:p w14:paraId="41F910CA">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27</w:t>
                  </w:r>
                </w:p>
              </w:tc>
              <w:tc>
                <w:tcPr>
                  <w:tcW w:w="637" w:type="dxa"/>
                  <w:noWrap/>
                  <w:vAlign w:val="center"/>
                </w:tcPr>
                <w:p w14:paraId="3C7166C9">
                  <w:pPr>
                    <w:pStyle w:val="66"/>
                    <w:rPr>
                      <w:rFonts w:hint="default" w:ascii="Times New Roman" w:hAnsi="Times New Roman" w:eastAsia="等线" w:cs="Times New Roman"/>
                      <w:lang w:val="en-US" w:eastAsia="zh-CN"/>
                    </w:rPr>
                  </w:pPr>
                  <w:r>
                    <w:rPr>
                      <w:rFonts w:hint="default" w:ascii="Times New Roman" w:hAnsi="Times New Roman" w:eastAsia="等线" w:cs="Times New Roman"/>
                      <w:lang w:val="en-US" w:eastAsia="zh-CN"/>
                    </w:rPr>
                    <w:t>25</w:t>
                  </w:r>
                </w:p>
              </w:tc>
              <w:tc>
                <w:tcPr>
                  <w:tcW w:w="637" w:type="dxa"/>
                  <w:noWrap/>
                  <w:vAlign w:val="center"/>
                </w:tcPr>
                <w:p w14:paraId="05BD137D">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63.5</w:t>
                  </w:r>
                </w:p>
              </w:tc>
              <w:tc>
                <w:tcPr>
                  <w:tcW w:w="637" w:type="dxa"/>
                  <w:noWrap/>
                  <w:vAlign w:val="center"/>
                </w:tcPr>
                <w:p w14:paraId="120077BE">
                  <w:pPr>
                    <w:spacing w:line="240" w:lineRule="auto"/>
                    <w:jc w:val="center"/>
                    <w:rPr>
                      <w:rFonts w:hint="default" w:ascii="Times New Roman" w:hAnsi="Times New Roman" w:cs="Times New Roman"/>
                      <w:sz w:val="21"/>
                      <w:szCs w:val="21"/>
                    </w:rPr>
                  </w:pPr>
                  <w:r>
                    <w:rPr>
                      <w:rFonts w:hint="default" w:ascii="Times New Roman" w:hAnsi="Times New Roman" w:cs="Times New Roman"/>
                      <w:sz w:val="21"/>
                      <w:szCs w:val="21"/>
                    </w:rPr>
                    <w:t>63.5</w:t>
                  </w:r>
                </w:p>
              </w:tc>
              <w:tc>
                <w:tcPr>
                  <w:tcW w:w="637" w:type="dxa"/>
                  <w:noWrap/>
                  <w:vAlign w:val="center"/>
                </w:tcPr>
                <w:p w14:paraId="022C74AA">
                  <w:pPr>
                    <w:spacing w:line="240" w:lineRule="auto"/>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63.</w:t>
                  </w:r>
                  <w:r>
                    <w:rPr>
                      <w:rFonts w:hint="default" w:ascii="Times New Roman" w:hAnsi="Times New Roman" w:cs="Times New Roman"/>
                      <w:sz w:val="21"/>
                      <w:szCs w:val="21"/>
                      <w:lang w:val="en-US" w:eastAsia="zh-CN"/>
                    </w:rPr>
                    <w:t>6</w:t>
                  </w:r>
                </w:p>
              </w:tc>
              <w:tc>
                <w:tcPr>
                  <w:tcW w:w="637" w:type="dxa"/>
                  <w:noWrap/>
                  <w:vAlign w:val="center"/>
                </w:tcPr>
                <w:p w14:paraId="4265392D">
                  <w:pPr>
                    <w:spacing w:line="240" w:lineRule="auto"/>
                    <w:jc w:val="center"/>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6</w:t>
                  </w:r>
                  <w:r>
                    <w:rPr>
                      <w:rFonts w:hint="default" w:ascii="Times New Roman" w:hAnsi="Times New Roman" w:cs="Times New Roman"/>
                      <w:sz w:val="21"/>
                      <w:szCs w:val="21"/>
                      <w:lang w:val="en-US" w:eastAsia="zh-CN"/>
                    </w:rPr>
                    <w:t>3</w:t>
                  </w:r>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8</w:t>
                  </w:r>
                </w:p>
              </w:tc>
              <w:tc>
                <w:tcPr>
                  <w:tcW w:w="562" w:type="dxa"/>
                  <w:vMerge w:val="continue"/>
                  <w:noWrap w:val="0"/>
                  <w:vAlign w:val="center"/>
                </w:tcPr>
                <w:p w14:paraId="37E110A3">
                  <w:pPr>
                    <w:pStyle w:val="66"/>
                    <w:rPr>
                      <w:rFonts w:hint="default" w:ascii="Times New Roman" w:hAnsi="Times New Roman" w:eastAsia="等线" w:cs="Times New Roman"/>
                    </w:rPr>
                  </w:pPr>
                </w:p>
              </w:tc>
              <w:tc>
                <w:tcPr>
                  <w:tcW w:w="811" w:type="dxa"/>
                  <w:vMerge w:val="continue"/>
                  <w:noWrap w:val="0"/>
                  <w:vAlign w:val="center"/>
                </w:tcPr>
                <w:p w14:paraId="04FBF19D">
                  <w:pPr>
                    <w:pStyle w:val="66"/>
                    <w:rPr>
                      <w:rFonts w:hint="default" w:ascii="Times New Roman" w:hAnsi="Times New Roman" w:eastAsia="等线" w:cs="Times New Roman"/>
                    </w:rPr>
                  </w:pPr>
                </w:p>
              </w:tc>
            </w:tr>
          </w:tbl>
          <w:p w14:paraId="38797698">
            <w:pPr>
              <w:pStyle w:val="71"/>
              <w:jc w:val="both"/>
            </w:pPr>
            <w:r>
              <w:t>注：空间相对位置为以</w:t>
            </w:r>
            <w:r>
              <w:rPr>
                <w:rFonts w:hint="eastAsia"/>
              </w:rPr>
              <w:t>各自车间一层</w:t>
            </w:r>
            <w:r>
              <w:t>中心点地面为原点（0，0，0）的相对坐标。</w:t>
            </w:r>
          </w:p>
          <w:p w14:paraId="55B00DAD">
            <w:pPr>
              <w:pStyle w:val="61"/>
              <w:rPr>
                <w:rFonts w:hint="eastAsia"/>
                <w:b/>
              </w:rPr>
            </w:pPr>
          </w:p>
          <w:p w14:paraId="011391DE">
            <w:pPr>
              <w:pStyle w:val="63"/>
              <w:rPr>
                <w:rFonts w:hint="eastAsia"/>
                <w:b/>
              </w:rPr>
            </w:pPr>
          </w:p>
          <w:p w14:paraId="5F5C1F45">
            <w:pPr>
              <w:jc w:val="center"/>
              <w:rPr>
                <w:rFonts w:hint="default" w:ascii="Times New Roman" w:hAnsi="Times New Roman" w:cs="Times New Roman"/>
                <w:b/>
                <w:lang w:val="en-US" w:eastAsia="zh-CN"/>
              </w:rPr>
            </w:pPr>
            <w:r>
              <w:rPr>
                <w:rFonts w:hint="default" w:ascii="Times New Roman" w:hAnsi="Times New Roman" w:cs="Times New Roman"/>
                <w:b/>
                <w:lang w:val="en-US" w:eastAsia="zh-CN"/>
              </w:rPr>
              <w:t>表4-22 工业企业噪声源强调查表（室外声源）</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90"/>
              <w:gridCol w:w="1290"/>
              <w:gridCol w:w="513"/>
              <w:gridCol w:w="1140"/>
              <w:gridCol w:w="416"/>
              <w:gridCol w:w="1766"/>
              <w:gridCol w:w="1824"/>
              <w:gridCol w:w="2585"/>
              <w:gridCol w:w="1290"/>
            </w:tblGrid>
            <w:tr w14:paraId="437F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0" w:hRule="atLeast"/>
                <w:jc w:val="center"/>
              </w:trPr>
              <w:tc>
                <w:tcPr>
                  <w:tcW w:w="0" w:type="auto"/>
                  <w:vMerge w:val="restart"/>
                  <w:shd w:val="clear" w:color="auto" w:fill="auto"/>
                  <w:noWrap/>
                  <w:vAlign w:val="center"/>
                </w:tcPr>
                <w:p w14:paraId="0AA3A033">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声源名称</w:t>
                  </w:r>
                </w:p>
              </w:tc>
              <w:tc>
                <w:tcPr>
                  <w:tcW w:w="0" w:type="auto"/>
                  <w:vMerge w:val="restart"/>
                  <w:shd w:val="clear" w:color="auto" w:fill="auto"/>
                  <w:noWrap/>
                  <w:vAlign w:val="center"/>
                </w:tcPr>
                <w:p w14:paraId="05D03986">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设备数量</w:t>
                  </w:r>
                </w:p>
              </w:tc>
              <w:tc>
                <w:tcPr>
                  <w:tcW w:w="0" w:type="auto"/>
                  <w:gridSpan w:val="3"/>
                  <w:shd w:val="clear" w:color="auto" w:fill="auto"/>
                  <w:noWrap/>
                  <w:vAlign w:val="center"/>
                </w:tcPr>
                <w:p w14:paraId="3FC2C801">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空间相对位置/m</w:t>
                  </w:r>
                </w:p>
              </w:tc>
              <w:tc>
                <w:tcPr>
                  <w:tcW w:w="0" w:type="auto"/>
                  <w:gridSpan w:val="2"/>
                  <w:shd w:val="clear" w:color="auto" w:fill="auto"/>
                  <w:noWrap/>
                  <w:vAlign w:val="center"/>
                </w:tcPr>
                <w:p w14:paraId="11588750">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声源源强</w:t>
                  </w:r>
                </w:p>
              </w:tc>
              <w:tc>
                <w:tcPr>
                  <w:tcW w:w="0" w:type="auto"/>
                  <w:vMerge w:val="restart"/>
                  <w:shd w:val="clear" w:color="auto" w:fill="auto"/>
                  <w:noWrap/>
                  <w:vAlign w:val="center"/>
                </w:tcPr>
                <w:p w14:paraId="14819BC0">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声源控制措施</w:t>
                  </w:r>
                </w:p>
              </w:tc>
              <w:tc>
                <w:tcPr>
                  <w:tcW w:w="0" w:type="auto"/>
                  <w:vMerge w:val="restart"/>
                  <w:shd w:val="clear" w:color="auto" w:fill="auto"/>
                  <w:noWrap/>
                  <w:vAlign w:val="center"/>
                </w:tcPr>
                <w:p w14:paraId="27982296">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运行时段</w:t>
                  </w:r>
                </w:p>
              </w:tc>
            </w:tr>
            <w:tr w14:paraId="1FEA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0" w:type="auto"/>
                  <w:vMerge w:val="continue"/>
                  <w:shd w:val="clear" w:color="auto" w:fill="D3D3D3"/>
                  <w:noWrap/>
                  <w:vAlign w:val="center"/>
                </w:tcPr>
                <w:p w14:paraId="396D9C22">
                  <w:pPr>
                    <w:jc w:val="center"/>
                    <w:rPr>
                      <w:rFonts w:hint="default" w:ascii="Times New Roman" w:hAnsi="Times New Roman" w:cs="Times New Roman"/>
                      <w:b w:val="0"/>
                      <w:bCs w:val="0"/>
                      <w:i w:val="0"/>
                      <w:iCs w:val="0"/>
                      <w:color w:val="auto"/>
                      <w:sz w:val="22"/>
                      <w:szCs w:val="22"/>
                      <w:highlight w:val="none"/>
                      <w:u w:val="none"/>
                    </w:rPr>
                  </w:pPr>
                </w:p>
              </w:tc>
              <w:tc>
                <w:tcPr>
                  <w:tcW w:w="0" w:type="auto"/>
                  <w:vMerge w:val="continue"/>
                  <w:shd w:val="clear" w:color="auto" w:fill="D3D3D3"/>
                  <w:noWrap/>
                  <w:vAlign w:val="center"/>
                </w:tcPr>
                <w:p w14:paraId="54601D9F">
                  <w:pPr>
                    <w:jc w:val="center"/>
                    <w:rPr>
                      <w:rFonts w:hint="default" w:ascii="Times New Roman" w:hAnsi="Times New Roman" w:cs="Times New Roman"/>
                      <w:b w:val="0"/>
                      <w:bCs w:val="0"/>
                      <w:i w:val="0"/>
                      <w:iCs w:val="0"/>
                      <w:color w:val="auto"/>
                      <w:sz w:val="22"/>
                      <w:szCs w:val="22"/>
                      <w:highlight w:val="none"/>
                      <w:u w:val="none"/>
                    </w:rPr>
                  </w:pPr>
                </w:p>
              </w:tc>
              <w:tc>
                <w:tcPr>
                  <w:tcW w:w="0" w:type="auto"/>
                  <w:shd w:val="clear" w:color="auto" w:fill="auto"/>
                  <w:noWrap/>
                  <w:vAlign w:val="center"/>
                </w:tcPr>
                <w:p w14:paraId="69FA6B14">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X</w:t>
                  </w:r>
                </w:p>
              </w:tc>
              <w:tc>
                <w:tcPr>
                  <w:tcW w:w="1139" w:type="dxa"/>
                  <w:shd w:val="clear" w:color="auto" w:fill="auto"/>
                  <w:noWrap/>
                  <w:vAlign w:val="center"/>
                </w:tcPr>
                <w:p w14:paraId="38F4EBF9">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Y</w:t>
                  </w:r>
                </w:p>
              </w:tc>
              <w:tc>
                <w:tcPr>
                  <w:tcW w:w="416" w:type="dxa"/>
                  <w:shd w:val="clear" w:color="auto" w:fill="auto"/>
                  <w:noWrap/>
                  <w:vAlign w:val="center"/>
                </w:tcPr>
                <w:p w14:paraId="0A3172EC">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Z</w:t>
                  </w:r>
                </w:p>
              </w:tc>
              <w:tc>
                <w:tcPr>
                  <w:tcW w:w="0" w:type="auto"/>
                  <w:shd w:val="clear" w:color="auto" w:fill="auto"/>
                  <w:noWrap/>
                  <w:vAlign w:val="center"/>
                </w:tcPr>
                <w:p w14:paraId="2BF814F2">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声压级/dB(A)</w:t>
                  </w:r>
                </w:p>
              </w:tc>
              <w:tc>
                <w:tcPr>
                  <w:tcW w:w="0" w:type="auto"/>
                  <w:shd w:val="clear" w:color="auto" w:fill="auto"/>
                  <w:noWrap/>
                  <w:vAlign w:val="center"/>
                </w:tcPr>
                <w:p w14:paraId="1581DD7D">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距声源距离/m</w:t>
                  </w:r>
                </w:p>
              </w:tc>
              <w:tc>
                <w:tcPr>
                  <w:tcW w:w="0" w:type="auto"/>
                  <w:vMerge w:val="continue"/>
                  <w:shd w:val="clear" w:color="auto" w:fill="D3D3D3"/>
                  <w:noWrap/>
                  <w:vAlign w:val="center"/>
                </w:tcPr>
                <w:p w14:paraId="122A78F7">
                  <w:pPr>
                    <w:jc w:val="center"/>
                    <w:rPr>
                      <w:rFonts w:hint="default" w:ascii="Times New Roman" w:hAnsi="Times New Roman" w:cs="Times New Roman"/>
                      <w:b w:val="0"/>
                      <w:bCs w:val="0"/>
                      <w:i w:val="0"/>
                      <w:iCs w:val="0"/>
                      <w:color w:val="auto"/>
                      <w:sz w:val="22"/>
                      <w:szCs w:val="22"/>
                      <w:highlight w:val="none"/>
                      <w:u w:val="none"/>
                    </w:rPr>
                  </w:pPr>
                </w:p>
              </w:tc>
              <w:tc>
                <w:tcPr>
                  <w:tcW w:w="0" w:type="auto"/>
                  <w:vMerge w:val="continue"/>
                  <w:shd w:val="clear" w:color="auto" w:fill="D3D3D3"/>
                  <w:noWrap/>
                  <w:vAlign w:val="center"/>
                </w:tcPr>
                <w:p w14:paraId="72B39C16">
                  <w:pPr>
                    <w:jc w:val="center"/>
                    <w:rPr>
                      <w:rFonts w:hint="default" w:ascii="Times New Roman" w:hAnsi="Times New Roman" w:cs="Times New Roman"/>
                      <w:b w:val="0"/>
                      <w:bCs w:val="0"/>
                      <w:i w:val="0"/>
                      <w:iCs w:val="0"/>
                      <w:color w:val="auto"/>
                      <w:sz w:val="22"/>
                      <w:szCs w:val="22"/>
                      <w:highlight w:val="none"/>
                      <w:u w:val="none"/>
                    </w:rPr>
                  </w:pPr>
                </w:p>
              </w:tc>
            </w:tr>
            <w:tr w14:paraId="653D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0" w:type="auto"/>
                  <w:shd w:val="clear" w:color="auto" w:fill="auto"/>
                  <w:noWrap/>
                  <w:vAlign w:val="center"/>
                </w:tcPr>
                <w:p w14:paraId="62AB4544">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风机</w:t>
                  </w:r>
                </w:p>
              </w:tc>
              <w:tc>
                <w:tcPr>
                  <w:tcW w:w="0" w:type="auto"/>
                  <w:shd w:val="clear" w:color="auto" w:fill="auto"/>
                  <w:noWrap/>
                  <w:vAlign w:val="center"/>
                </w:tcPr>
                <w:p w14:paraId="4E86DF43">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2</w:t>
                  </w:r>
                </w:p>
              </w:tc>
              <w:tc>
                <w:tcPr>
                  <w:tcW w:w="0" w:type="auto"/>
                  <w:shd w:val="clear" w:color="auto" w:fill="auto"/>
                  <w:noWrap/>
                  <w:vAlign w:val="center"/>
                </w:tcPr>
                <w:p w14:paraId="55D86487">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sz w:val="22"/>
                      <w:szCs w:val="22"/>
                      <w:highlight w:val="none"/>
                      <w:u w:val="none"/>
                      <w:lang w:val="en-US" w:eastAsia="zh-CN"/>
                    </w:rPr>
                  </w:pPr>
                  <w:r>
                    <w:rPr>
                      <w:rFonts w:hint="eastAsia" w:ascii="Times New Roman" w:hAnsi="Times New Roman" w:cs="Times New Roman"/>
                      <w:b w:val="0"/>
                      <w:bCs w:val="0"/>
                      <w:i w:val="0"/>
                      <w:iCs w:val="0"/>
                      <w:color w:val="auto"/>
                      <w:sz w:val="22"/>
                      <w:szCs w:val="22"/>
                      <w:highlight w:val="none"/>
                      <w:u w:val="none"/>
                      <w:lang w:val="en-US" w:eastAsia="zh-CN"/>
                    </w:rPr>
                    <w:t>20</w:t>
                  </w:r>
                </w:p>
              </w:tc>
              <w:tc>
                <w:tcPr>
                  <w:tcW w:w="1139" w:type="dxa"/>
                  <w:shd w:val="clear" w:color="auto" w:fill="auto"/>
                  <w:noWrap/>
                  <w:vAlign w:val="center"/>
                </w:tcPr>
                <w:p w14:paraId="551BA260">
                  <w:pPr>
                    <w:keepNext w:val="0"/>
                    <w:keepLines w:val="0"/>
                    <w:widowControl/>
                    <w:suppressLineNumbers w:val="0"/>
                    <w:jc w:val="center"/>
                    <w:textAlignment w:val="center"/>
                    <w:rPr>
                      <w:rFonts w:hint="eastAsia" w:ascii="Times New Roman" w:hAnsi="Times New Roman" w:cs="Times New Roman" w:eastAsiaTheme="minorEastAsia"/>
                      <w:b w:val="0"/>
                      <w:bCs w:val="0"/>
                      <w:i w:val="0"/>
                      <w:iCs w:val="0"/>
                      <w:color w:val="auto"/>
                      <w:sz w:val="22"/>
                      <w:szCs w:val="22"/>
                      <w:highlight w:val="none"/>
                      <w:u w:val="none"/>
                      <w:lang w:val="en-US" w:eastAsia="zh-CN"/>
                    </w:rPr>
                  </w:pPr>
                  <w:r>
                    <w:rPr>
                      <w:rFonts w:hint="eastAsia" w:ascii="Times New Roman" w:hAnsi="Times New Roman" w:cs="Times New Roman"/>
                      <w:b w:val="0"/>
                      <w:bCs w:val="0"/>
                      <w:i w:val="0"/>
                      <w:iCs w:val="0"/>
                      <w:color w:val="auto"/>
                      <w:sz w:val="22"/>
                      <w:szCs w:val="22"/>
                      <w:highlight w:val="none"/>
                      <w:u w:val="none"/>
                      <w:lang w:val="en-US" w:eastAsia="zh-CN"/>
                    </w:rPr>
                    <w:t>8</w:t>
                  </w:r>
                </w:p>
              </w:tc>
              <w:tc>
                <w:tcPr>
                  <w:tcW w:w="416" w:type="dxa"/>
                  <w:shd w:val="clear" w:color="auto" w:fill="auto"/>
                  <w:noWrap/>
                  <w:vAlign w:val="center"/>
                </w:tcPr>
                <w:p w14:paraId="163D1CD6">
                  <w:pPr>
                    <w:keepNext w:val="0"/>
                    <w:keepLines w:val="0"/>
                    <w:widowControl/>
                    <w:suppressLineNumbers w:val="0"/>
                    <w:jc w:val="center"/>
                    <w:textAlignment w:val="center"/>
                    <w:rPr>
                      <w:rFonts w:hint="eastAsia" w:ascii="Times New Roman" w:hAnsi="Times New Roman" w:cs="Times New Roman" w:eastAsiaTheme="minorEastAsia"/>
                      <w:b w:val="0"/>
                      <w:bCs w:val="0"/>
                      <w:i w:val="0"/>
                      <w:iCs w:val="0"/>
                      <w:color w:val="auto"/>
                      <w:sz w:val="22"/>
                      <w:szCs w:val="22"/>
                      <w:highlight w:val="none"/>
                      <w:u w:val="none"/>
                      <w:lang w:val="en-US" w:eastAsia="zh-CN"/>
                    </w:rPr>
                  </w:pPr>
                  <w:r>
                    <w:rPr>
                      <w:rFonts w:hint="eastAsia" w:ascii="Times New Roman" w:hAnsi="Times New Roman" w:cs="Times New Roman"/>
                      <w:b w:val="0"/>
                      <w:bCs w:val="0"/>
                      <w:i w:val="0"/>
                      <w:iCs w:val="0"/>
                      <w:color w:val="auto"/>
                      <w:sz w:val="22"/>
                      <w:szCs w:val="22"/>
                      <w:highlight w:val="none"/>
                      <w:u w:val="none"/>
                      <w:lang w:val="en-US" w:eastAsia="zh-CN"/>
                    </w:rPr>
                    <w:t>2</w:t>
                  </w:r>
                </w:p>
              </w:tc>
              <w:tc>
                <w:tcPr>
                  <w:tcW w:w="0" w:type="auto"/>
                  <w:shd w:val="clear" w:color="auto" w:fill="auto"/>
                  <w:noWrap/>
                  <w:vAlign w:val="center"/>
                </w:tcPr>
                <w:p w14:paraId="5CB95DF5">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80.00</w:t>
                  </w:r>
                </w:p>
              </w:tc>
              <w:tc>
                <w:tcPr>
                  <w:tcW w:w="0" w:type="auto"/>
                  <w:shd w:val="clear" w:color="auto" w:fill="auto"/>
                  <w:noWrap/>
                  <w:vAlign w:val="center"/>
                </w:tcPr>
                <w:p w14:paraId="70AA341F">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1</w:t>
                  </w:r>
                </w:p>
              </w:tc>
              <w:tc>
                <w:tcPr>
                  <w:tcW w:w="0" w:type="auto"/>
                  <w:shd w:val="clear" w:color="auto" w:fill="auto"/>
                  <w:noWrap/>
                  <w:vAlign w:val="center"/>
                </w:tcPr>
                <w:p w14:paraId="40978E7C">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距离衰减、减震措施</w:t>
                  </w:r>
                </w:p>
              </w:tc>
              <w:tc>
                <w:tcPr>
                  <w:tcW w:w="0" w:type="auto"/>
                  <w:shd w:val="clear" w:color="auto" w:fill="auto"/>
                  <w:noWrap/>
                  <w:vAlign w:val="center"/>
                </w:tcPr>
                <w:p w14:paraId="28BCD09A">
                  <w:pPr>
                    <w:keepNext w:val="0"/>
                    <w:keepLines w:val="0"/>
                    <w:widowControl/>
                    <w:suppressLineNumbers w:val="0"/>
                    <w:jc w:val="center"/>
                    <w:textAlignment w:val="center"/>
                    <w:rPr>
                      <w:rFonts w:hint="default" w:ascii="Times New Roman" w:hAnsi="Times New Roman" w:cs="Times New Roman"/>
                      <w:b w:val="0"/>
                      <w:bCs w:val="0"/>
                      <w:i w:val="0"/>
                      <w:iCs w:val="0"/>
                      <w:color w:val="auto"/>
                      <w:sz w:val="22"/>
                      <w:szCs w:val="22"/>
                      <w:highlight w:val="none"/>
                      <w:u w:val="none"/>
                    </w:rPr>
                  </w:pPr>
                  <w:r>
                    <w:rPr>
                      <w:rFonts w:hint="default" w:ascii="Times New Roman" w:hAnsi="Times New Roman" w:eastAsia="宋体" w:cs="Times New Roman"/>
                      <w:b w:val="0"/>
                      <w:bCs w:val="0"/>
                      <w:i w:val="0"/>
                      <w:iCs w:val="0"/>
                      <w:color w:val="auto"/>
                      <w:kern w:val="0"/>
                      <w:sz w:val="22"/>
                      <w:szCs w:val="22"/>
                      <w:highlight w:val="none"/>
                      <w:u w:val="none"/>
                      <w:lang w:val="en-US" w:eastAsia="zh-CN"/>
                    </w:rPr>
                    <w:t>昼间</w:t>
                  </w:r>
                </w:p>
              </w:tc>
            </w:tr>
          </w:tbl>
          <w:p w14:paraId="7E686F98">
            <w:pPr>
              <w:pStyle w:val="71"/>
              <w:jc w:val="both"/>
            </w:pPr>
            <w:r>
              <w:t>注：空间相对位置为以</w:t>
            </w:r>
            <w:r>
              <w:rPr>
                <w:rFonts w:hint="eastAsia"/>
              </w:rPr>
              <w:t>各自车间一层</w:t>
            </w:r>
            <w:r>
              <w:t>中心点地面为原点（0，0，0）的相对坐标。</w:t>
            </w:r>
          </w:p>
          <w:p w14:paraId="76BAAAE6">
            <w:pPr>
              <w:pStyle w:val="63"/>
              <w:rPr>
                <w:rFonts w:hint="eastAsia"/>
              </w:rPr>
            </w:pPr>
          </w:p>
          <w:p w14:paraId="27D01418">
            <w:pPr>
              <w:tabs>
                <w:tab w:val="left" w:pos="840"/>
              </w:tabs>
              <w:rPr>
                <w:vertAlign w:val="baseline"/>
              </w:rPr>
            </w:pPr>
          </w:p>
        </w:tc>
      </w:tr>
    </w:tbl>
    <w:p w14:paraId="7D1FD4A5">
      <w:pPr>
        <w:sectPr>
          <w:pgSz w:w="15840" w:h="12240" w:orient="landscape"/>
          <w:pgMar w:top="1797" w:right="1440" w:bottom="1797" w:left="1440" w:header="720" w:footer="720" w:gutter="0"/>
          <w:cols w:space="0" w:num="1"/>
          <w:rtlGutter w:val="0"/>
          <w:docGrid w:linePitch="312" w:charSpace="0"/>
        </w:sectPr>
      </w:pPr>
    </w:p>
    <w:p w14:paraId="4ED6EE03">
      <w:pPr>
        <w:pStyle w:val="61"/>
      </w:pPr>
    </w:p>
    <w:p w14:paraId="08D27622">
      <w:pPr>
        <w:pStyle w:val="61"/>
      </w:pP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8204"/>
      </w:tblGrid>
      <w:tr w14:paraId="0AD2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5" w:hRule="atLeast"/>
        </w:trPr>
        <w:tc>
          <w:tcPr>
            <w:tcW w:w="250" w:type="pct"/>
            <w:vAlign w:val="center"/>
          </w:tcPr>
          <w:p w14:paraId="35933D99">
            <w:pPr>
              <w:rPr>
                <w:szCs w:val="21"/>
              </w:rPr>
            </w:pPr>
            <w:r>
              <w:rPr>
                <w:rFonts w:ascii="宋体" w:hAnsi="宋体" w:eastAsia="宋体" w:cs="宋体"/>
                <w:spacing w:val="4"/>
                <w:szCs w:val="21"/>
              </w:rPr>
              <w:t>运营</w:t>
            </w:r>
            <w:r>
              <w:rPr>
                <w:rFonts w:ascii="宋体" w:hAnsi="宋体" w:eastAsia="宋体" w:cs="宋体"/>
                <w:szCs w:val="21"/>
              </w:rPr>
              <w:t xml:space="preserve"> </w:t>
            </w:r>
            <w:r>
              <w:rPr>
                <w:rFonts w:ascii="宋体" w:hAnsi="宋体" w:eastAsia="宋体" w:cs="宋体"/>
                <w:spacing w:val="4"/>
                <w:szCs w:val="21"/>
              </w:rPr>
              <w:t>期环</w:t>
            </w:r>
            <w:r>
              <w:rPr>
                <w:rFonts w:ascii="宋体" w:hAnsi="宋体" w:eastAsia="宋体" w:cs="宋体"/>
                <w:szCs w:val="21"/>
              </w:rPr>
              <w:t xml:space="preserve"> </w:t>
            </w:r>
            <w:r>
              <w:rPr>
                <w:rFonts w:ascii="宋体" w:hAnsi="宋体" w:eastAsia="宋体" w:cs="宋体"/>
                <w:spacing w:val="4"/>
                <w:szCs w:val="21"/>
              </w:rPr>
              <w:t>境影</w:t>
            </w:r>
            <w:r>
              <w:rPr>
                <w:rFonts w:ascii="宋体" w:hAnsi="宋体" w:eastAsia="宋体" w:cs="宋体"/>
                <w:szCs w:val="21"/>
              </w:rPr>
              <w:t xml:space="preserve"> </w:t>
            </w:r>
            <w:r>
              <w:rPr>
                <w:rFonts w:ascii="宋体" w:hAnsi="宋体" w:eastAsia="宋体" w:cs="宋体"/>
                <w:spacing w:val="4"/>
                <w:szCs w:val="21"/>
              </w:rPr>
              <w:t>响和</w:t>
            </w:r>
            <w:r>
              <w:rPr>
                <w:rFonts w:ascii="宋体" w:hAnsi="宋体" w:eastAsia="宋体" w:cs="宋体"/>
                <w:szCs w:val="21"/>
              </w:rPr>
              <w:t xml:space="preserve"> </w:t>
            </w:r>
            <w:r>
              <w:rPr>
                <w:rFonts w:ascii="宋体" w:hAnsi="宋体" w:eastAsia="宋体" w:cs="宋体"/>
                <w:spacing w:val="4"/>
                <w:szCs w:val="21"/>
              </w:rPr>
              <w:t>保护</w:t>
            </w:r>
            <w:r>
              <w:rPr>
                <w:rFonts w:ascii="宋体" w:hAnsi="宋体" w:eastAsia="宋体" w:cs="宋体"/>
                <w:szCs w:val="21"/>
              </w:rPr>
              <w:t xml:space="preserve"> </w:t>
            </w:r>
            <w:r>
              <w:rPr>
                <w:rFonts w:ascii="宋体" w:hAnsi="宋体" w:eastAsia="宋体" w:cs="宋体"/>
                <w:spacing w:val="4"/>
                <w:szCs w:val="21"/>
              </w:rPr>
              <w:t>措施</w:t>
            </w:r>
          </w:p>
        </w:tc>
        <w:tc>
          <w:tcPr>
            <w:tcW w:w="4750" w:type="pct"/>
          </w:tcPr>
          <w:p w14:paraId="1AC2B9A1">
            <w:pPr>
              <w:keepNext w:val="0"/>
              <w:keepLines w:val="0"/>
              <w:pageBreakBefore w:val="0"/>
              <w:kinsoku/>
              <w:wordWrap w:val="0"/>
              <w:overflowPunct/>
              <w:topLinePunct w:val="0"/>
              <w:autoSpaceDE/>
              <w:autoSpaceDN/>
              <w:bidi w:val="0"/>
              <w:adjustRightIn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2、达标分析</w:t>
            </w:r>
          </w:p>
          <w:p w14:paraId="58F11E5E">
            <w:pPr>
              <w:keepNext w:val="0"/>
              <w:keepLines w:val="0"/>
              <w:pageBreakBefore w:val="0"/>
              <w:widowControl w:val="0"/>
              <w:kinsoku/>
              <w:wordWrap w:val="0"/>
              <w:overflowPunct/>
              <w:topLinePunct w:val="0"/>
              <w:autoSpaceDE/>
              <w:autoSpaceDN/>
              <w:bidi w:val="0"/>
              <w:adjustRightIn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项目厂界外50米范围内无声环境保护目标。</w:t>
            </w:r>
            <w:r>
              <w:rPr>
                <w:rFonts w:hint="default" w:ascii="Times New Roman" w:hAnsi="Times New Roman" w:eastAsia="宋体" w:cs="Times New Roman"/>
                <w:bCs/>
                <w:color w:val="auto"/>
                <w:kern w:val="0"/>
                <w:sz w:val="24"/>
                <w:szCs w:val="24"/>
                <w:highlight w:val="none"/>
              </w:rPr>
              <w:t>项目运营期产生的噪声主要为生产设备运行时产生的噪声，其噪声的强度值为60~8</w:t>
            </w:r>
            <w:r>
              <w:rPr>
                <w:rFonts w:hint="eastAsia" w:ascii="Times New Roman" w:hAnsi="Times New Roman" w:eastAsia="宋体" w:cs="Times New Roman"/>
                <w:bCs/>
                <w:color w:val="auto"/>
                <w:kern w:val="0"/>
                <w:sz w:val="24"/>
                <w:szCs w:val="24"/>
                <w:highlight w:val="none"/>
                <w:lang w:val="en-US" w:eastAsia="zh-CN"/>
              </w:rPr>
              <w:t>0</w:t>
            </w:r>
            <w:r>
              <w:rPr>
                <w:rFonts w:hint="default" w:ascii="Times New Roman" w:hAnsi="Times New Roman" w:eastAsia="宋体" w:cs="Times New Roman"/>
                <w:bCs/>
                <w:color w:val="auto"/>
                <w:kern w:val="0"/>
                <w:sz w:val="24"/>
                <w:szCs w:val="24"/>
                <w:highlight w:val="none"/>
              </w:rPr>
              <w:t>dB（A）之间。</w:t>
            </w:r>
          </w:p>
          <w:p w14:paraId="01C51302">
            <w:pPr>
              <w:keepNext w:val="0"/>
              <w:keepLines w:val="0"/>
              <w:pageBreakBefore w:val="0"/>
              <w:widowControl w:val="0"/>
              <w:kinsoku/>
              <w:wordWrap w:val="0"/>
              <w:overflowPunct/>
              <w:topLinePunct w:val="0"/>
              <w:autoSpaceDE/>
              <w:autoSpaceDN/>
              <w:bidi w:val="0"/>
              <w:adjustRightIn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固定声源的噪声向周围传播过程中，会发生反射、折射、衍射、吸收等现象。因此，随传播距离的增加而产生的衰减量并不按简单的几何规律计算。根据《环境影响评价技术导则-声环境》（HJ2.4-2021）对室内声源的预测方法，声源位于室内，室内声源可采用等效室外声源声功率级法进行计算。</w:t>
            </w:r>
          </w:p>
          <w:p w14:paraId="28EBCF80">
            <w:pPr>
              <w:keepNext w:val="0"/>
              <w:keepLines w:val="0"/>
              <w:pageBreakBefore w:val="0"/>
              <w:widowControl w:val="0"/>
              <w:kinsoku/>
              <w:wordWrap w:val="0"/>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①计算所有室内声源在围护结构处产生的i倍频带叠加声压级：</w:t>
            </w:r>
          </w:p>
          <w:p w14:paraId="4AA86B46">
            <w:pPr>
              <w:keepNext w:val="0"/>
              <w:keepLines w:val="0"/>
              <w:pageBreakBefore w:val="0"/>
              <w:kinsoku/>
              <w:wordWrap w:val="0"/>
              <w:overflowPunct/>
              <w:topLinePunct w:val="0"/>
              <w:autoSpaceDE/>
              <w:autoSpaceDN/>
              <w:bidi w:val="0"/>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0" distR="0">
                  <wp:extent cx="1780540" cy="464820"/>
                  <wp:effectExtent l="0" t="0" r="10160" b="11430"/>
                  <wp:docPr id="1057" name="图片 3"/>
                  <wp:cNvGraphicFramePr/>
                  <a:graphic xmlns:a="http://schemas.openxmlformats.org/drawingml/2006/main">
                    <a:graphicData uri="http://schemas.openxmlformats.org/drawingml/2006/picture">
                      <pic:pic xmlns:pic="http://schemas.openxmlformats.org/drawingml/2006/picture">
                        <pic:nvPicPr>
                          <pic:cNvPr id="1057" name="图片 3"/>
                          <pic:cNvPicPr/>
                        </pic:nvPicPr>
                        <pic:blipFill>
                          <a:blip r:embed="rId20" cstate="print"/>
                          <a:srcRect/>
                          <a:stretch>
                            <a:fillRect/>
                          </a:stretch>
                        </pic:blipFill>
                        <pic:spPr>
                          <a:xfrm>
                            <a:off x="0" y="0"/>
                            <a:ext cx="1780540" cy="464820"/>
                          </a:xfrm>
                          <a:prstGeom prst="rect">
                            <a:avLst/>
                          </a:prstGeom>
                          <a:ln>
                            <a:noFill/>
                          </a:ln>
                        </pic:spPr>
                      </pic:pic>
                    </a:graphicData>
                  </a:graphic>
                </wp:inline>
              </w:drawing>
            </w:r>
          </w:p>
          <w:p w14:paraId="6A4DE61E">
            <w:pPr>
              <w:keepNext w:val="0"/>
              <w:keepLines w:val="0"/>
              <w:pageBreakBefore w:val="0"/>
              <w:kinsoku/>
              <w:wordWrap w:val="0"/>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式中，L</w:t>
            </w:r>
            <w:r>
              <w:rPr>
                <w:rFonts w:hint="default" w:ascii="Times New Roman" w:hAnsi="Times New Roman" w:eastAsia="宋体" w:cs="Times New Roman"/>
                <w:color w:val="auto"/>
                <w:sz w:val="24"/>
                <w:szCs w:val="24"/>
                <w:highlight w:val="none"/>
                <w:vertAlign w:val="subscript"/>
              </w:rPr>
              <w:t>p1iT</w:t>
            </w:r>
            <w:r>
              <w:rPr>
                <w:rFonts w:hint="default" w:ascii="Times New Roman" w:hAnsi="Times New Roman" w:eastAsia="宋体" w:cs="Times New Roman"/>
                <w:color w:val="auto"/>
                <w:sz w:val="24"/>
                <w:szCs w:val="24"/>
                <w:highlight w:val="none"/>
              </w:rPr>
              <w:t>—靠近围护结构处室内N个声源i倍频带的叠加声压级，dB；</w:t>
            </w:r>
          </w:p>
          <w:p w14:paraId="2D7B664B">
            <w:pPr>
              <w:keepNext w:val="0"/>
              <w:keepLines w:val="0"/>
              <w:pageBreakBefore w:val="0"/>
              <w:kinsoku/>
              <w:wordWrap w:val="0"/>
              <w:overflowPunct/>
              <w:topLinePunct w:val="0"/>
              <w:autoSpaceDE/>
              <w:autoSpaceDN/>
              <w:bidi w:val="0"/>
              <w:spacing w:line="360" w:lineRule="auto"/>
              <w:ind w:firstLine="1200" w:firstLineChars="5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vertAlign w:val="subscript"/>
              </w:rPr>
              <w:t>p1ij</w:t>
            </w:r>
            <w:r>
              <w:rPr>
                <w:rFonts w:hint="default" w:ascii="Times New Roman" w:hAnsi="Times New Roman" w:eastAsia="宋体" w:cs="Times New Roman"/>
                <w:color w:val="auto"/>
                <w:sz w:val="24"/>
                <w:szCs w:val="24"/>
                <w:highlight w:val="none"/>
              </w:rPr>
              <w:t>—室内j声源i倍频带的声压级，dB；</w:t>
            </w:r>
          </w:p>
          <w:p w14:paraId="17236860">
            <w:pPr>
              <w:keepNext w:val="0"/>
              <w:keepLines w:val="0"/>
              <w:pageBreakBefore w:val="0"/>
              <w:kinsoku/>
              <w:wordWrap w:val="0"/>
              <w:overflowPunct/>
              <w:topLinePunct w:val="0"/>
              <w:autoSpaceDE/>
              <w:autoSpaceDN/>
              <w:bidi w:val="0"/>
              <w:spacing w:line="360" w:lineRule="auto"/>
              <w:ind w:firstLine="1200" w:firstLineChars="5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N—室内声源总数。</w:t>
            </w:r>
          </w:p>
          <w:p w14:paraId="55CCE9EA">
            <w:pPr>
              <w:keepNext w:val="0"/>
              <w:keepLines w:val="0"/>
              <w:pageBreakBefore w:val="0"/>
              <w:kinsoku/>
              <w:wordWrap w:val="0"/>
              <w:overflowPunct/>
              <w:topLinePunct w:val="0"/>
              <w:autoSpaceDE/>
              <w:autoSpaceDN/>
              <w:bidi w:val="0"/>
              <w:adjustRightIn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②无指向性点声源几何发散衰减的基本公式：</w:t>
            </w:r>
          </w:p>
          <w:p w14:paraId="731E4846">
            <w:pPr>
              <w:keepNext w:val="0"/>
              <w:keepLines w:val="0"/>
              <w:pageBreakBefore w:val="0"/>
              <w:kinsoku/>
              <w:wordWrap w:val="0"/>
              <w:overflowPunct/>
              <w:topLinePunct w:val="0"/>
              <w:autoSpaceDE/>
              <w:autoSpaceDN/>
              <w:bidi w:val="0"/>
              <w:adjustRightInd w:val="0"/>
              <w:spacing w:line="360" w:lineRule="auto"/>
              <w:jc w:val="center"/>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0" distR="0">
                  <wp:extent cx="1841500" cy="290195"/>
                  <wp:effectExtent l="0" t="0" r="6350" b="14605"/>
                  <wp:docPr id="1058" name="图片 4"/>
                  <wp:cNvGraphicFramePr/>
                  <a:graphic xmlns:a="http://schemas.openxmlformats.org/drawingml/2006/main">
                    <a:graphicData uri="http://schemas.openxmlformats.org/drawingml/2006/picture">
                      <pic:pic xmlns:pic="http://schemas.openxmlformats.org/drawingml/2006/picture">
                        <pic:nvPicPr>
                          <pic:cNvPr id="1058" name="图片 4"/>
                          <pic:cNvPicPr/>
                        </pic:nvPicPr>
                        <pic:blipFill>
                          <a:blip r:embed="rId21" cstate="print"/>
                          <a:srcRect/>
                          <a:stretch>
                            <a:fillRect/>
                          </a:stretch>
                        </pic:blipFill>
                        <pic:spPr>
                          <a:xfrm>
                            <a:off x="0" y="0"/>
                            <a:ext cx="1841500" cy="290195"/>
                          </a:xfrm>
                          <a:prstGeom prst="rect">
                            <a:avLst/>
                          </a:prstGeom>
                          <a:ln>
                            <a:noFill/>
                          </a:ln>
                        </pic:spPr>
                      </pic:pic>
                    </a:graphicData>
                  </a:graphic>
                </wp:inline>
              </w:drawing>
            </w:r>
          </w:p>
          <w:p w14:paraId="2C832FBB">
            <w:pPr>
              <w:keepNext w:val="0"/>
              <w:keepLines w:val="0"/>
              <w:pageBreakBefore w:val="0"/>
              <w:kinsoku/>
              <w:wordWrap w:val="0"/>
              <w:overflowPunct/>
              <w:topLinePunct w:val="0"/>
              <w:autoSpaceDE/>
              <w:autoSpaceDN/>
              <w:bidi w:val="0"/>
              <w:adjustRightIn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式中：L</w:t>
            </w:r>
            <w:r>
              <w:rPr>
                <w:rFonts w:hint="default" w:ascii="Times New Roman" w:hAnsi="Times New Roman" w:eastAsia="宋体" w:cs="Times New Roman"/>
                <w:bCs/>
                <w:color w:val="auto"/>
                <w:sz w:val="24"/>
                <w:szCs w:val="24"/>
                <w:highlight w:val="none"/>
                <w:vertAlign w:val="subscript"/>
              </w:rPr>
              <w:t>p</w:t>
            </w:r>
            <w:r>
              <w:rPr>
                <w:rFonts w:hint="default" w:ascii="Times New Roman" w:hAnsi="Times New Roman" w:eastAsia="宋体" w:cs="Times New Roman"/>
                <w:bCs/>
                <w:color w:val="auto"/>
                <w:sz w:val="24"/>
                <w:szCs w:val="24"/>
                <w:highlight w:val="none"/>
              </w:rPr>
              <w:t>(r)—预测点处声压级，dB（A）；</w:t>
            </w:r>
          </w:p>
          <w:p w14:paraId="741A202F">
            <w:pPr>
              <w:keepNext w:val="0"/>
              <w:keepLines w:val="0"/>
              <w:pageBreakBefore w:val="0"/>
              <w:kinsoku/>
              <w:wordWrap w:val="0"/>
              <w:overflowPunct/>
              <w:topLinePunct w:val="0"/>
              <w:autoSpaceDE/>
              <w:autoSpaceDN/>
              <w:bidi w:val="0"/>
              <w:adjustRightInd w:val="0"/>
              <w:spacing w:line="360" w:lineRule="auto"/>
              <w:ind w:firstLine="1200" w:firstLineChars="5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L</w:t>
            </w:r>
            <w:r>
              <w:rPr>
                <w:rFonts w:hint="default" w:ascii="Times New Roman" w:hAnsi="Times New Roman" w:eastAsia="宋体" w:cs="Times New Roman"/>
                <w:bCs/>
                <w:color w:val="auto"/>
                <w:sz w:val="24"/>
                <w:szCs w:val="24"/>
                <w:highlight w:val="none"/>
                <w:vertAlign w:val="subscript"/>
              </w:rPr>
              <w:t>p</w:t>
            </w:r>
            <w:r>
              <w:rPr>
                <w:rFonts w:hint="default" w:ascii="Times New Roman" w:hAnsi="Times New Roman" w:eastAsia="宋体" w:cs="Times New Roman"/>
                <w:bCs/>
                <w:color w:val="auto"/>
                <w:sz w:val="24"/>
                <w:szCs w:val="24"/>
                <w:highlight w:val="none"/>
              </w:rPr>
              <w:t xml:space="preserve">(r0)—参考位置r0处的声压级，dB（A）； </w:t>
            </w:r>
          </w:p>
          <w:p w14:paraId="3696DFF7">
            <w:pPr>
              <w:keepNext w:val="0"/>
              <w:keepLines w:val="0"/>
              <w:pageBreakBefore w:val="0"/>
              <w:kinsoku/>
              <w:wordWrap w:val="0"/>
              <w:overflowPunct/>
              <w:topLinePunct w:val="0"/>
              <w:autoSpaceDE/>
              <w:autoSpaceDN/>
              <w:bidi w:val="0"/>
              <w:adjustRightInd w:val="0"/>
              <w:spacing w:line="360" w:lineRule="auto"/>
              <w:ind w:firstLine="1200" w:firstLineChars="5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r—预测点距声源的距离，m；</w:t>
            </w:r>
          </w:p>
          <w:p w14:paraId="5E7D755E">
            <w:pPr>
              <w:keepNext w:val="0"/>
              <w:keepLines w:val="0"/>
              <w:pageBreakBefore w:val="0"/>
              <w:kinsoku/>
              <w:wordWrap w:val="0"/>
              <w:overflowPunct/>
              <w:topLinePunct w:val="0"/>
              <w:autoSpaceDE/>
              <w:autoSpaceDN/>
              <w:bidi w:val="0"/>
              <w:adjustRightInd w:val="0"/>
              <w:spacing w:line="360" w:lineRule="auto"/>
              <w:ind w:firstLine="1200" w:firstLineChars="5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r</w:t>
            </w:r>
            <w:r>
              <w:rPr>
                <w:rFonts w:hint="default" w:ascii="Times New Roman" w:hAnsi="Times New Roman" w:eastAsia="宋体" w:cs="Times New Roman"/>
                <w:bCs/>
                <w:color w:val="auto"/>
                <w:sz w:val="24"/>
                <w:szCs w:val="24"/>
                <w:highlight w:val="none"/>
                <w:vertAlign w:val="subscript"/>
              </w:rPr>
              <w:t>0</w:t>
            </w:r>
            <w:r>
              <w:rPr>
                <w:rFonts w:hint="default" w:ascii="Times New Roman" w:hAnsi="Times New Roman" w:eastAsia="宋体" w:cs="Times New Roman"/>
                <w:bCs/>
                <w:color w:val="auto"/>
                <w:sz w:val="24"/>
                <w:szCs w:val="24"/>
                <w:highlight w:val="none"/>
              </w:rPr>
              <w:t>—参考位置距声源的距离，m。</w:t>
            </w:r>
          </w:p>
          <w:p w14:paraId="0B3EC83F">
            <w:pPr>
              <w:keepNext w:val="0"/>
              <w:keepLines w:val="0"/>
              <w:pageBreakBefore w:val="0"/>
              <w:kinsoku/>
              <w:wordWrap w:val="0"/>
              <w:overflowPunct/>
              <w:topLinePunct w:val="0"/>
              <w:autoSpaceDE/>
              <w:autoSpaceDN/>
              <w:bidi w:val="0"/>
              <w:adjustRightIn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③室内声场为近似扩散声场，室外的倍频带声压级计算：</w:t>
            </w:r>
          </w:p>
          <w:p w14:paraId="1A577573">
            <w:pPr>
              <w:keepNext w:val="0"/>
              <w:keepLines w:val="0"/>
              <w:pageBreakBefore w:val="0"/>
              <w:kinsoku/>
              <w:wordWrap w:val="0"/>
              <w:overflowPunct/>
              <w:topLinePunct w:val="0"/>
              <w:autoSpaceDE/>
              <w:autoSpaceDN/>
              <w:bidi w:val="0"/>
              <w:adjustRightInd w:val="0"/>
              <w:spacing w:line="360" w:lineRule="auto"/>
              <w:jc w:val="center"/>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0" distR="0">
                  <wp:extent cx="1470660" cy="280670"/>
                  <wp:effectExtent l="0" t="0" r="15240" b="5080"/>
                  <wp:docPr id="1059" name="图片 5"/>
                  <wp:cNvGraphicFramePr/>
                  <a:graphic xmlns:a="http://schemas.openxmlformats.org/drawingml/2006/main">
                    <a:graphicData uri="http://schemas.openxmlformats.org/drawingml/2006/picture">
                      <pic:pic xmlns:pic="http://schemas.openxmlformats.org/drawingml/2006/picture">
                        <pic:nvPicPr>
                          <pic:cNvPr id="1059" name="图片 5"/>
                          <pic:cNvPicPr/>
                        </pic:nvPicPr>
                        <pic:blipFill>
                          <a:blip r:embed="rId22" cstate="print"/>
                          <a:srcRect/>
                          <a:stretch>
                            <a:fillRect/>
                          </a:stretch>
                        </pic:blipFill>
                        <pic:spPr>
                          <a:xfrm>
                            <a:off x="0" y="0"/>
                            <a:ext cx="1470660" cy="280670"/>
                          </a:xfrm>
                          <a:prstGeom prst="rect">
                            <a:avLst/>
                          </a:prstGeom>
                          <a:ln>
                            <a:noFill/>
                          </a:ln>
                        </pic:spPr>
                      </pic:pic>
                    </a:graphicData>
                  </a:graphic>
                </wp:inline>
              </w:drawing>
            </w:r>
          </w:p>
          <w:p w14:paraId="4550A8A5">
            <w:pPr>
              <w:keepNext w:val="0"/>
              <w:keepLines w:val="0"/>
              <w:pageBreakBefore w:val="0"/>
              <w:kinsoku/>
              <w:wordWrap w:val="0"/>
              <w:overflowPunct/>
              <w:topLinePunct w:val="0"/>
              <w:autoSpaceDE/>
              <w:autoSpaceDN/>
              <w:bidi w:val="0"/>
              <w:adjustRightIn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式中：L</w:t>
            </w:r>
            <w:r>
              <w:rPr>
                <w:rFonts w:hint="default" w:ascii="Times New Roman" w:hAnsi="Times New Roman" w:eastAsia="宋体" w:cs="Times New Roman"/>
                <w:bCs/>
                <w:color w:val="auto"/>
                <w:sz w:val="24"/>
                <w:szCs w:val="24"/>
                <w:highlight w:val="none"/>
                <w:vertAlign w:val="subscript"/>
              </w:rPr>
              <w:t>p1</w:t>
            </w:r>
            <w:r>
              <w:rPr>
                <w:rFonts w:hint="default" w:ascii="Times New Roman" w:hAnsi="Times New Roman" w:eastAsia="宋体" w:cs="Times New Roman"/>
                <w:bCs/>
                <w:color w:val="auto"/>
                <w:sz w:val="24"/>
                <w:szCs w:val="24"/>
                <w:highlight w:val="none"/>
              </w:rPr>
              <w:t>—室内某倍频带的声压级或A声级，dB（A）；</w:t>
            </w:r>
          </w:p>
          <w:p w14:paraId="15B138B8">
            <w:pPr>
              <w:keepNext w:val="0"/>
              <w:keepLines w:val="0"/>
              <w:pageBreakBefore w:val="0"/>
              <w:kinsoku/>
              <w:wordWrap w:val="0"/>
              <w:overflowPunct/>
              <w:topLinePunct w:val="0"/>
              <w:autoSpaceDE/>
              <w:autoSpaceDN/>
              <w:bidi w:val="0"/>
              <w:adjustRightInd w:val="0"/>
              <w:spacing w:line="360" w:lineRule="auto"/>
              <w:ind w:firstLine="1200" w:firstLineChars="5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L</w:t>
            </w:r>
            <w:r>
              <w:rPr>
                <w:rFonts w:hint="default" w:ascii="Times New Roman" w:hAnsi="Times New Roman" w:eastAsia="宋体" w:cs="Times New Roman"/>
                <w:bCs/>
                <w:color w:val="auto"/>
                <w:sz w:val="24"/>
                <w:szCs w:val="24"/>
                <w:highlight w:val="none"/>
                <w:vertAlign w:val="subscript"/>
              </w:rPr>
              <w:t>p2</w:t>
            </w:r>
            <w:r>
              <w:rPr>
                <w:rFonts w:hint="default" w:ascii="Times New Roman" w:hAnsi="Times New Roman" w:eastAsia="宋体" w:cs="Times New Roman"/>
                <w:bCs/>
                <w:color w:val="auto"/>
                <w:sz w:val="24"/>
                <w:szCs w:val="24"/>
                <w:highlight w:val="none"/>
              </w:rPr>
              <w:t>—室外某倍频带的声压级或A声级，dB（A）；</w:t>
            </w:r>
          </w:p>
          <w:p w14:paraId="3BA46895">
            <w:pPr>
              <w:keepNext w:val="0"/>
              <w:keepLines w:val="0"/>
              <w:pageBreakBefore w:val="0"/>
              <w:kinsoku/>
              <w:wordWrap w:val="0"/>
              <w:overflowPunct/>
              <w:topLinePunct w:val="0"/>
              <w:autoSpaceDE/>
              <w:autoSpaceDN/>
              <w:bidi w:val="0"/>
              <w:adjustRightInd w:val="0"/>
              <w:spacing w:line="360" w:lineRule="auto"/>
              <w:ind w:firstLine="1200" w:firstLineChars="5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TL—隔墙（或窗户）倍频带或A声级的隔声量，dB。</w:t>
            </w:r>
          </w:p>
          <w:p w14:paraId="46AE2308">
            <w:pPr>
              <w:keepNext w:val="0"/>
              <w:keepLines w:val="0"/>
              <w:pageBreakBefore w:val="0"/>
              <w:kinsoku/>
              <w:wordWrap w:val="0"/>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④预测点的预测等效声级（Leq）计算公式：</w:t>
            </w:r>
          </w:p>
          <w:p w14:paraId="334D9363">
            <w:pPr>
              <w:keepNext w:val="0"/>
              <w:keepLines w:val="0"/>
              <w:pageBreakBefore w:val="0"/>
              <w:kinsoku/>
              <w:wordWrap w:val="0"/>
              <w:overflowPunct/>
              <w:topLinePunct w:val="0"/>
              <w:autoSpaceDE/>
              <w:autoSpaceDN/>
              <w:bidi w:val="0"/>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0" distR="0">
                  <wp:extent cx="1937385" cy="335915"/>
                  <wp:effectExtent l="0" t="0" r="5715" b="6985"/>
                  <wp:docPr id="1060" name="图片 6"/>
                  <wp:cNvGraphicFramePr/>
                  <a:graphic xmlns:a="http://schemas.openxmlformats.org/drawingml/2006/main">
                    <a:graphicData uri="http://schemas.openxmlformats.org/drawingml/2006/picture">
                      <pic:pic xmlns:pic="http://schemas.openxmlformats.org/drawingml/2006/picture">
                        <pic:nvPicPr>
                          <pic:cNvPr id="1060" name="图片 6"/>
                          <pic:cNvPicPr/>
                        </pic:nvPicPr>
                        <pic:blipFill>
                          <a:blip r:embed="rId23" cstate="print"/>
                          <a:srcRect/>
                          <a:stretch>
                            <a:fillRect/>
                          </a:stretch>
                        </pic:blipFill>
                        <pic:spPr>
                          <a:xfrm>
                            <a:off x="0" y="0"/>
                            <a:ext cx="1937385" cy="335915"/>
                          </a:xfrm>
                          <a:prstGeom prst="rect">
                            <a:avLst/>
                          </a:prstGeom>
                          <a:ln>
                            <a:noFill/>
                          </a:ln>
                        </pic:spPr>
                      </pic:pic>
                    </a:graphicData>
                  </a:graphic>
                </wp:inline>
              </w:drawing>
            </w:r>
          </w:p>
          <w:p w14:paraId="31E9179C">
            <w:pPr>
              <w:keepNext w:val="0"/>
              <w:keepLines w:val="0"/>
              <w:pageBreakBefore w:val="0"/>
              <w:kinsoku/>
              <w:wordWrap w:val="0"/>
              <w:overflowPunct/>
              <w:topLinePunct w:val="0"/>
              <w:autoSpaceDE/>
              <w:autoSpaceDN/>
              <w:bidi w:val="0"/>
              <w:adjustRightInd w:val="0"/>
              <w:spacing w:line="360" w:lineRule="auto"/>
              <w:ind w:firstLine="480" w:firstLineChars="2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式中：L</w:t>
            </w:r>
            <w:r>
              <w:rPr>
                <w:rFonts w:hint="default" w:ascii="Times New Roman" w:hAnsi="Times New Roman" w:eastAsia="宋体" w:cs="Times New Roman"/>
                <w:bCs/>
                <w:color w:val="auto"/>
                <w:sz w:val="24"/>
                <w:szCs w:val="24"/>
                <w:highlight w:val="none"/>
                <w:vertAlign w:val="subscript"/>
              </w:rPr>
              <w:t>eqg</w:t>
            </w:r>
            <w:r>
              <w:rPr>
                <w:rFonts w:hint="default" w:ascii="Times New Roman" w:hAnsi="Times New Roman" w:eastAsia="宋体" w:cs="Times New Roman"/>
                <w:bCs/>
                <w:color w:val="auto"/>
                <w:sz w:val="24"/>
                <w:szCs w:val="24"/>
                <w:highlight w:val="none"/>
              </w:rPr>
              <w:t xml:space="preserve">—建设项目声源在预测点的等效声级贡献值，dB（A）； </w:t>
            </w:r>
          </w:p>
          <w:p w14:paraId="0E2A02A3">
            <w:pPr>
              <w:keepNext w:val="0"/>
              <w:keepLines w:val="0"/>
              <w:pageBreakBefore w:val="0"/>
              <w:kinsoku/>
              <w:wordWrap w:val="0"/>
              <w:overflowPunct/>
              <w:topLinePunct w:val="0"/>
              <w:autoSpaceDE/>
              <w:autoSpaceDN/>
              <w:bidi w:val="0"/>
              <w:spacing w:line="360" w:lineRule="auto"/>
              <w:ind w:firstLine="1200" w:firstLineChars="5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szCs w:val="24"/>
                <w:highlight w:val="none"/>
              </w:rPr>
              <w:t>L</w:t>
            </w:r>
            <w:r>
              <w:rPr>
                <w:rFonts w:hint="default" w:ascii="Times New Roman" w:hAnsi="Times New Roman" w:eastAsia="宋体" w:cs="Times New Roman"/>
                <w:bCs/>
                <w:color w:val="auto"/>
                <w:sz w:val="24"/>
                <w:szCs w:val="24"/>
                <w:highlight w:val="none"/>
                <w:vertAlign w:val="subscript"/>
              </w:rPr>
              <w:t>eqb</w:t>
            </w:r>
            <w:r>
              <w:rPr>
                <w:rFonts w:hint="default" w:ascii="Times New Roman" w:hAnsi="Times New Roman" w:eastAsia="宋体" w:cs="Times New Roman"/>
                <w:bCs/>
                <w:color w:val="auto"/>
                <w:sz w:val="24"/>
                <w:szCs w:val="24"/>
                <w:highlight w:val="none"/>
              </w:rPr>
              <w:t>—预测点的背景值，dB（A）。</w:t>
            </w:r>
          </w:p>
          <w:p w14:paraId="67172C74">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240" w:lineRule="auto"/>
              <w:ind w:left="-1" w:leftChars="0"/>
              <w:jc w:val="center"/>
              <w:textAlignment w:val="auto"/>
              <w:rPr>
                <w:rFonts w:hint="default" w:ascii="Times New Roman" w:hAnsi="Times New Roman" w:eastAsia="宋体" w:cs="Times New Roman"/>
                <w:b/>
                <w:color w:val="auto"/>
                <w:kern w:val="0"/>
                <w:sz w:val="21"/>
                <w:szCs w:val="21"/>
                <w:highlight w:val="none"/>
              </w:rPr>
            </w:pPr>
            <w:r>
              <w:rPr>
                <w:rFonts w:hint="eastAsia" w:ascii="Times New Roman" w:hAnsi="Times New Roman" w:eastAsia="宋体" w:cs="Times New Roman"/>
                <w:b/>
                <w:color w:val="auto"/>
                <w:kern w:val="0"/>
                <w:sz w:val="21"/>
                <w:szCs w:val="21"/>
                <w:highlight w:val="none"/>
                <w:lang w:val="en-US" w:eastAsia="zh-CN"/>
              </w:rPr>
              <w:t>表4-23</w:t>
            </w:r>
            <w:r>
              <w:rPr>
                <w:rFonts w:hint="default" w:ascii="Times New Roman" w:hAnsi="Times New Roman" w:eastAsia="宋体" w:cs="Times New Roman"/>
                <w:b/>
                <w:color w:val="auto"/>
                <w:kern w:val="0"/>
                <w:sz w:val="21"/>
                <w:szCs w:val="21"/>
                <w:highlight w:val="none"/>
              </w:rPr>
              <w:t>项目的噪声贡献值预测结果</w:t>
            </w:r>
          </w:p>
          <w:tbl>
            <w:tblPr>
              <w:tblStyle w:val="4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91"/>
              <w:gridCol w:w="2793"/>
              <w:gridCol w:w="2793"/>
            </w:tblGrid>
            <w:tr w14:paraId="6502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9" w:type="pct"/>
                  <w:tcBorders>
                    <w:top w:val="single" w:color="auto" w:sz="4" w:space="0"/>
                    <w:left w:val="single" w:color="auto" w:sz="4" w:space="0"/>
                    <w:bottom w:val="single" w:color="auto" w:sz="4" w:space="0"/>
                    <w:right w:val="single" w:color="auto" w:sz="4" w:space="0"/>
                  </w:tcBorders>
                  <w:vAlign w:val="center"/>
                </w:tcPr>
                <w:p w14:paraId="7E48205A">
                  <w:pPr>
                    <w:spacing w:line="0" w:lineRule="atLeast"/>
                    <w:jc w:val="center"/>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项目厂界</w:t>
                  </w:r>
                </w:p>
              </w:tc>
              <w:tc>
                <w:tcPr>
                  <w:tcW w:w="1750" w:type="pct"/>
                  <w:tcBorders>
                    <w:top w:val="single" w:color="auto" w:sz="4" w:space="0"/>
                    <w:left w:val="single" w:color="auto" w:sz="4" w:space="0"/>
                    <w:bottom w:val="single" w:color="auto" w:sz="4" w:space="0"/>
                    <w:right w:val="single" w:color="auto" w:sz="4" w:space="0"/>
                  </w:tcBorders>
                  <w:vAlign w:val="center"/>
                </w:tcPr>
                <w:p w14:paraId="0783171E">
                  <w:pPr>
                    <w:spacing w:line="0" w:lineRule="atLeast"/>
                    <w:jc w:val="center"/>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厂界贡献值</w:t>
                  </w:r>
                  <w:r>
                    <w:rPr>
                      <w:rFonts w:hint="default" w:ascii="Times New Roman" w:hAnsi="Times New Roman" w:eastAsia="宋体" w:cs="Times New Roman"/>
                      <w:bCs/>
                      <w:color w:val="auto"/>
                      <w:kern w:val="0"/>
                      <w:sz w:val="21"/>
                      <w:szCs w:val="21"/>
                      <w:highlight w:val="none"/>
                    </w:rPr>
                    <w:t>dB（A）</w:t>
                  </w:r>
                </w:p>
              </w:tc>
              <w:tc>
                <w:tcPr>
                  <w:tcW w:w="1750" w:type="pct"/>
                  <w:tcBorders>
                    <w:top w:val="single" w:color="auto" w:sz="4" w:space="0"/>
                    <w:left w:val="single" w:color="auto" w:sz="4" w:space="0"/>
                    <w:bottom w:val="single" w:color="auto" w:sz="4" w:space="0"/>
                    <w:right w:val="single" w:color="auto" w:sz="4" w:space="0"/>
                  </w:tcBorders>
                  <w:vAlign w:val="center"/>
                </w:tcPr>
                <w:p w14:paraId="60A5BA7F">
                  <w:pPr>
                    <w:spacing w:line="0" w:lineRule="atLeast"/>
                    <w:jc w:val="center"/>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噪声标准/dB(A)</w:t>
                  </w:r>
                </w:p>
              </w:tc>
            </w:tr>
            <w:tr w14:paraId="221A1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9" w:type="pct"/>
                  <w:tcBorders>
                    <w:top w:val="single" w:color="auto" w:sz="4" w:space="0"/>
                    <w:left w:val="single" w:color="auto" w:sz="4" w:space="0"/>
                    <w:bottom w:val="single" w:color="auto" w:sz="4" w:space="0"/>
                    <w:right w:val="single" w:color="auto" w:sz="4" w:space="0"/>
                  </w:tcBorders>
                  <w:vAlign w:val="center"/>
                </w:tcPr>
                <w:p w14:paraId="0311DA9B">
                  <w:pPr>
                    <w:spacing w:line="0" w:lineRule="atLeas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东侧厂界外1m</w:t>
                  </w:r>
                </w:p>
              </w:tc>
              <w:tc>
                <w:tcPr>
                  <w:tcW w:w="1750" w:type="pct"/>
                  <w:tcBorders>
                    <w:top w:val="single" w:color="auto" w:sz="4" w:space="0"/>
                    <w:left w:val="single" w:color="auto" w:sz="4" w:space="0"/>
                    <w:bottom w:val="single" w:color="auto" w:sz="4" w:space="0"/>
                    <w:right w:val="single" w:color="auto" w:sz="4" w:space="0"/>
                  </w:tcBorders>
                  <w:vAlign w:val="center"/>
                </w:tcPr>
                <w:p w14:paraId="1F5FAE6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37.5</w:t>
                  </w:r>
                </w:p>
              </w:tc>
              <w:tc>
                <w:tcPr>
                  <w:tcW w:w="1750" w:type="pct"/>
                  <w:tcBorders>
                    <w:top w:val="single" w:color="auto" w:sz="4" w:space="0"/>
                    <w:left w:val="single" w:color="auto" w:sz="4" w:space="0"/>
                    <w:bottom w:val="single" w:color="auto" w:sz="4" w:space="0"/>
                    <w:right w:val="single" w:color="auto" w:sz="4" w:space="0"/>
                  </w:tcBorders>
                  <w:vAlign w:val="center"/>
                </w:tcPr>
                <w:p w14:paraId="23C4C6A9">
                  <w:pPr>
                    <w:spacing w:line="0" w:lineRule="atLeast"/>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65</w:t>
                  </w:r>
                </w:p>
              </w:tc>
            </w:tr>
            <w:tr w14:paraId="1EBC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1499" w:type="pct"/>
                  <w:tcBorders>
                    <w:top w:val="single" w:color="auto" w:sz="4" w:space="0"/>
                    <w:left w:val="single" w:color="auto" w:sz="4" w:space="0"/>
                    <w:bottom w:val="single" w:color="auto" w:sz="4" w:space="0"/>
                    <w:right w:val="single" w:color="auto" w:sz="4" w:space="0"/>
                  </w:tcBorders>
                  <w:vAlign w:val="center"/>
                </w:tcPr>
                <w:p w14:paraId="45DF238D">
                  <w:pPr>
                    <w:spacing w:line="0" w:lineRule="atLeast"/>
                    <w:jc w:val="center"/>
                    <w:rPr>
                      <w:rFonts w:hint="default" w:ascii="Times New Roman" w:hAnsi="Times New Roman" w:eastAsia="宋体"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南</w:t>
                  </w:r>
                  <w:r>
                    <w:rPr>
                      <w:rFonts w:hint="default" w:ascii="Times New Roman" w:hAnsi="Times New Roman" w:eastAsia="宋体" w:cs="Times New Roman"/>
                      <w:color w:val="auto"/>
                      <w:kern w:val="0"/>
                      <w:sz w:val="21"/>
                      <w:szCs w:val="21"/>
                      <w:highlight w:val="none"/>
                    </w:rPr>
                    <w:t>侧厂界外1m</w:t>
                  </w:r>
                </w:p>
              </w:tc>
              <w:tc>
                <w:tcPr>
                  <w:tcW w:w="1750" w:type="pct"/>
                  <w:tcBorders>
                    <w:top w:val="single" w:color="auto" w:sz="4" w:space="0"/>
                    <w:left w:val="single" w:color="auto" w:sz="4" w:space="0"/>
                    <w:bottom w:val="single" w:color="auto" w:sz="4" w:space="0"/>
                    <w:right w:val="single" w:color="auto" w:sz="4" w:space="0"/>
                  </w:tcBorders>
                  <w:vAlign w:val="center"/>
                </w:tcPr>
                <w:p w14:paraId="4D08DEB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37.5</w:t>
                  </w:r>
                </w:p>
              </w:tc>
              <w:tc>
                <w:tcPr>
                  <w:tcW w:w="1750" w:type="pct"/>
                  <w:tcBorders>
                    <w:top w:val="single" w:color="auto" w:sz="4" w:space="0"/>
                    <w:left w:val="single" w:color="auto" w:sz="4" w:space="0"/>
                    <w:bottom w:val="single" w:color="auto" w:sz="4" w:space="0"/>
                    <w:right w:val="single" w:color="auto" w:sz="4" w:space="0"/>
                  </w:tcBorders>
                  <w:vAlign w:val="center"/>
                </w:tcPr>
                <w:p w14:paraId="13662772">
                  <w:pPr>
                    <w:spacing w:line="0" w:lineRule="atLeast"/>
                    <w:jc w:val="center"/>
                    <w:rPr>
                      <w:rFonts w:hint="default" w:ascii="Times New Roman" w:hAnsi="Times New Roman" w:cs="Times New Roman"/>
                      <w:bCs/>
                      <w:color w:val="auto"/>
                      <w:kern w:val="0"/>
                      <w:sz w:val="21"/>
                      <w:szCs w:val="21"/>
                      <w:highlight w:val="none"/>
                      <w:lang w:val="en-US" w:eastAsia="zh-CN"/>
                    </w:rPr>
                  </w:pPr>
                  <w:r>
                    <w:rPr>
                      <w:rFonts w:hint="default" w:ascii="Times New Roman" w:hAnsi="Times New Roman" w:cs="Times New Roman"/>
                      <w:bCs/>
                      <w:color w:val="auto"/>
                      <w:kern w:val="0"/>
                      <w:sz w:val="21"/>
                      <w:szCs w:val="21"/>
                      <w:highlight w:val="none"/>
                      <w:lang w:val="en-US" w:eastAsia="zh-CN"/>
                    </w:rPr>
                    <w:t>65</w:t>
                  </w:r>
                </w:p>
              </w:tc>
            </w:tr>
            <w:tr w14:paraId="0277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9" w:type="pct"/>
                  <w:tcBorders>
                    <w:top w:val="single" w:color="auto" w:sz="4" w:space="0"/>
                    <w:left w:val="single" w:color="auto" w:sz="4" w:space="0"/>
                    <w:bottom w:val="single" w:color="auto" w:sz="4" w:space="0"/>
                    <w:right w:val="single" w:color="auto" w:sz="4" w:space="0"/>
                  </w:tcBorders>
                  <w:vAlign w:val="center"/>
                </w:tcPr>
                <w:p w14:paraId="2F1C8CA5">
                  <w:pPr>
                    <w:spacing w:line="0" w:lineRule="atLeast"/>
                    <w:jc w:val="center"/>
                    <w:rPr>
                      <w:rFonts w:hint="default" w:ascii="Times New Roman" w:hAnsi="Times New Roman" w:eastAsia="宋体"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西</w:t>
                  </w:r>
                  <w:r>
                    <w:rPr>
                      <w:rFonts w:hint="default" w:ascii="Times New Roman" w:hAnsi="Times New Roman" w:eastAsia="宋体" w:cs="Times New Roman"/>
                      <w:color w:val="auto"/>
                      <w:kern w:val="0"/>
                      <w:sz w:val="21"/>
                      <w:szCs w:val="21"/>
                      <w:highlight w:val="none"/>
                    </w:rPr>
                    <w:t>侧厂界外1m</w:t>
                  </w:r>
                </w:p>
              </w:tc>
              <w:tc>
                <w:tcPr>
                  <w:tcW w:w="1750" w:type="pct"/>
                  <w:tcBorders>
                    <w:top w:val="single" w:color="auto" w:sz="4" w:space="0"/>
                    <w:left w:val="single" w:color="auto" w:sz="4" w:space="0"/>
                    <w:bottom w:val="single" w:color="auto" w:sz="4" w:space="0"/>
                    <w:right w:val="single" w:color="auto" w:sz="4" w:space="0"/>
                  </w:tcBorders>
                  <w:vAlign w:val="center"/>
                </w:tcPr>
                <w:p w14:paraId="3F3242E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37.6</w:t>
                  </w:r>
                </w:p>
              </w:tc>
              <w:tc>
                <w:tcPr>
                  <w:tcW w:w="1750" w:type="pct"/>
                  <w:tcBorders>
                    <w:top w:val="single" w:color="auto" w:sz="4" w:space="0"/>
                    <w:left w:val="single" w:color="auto" w:sz="4" w:space="0"/>
                    <w:bottom w:val="single" w:color="auto" w:sz="4" w:space="0"/>
                    <w:right w:val="single" w:color="auto" w:sz="4" w:space="0"/>
                  </w:tcBorders>
                  <w:vAlign w:val="center"/>
                </w:tcPr>
                <w:p w14:paraId="2FDC9959">
                  <w:pPr>
                    <w:spacing w:line="0" w:lineRule="atLeast"/>
                    <w:jc w:val="center"/>
                    <w:rPr>
                      <w:rFonts w:hint="default" w:ascii="Times New Roman" w:hAnsi="Times New Roman" w:cs="Times New Roman"/>
                      <w:bCs/>
                      <w:color w:val="auto"/>
                      <w:kern w:val="0"/>
                      <w:sz w:val="21"/>
                      <w:szCs w:val="21"/>
                      <w:highlight w:val="none"/>
                      <w:lang w:val="en-US" w:eastAsia="zh-CN"/>
                    </w:rPr>
                  </w:pPr>
                  <w:r>
                    <w:rPr>
                      <w:rFonts w:hint="default" w:ascii="Times New Roman" w:hAnsi="Times New Roman" w:cs="Times New Roman"/>
                      <w:bCs/>
                      <w:color w:val="auto"/>
                      <w:kern w:val="0"/>
                      <w:sz w:val="21"/>
                      <w:szCs w:val="21"/>
                      <w:highlight w:val="none"/>
                      <w:lang w:val="en-US" w:eastAsia="zh-CN"/>
                    </w:rPr>
                    <w:t>65</w:t>
                  </w:r>
                </w:p>
              </w:tc>
            </w:tr>
            <w:tr w14:paraId="0A8D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99" w:type="pct"/>
                  <w:tcBorders>
                    <w:top w:val="single" w:color="auto" w:sz="4" w:space="0"/>
                    <w:left w:val="single" w:color="auto" w:sz="4" w:space="0"/>
                    <w:bottom w:val="single" w:color="auto" w:sz="4" w:space="0"/>
                    <w:right w:val="single" w:color="auto" w:sz="4" w:space="0"/>
                  </w:tcBorders>
                  <w:vAlign w:val="center"/>
                </w:tcPr>
                <w:p w14:paraId="6D157CE5">
                  <w:pPr>
                    <w:spacing w:line="0" w:lineRule="atLeas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北侧厂界外1m</w:t>
                  </w:r>
                </w:p>
              </w:tc>
              <w:tc>
                <w:tcPr>
                  <w:tcW w:w="1750" w:type="pct"/>
                  <w:tcBorders>
                    <w:top w:val="single" w:color="auto" w:sz="4" w:space="0"/>
                    <w:left w:val="single" w:color="auto" w:sz="4" w:space="0"/>
                    <w:bottom w:val="single" w:color="auto" w:sz="4" w:space="0"/>
                    <w:right w:val="single" w:color="auto" w:sz="4" w:space="0"/>
                  </w:tcBorders>
                  <w:vAlign w:val="center"/>
                </w:tcPr>
                <w:p w14:paraId="7115B78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26.8</w:t>
                  </w:r>
                </w:p>
              </w:tc>
              <w:tc>
                <w:tcPr>
                  <w:tcW w:w="1750" w:type="pct"/>
                  <w:tcBorders>
                    <w:top w:val="single" w:color="auto" w:sz="4" w:space="0"/>
                    <w:left w:val="single" w:color="auto" w:sz="4" w:space="0"/>
                    <w:bottom w:val="single" w:color="auto" w:sz="4" w:space="0"/>
                    <w:right w:val="single" w:color="auto" w:sz="4" w:space="0"/>
                  </w:tcBorders>
                  <w:vAlign w:val="center"/>
                </w:tcPr>
                <w:p w14:paraId="2217564C">
                  <w:pPr>
                    <w:spacing w:line="0" w:lineRule="atLeast"/>
                    <w:jc w:val="center"/>
                    <w:rPr>
                      <w:rFonts w:hint="default" w:ascii="Times New Roman" w:hAnsi="Times New Roman" w:cs="Times New Roman"/>
                      <w:bCs/>
                      <w:color w:val="auto"/>
                      <w:kern w:val="0"/>
                      <w:sz w:val="21"/>
                      <w:szCs w:val="21"/>
                      <w:highlight w:val="none"/>
                      <w:lang w:val="en-US" w:eastAsia="zh-CN"/>
                    </w:rPr>
                  </w:pPr>
                  <w:r>
                    <w:rPr>
                      <w:rFonts w:hint="default" w:ascii="Times New Roman" w:hAnsi="Times New Roman" w:cs="Times New Roman"/>
                      <w:bCs/>
                      <w:color w:val="auto"/>
                      <w:kern w:val="0"/>
                      <w:sz w:val="21"/>
                      <w:szCs w:val="21"/>
                      <w:highlight w:val="none"/>
                      <w:lang w:val="en-US" w:eastAsia="zh-CN"/>
                    </w:rPr>
                    <w:t>65</w:t>
                  </w:r>
                </w:p>
              </w:tc>
            </w:tr>
          </w:tbl>
          <w:p w14:paraId="7B7FCA5C">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正常工况下，在对主要设备进行消声、减振等措施后，本项目厂界噪声符合《工业企业厂界环境噪声排放标准》（GB12348-2008）3类昼间标准。</w:t>
            </w:r>
          </w:p>
          <w:p w14:paraId="201B421D">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3、噪声防治措施</w:t>
            </w:r>
          </w:p>
          <w:p w14:paraId="50C40BEE">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为更有效地减少本</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噪声源在项目边界区域的影响，根据本</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的特点，建设单位应采取以下措施：</w:t>
            </w:r>
          </w:p>
          <w:p w14:paraId="0C0A888C">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1）生产设备降噪措施</w:t>
            </w:r>
          </w:p>
          <w:p w14:paraId="0B252998">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①选用低噪、低振型生产设备。</w:t>
            </w:r>
          </w:p>
          <w:p w14:paraId="2BB971AE">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②点源噪声源设在建筑物内，通过建筑物的隔声降噪。</w:t>
            </w:r>
          </w:p>
          <w:p w14:paraId="044AE24D">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③车间门窗采用双层采光玻璃隔声、通风消声百叶窗及隔声门复合配制，靠近厂界方向一侧的门窗尽量少开或不开。</w:t>
            </w:r>
          </w:p>
          <w:p w14:paraId="47D85F64">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④对设备进行基础减振。</w:t>
            </w:r>
          </w:p>
          <w:p w14:paraId="52D05ABD">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⑤加强对生产设备的保养、检修与润滑，保证设备处于良好的运转状态。</w:t>
            </w:r>
          </w:p>
          <w:p w14:paraId="1E35F594">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2）合理布局防治噪声</w:t>
            </w:r>
          </w:p>
          <w:p w14:paraId="171AFE58">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主要的生产设备均设置在车间内，加强车间的密闭性，通过车间实体墙壁、窗户的隔声作用减少机械噪声对外传播；</w:t>
            </w:r>
          </w:p>
          <w:p w14:paraId="019C25B4">
            <w:pPr>
              <w:spacing w:line="360" w:lineRule="auto"/>
              <w:ind w:firstLine="480" w:firstLineChars="200"/>
              <w:rPr>
                <w:rFonts w:ascii="Times New Roman" w:hAnsi="Times New Roman" w:eastAsia="宋体" w:cs="Times New Roman"/>
                <w:sz w:val="24"/>
              </w:rPr>
            </w:pPr>
            <w:r>
              <w:rPr>
                <w:rFonts w:ascii="Times New Roman" w:hAnsi="Times New Roman" w:cs="Times New Roman"/>
                <w:sz w:val="24"/>
              </w:rPr>
              <w:t>4、</w:t>
            </w:r>
            <w:r>
              <w:rPr>
                <w:rFonts w:hint="eastAsia" w:ascii="Times New Roman" w:hAnsi="Times New Roman" w:eastAsia="宋体" w:cs="Times New Roman"/>
                <w:sz w:val="24"/>
              </w:rPr>
              <w:t>厂界和环境保护目标达标情况分析</w:t>
            </w:r>
          </w:p>
          <w:p w14:paraId="5E5F128D">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根据现场勘查，本</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厂界50米范围内不存在声环境保护目标。本</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选用环保低噪型设备；车间根据生产需要、设备情况等合理布局；对</w:t>
            </w:r>
            <w:r>
              <w:rPr>
                <w:rFonts w:ascii="Times New Roman" w:hAnsi="Times New Roman" w:eastAsia="宋体" w:cs="宋体"/>
                <w:sz w:val="24"/>
              </w:rPr>
              <w:t>抛丸机、浇注机、刷胶机、数控机床、普通车床</w:t>
            </w:r>
            <w:r>
              <w:rPr>
                <w:rFonts w:hint="eastAsia" w:ascii="Times New Roman" w:hAnsi="Times New Roman" w:eastAsia="宋体" w:cs="Times New Roman"/>
                <w:sz w:val="24"/>
              </w:rPr>
              <w:t>采取消声、减震和隔声等处理；同时加强生产设备及人员管理，夜间不进行生产。</w:t>
            </w:r>
          </w:p>
          <w:p w14:paraId="005792DB">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综上所述，本</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通过采取上述有效降噪措施，</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厂界噪声贡献值基本满足《工业企业厂界环境噪声排放标准》（GB12348-2008）中的3类标准，对周边声环境无明显不良影响。</w:t>
            </w:r>
          </w:p>
          <w:p w14:paraId="3AA97C27">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5、监测计划</w:t>
            </w:r>
          </w:p>
          <w:p w14:paraId="130CBE89">
            <w:pPr>
              <w:pStyle w:val="20"/>
              <w:ind w:firstLine="480" w:firstLineChars="200"/>
            </w:pPr>
            <w:r>
              <w:rPr>
                <w:rFonts w:hint="eastAsia"/>
              </w:rPr>
              <w:t>根据《排污单位自行监测技术指南总则》（HJ819-2017）</w:t>
            </w:r>
            <w:r>
              <w:rPr>
                <w:rFonts w:hint="eastAsia"/>
                <w:color w:val="000000" w:themeColor="text1"/>
                <w14:textFill>
                  <w14:solidFill>
                    <w14:schemeClr w14:val="tx1"/>
                  </w14:solidFill>
                </w14:textFill>
              </w:rPr>
              <w:t>和《排污单位自行监测技术指南 橡胶和塑料制品》（HJ 12</w:t>
            </w:r>
            <w:r>
              <w:rPr>
                <w:color w:val="000000" w:themeColor="text1"/>
                <w14:textFill>
                  <w14:solidFill>
                    <w14:schemeClr w14:val="tx1"/>
                  </w14:solidFill>
                </w14:textFill>
              </w:rPr>
              <w:t>07</w:t>
            </w:r>
            <w:r>
              <w:rPr>
                <w:rFonts w:hint="eastAsia"/>
                <w:color w:val="000000" w:themeColor="text1"/>
                <w14:textFill>
                  <w14:solidFill>
                    <w14:schemeClr w14:val="tx1"/>
                  </w14:solidFill>
                </w14:textFill>
              </w:rPr>
              <w:t>-20</w:t>
            </w:r>
            <w:r>
              <w:rPr>
                <w:color w:val="000000" w:themeColor="text1"/>
                <w14:textFill>
                  <w14:solidFill>
                    <w14:schemeClr w14:val="tx1"/>
                  </w14:solidFill>
                </w14:textFill>
              </w:rPr>
              <w:t>21</w:t>
            </w:r>
            <w:r>
              <w:rPr>
                <w:rFonts w:hint="eastAsia"/>
                <w:color w:val="000000" w:themeColor="text1"/>
                <w14:textFill>
                  <w14:solidFill>
                    <w14:schemeClr w14:val="tx1"/>
                  </w14:solidFill>
                </w14:textFill>
              </w:rPr>
              <w:t>），本</w:t>
            </w:r>
            <w:r>
              <w:rPr>
                <w:rFonts w:hint="eastAsia"/>
                <w:color w:val="000000" w:themeColor="text1"/>
                <w:lang w:eastAsia="zh-CN"/>
                <w14:textFill>
                  <w14:solidFill>
                    <w14:schemeClr w14:val="tx1"/>
                  </w14:solidFill>
                </w14:textFill>
              </w:rPr>
              <w:t>项目</w:t>
            </w:r>
            <w:r>
              <w:rPr>
                <w:rFonts w:hint="eastAsia"/>
                <w:color w:val="000000" w:themeColor="text1"/>
                <w14:textFill>
                  <w14:solidFill>
                    <w14:schemeClr w14:val="tx1"/>
                  </w14:solidFill>
                </w14:textFill>
              </w:rPr>
              <w:t>污</w:t>
            </w:r>
            <w:r>
              <w:rPr>
                <w:rFonts w:hint="eastAsia"/>
              </w:rPr>
              <w:t>染源监测计划见下表</w:t>
            </w:r>
            <w:r>
              <w:t>。</w:t>
            </w:r>
          </w:p>
          <w:p w14:paraId="6AF651E1">
            <w:pPr>
              <w:tabs>
                <w:tab w:val="left" w:pos="652"/>
              </w:tabs>
              <w:ind w:firstLine="422" w:firstLineChars="200"/>
              <w:jc w:val="center"/>
              <w:rPr>
                <w:rFonts w:ascii="Times New Roman" w:hAnsi="Times New Roman" w:eastAsia="宋体" w:cs="宋体"/>
                <w:b/>
                <w:szCs w:val="21"/>
              </w:rPr>
            </w:pPr>
            <w:r>
              <w:rPr>
                <w:rFonts w:ascii="Times New Roman" w:hAnsi="Times New Roman" w:eastAsia="宋体" w:cs="宋体"/>
                <w:b/>
                <w:szCs w:val="21"/>
              </w:rPr>
              <w:t>表</w:t>
            </w:r>
            <w:r>
              <w:rPr>
                <w:rFonts w:hint="eastAsia" w:ascii="Times New Roman" w:hAnsi="Times New Roman" w:eastAsia="宋体" w:cs="宋体"/>
                <w:b/>
                <w:szCs w:val="21"/>
              </w:rPr>
              <w:t>4</w:t>
            </w:r>
            <w:r>
              <w:rPr>
                <w:rFonts w:ascii="Times New Roman" w:hAnsi="Times New Roman" w:eastAsia="宋体" w:cs="宋体"/>
                <w:b/>
                <w:szCs w:val="21"/>
              </w:rPr>
              <w:t>-</w:t>
            </w:r>
            <w:r>
              <w:rPr>
                <w:rFonts w:hint="eastAsia" w:ascii="Times New Roman" w:hAnsi="Times New Roman" w:eastAsia="宋体" w:cs="宋体"/>
                <w:b/>
                <w:szCs w:val="21"/>
                <w:lang w:val="en-US" w:eastAsia="zh-CN"/>
              </w:rPr>
              <w:t>24</w:t>
            </w:r>
            <w:r>
              <w:rPr>
                <w:rFonts w:hint="eastAsia" w:ascii="Times New Roman" w:hAnsi="Times New Roman" w:eastAsia="宋体" w:cs="宋体"/>
                <w:b/>
                <w:szCs w:val="21"/>
              </w:rPr>
              <w:t xml:space="preserve"> 噪声监测计划</w:t>
            </w:r>
          </w:p>
          <w:tbl>
            <w:tblPr>
              <w:tblStyle w:val="3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6"/>
              <w:gridCol w:w="1085"/>
              <w:gridCol w:w="1320"/>
              <w:gridCol w:w="1716"/>
              <w:gridCol w:w="3161"/>
            </w:tblGrid>
            <w:tr w14:paraId="089C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 w:hRule="atLeast"/>
                <w:jc w:val="center"/>
              </w:trPr>
              <w:tc>
                <w:tcPr>
                  <w:tcW w:w="707" w:type="dxa"/>
                  <w:vAlign w:val="center"/>
                </w:tcPr>
                <w:p w14:paraId="06B002DA">
                  <w:pPr>
                    <w:pStyle w:val="301"/>
                    <w:spacing w:line="240" w:lineRule="auto"/>
                    <w:ind w:firstLine="0" w:firstLineChars="0"/>
                    <w:jc w:val="center"/>
                    <w:rPr>
                      <w:sz w:val="21"/>
                      <w:szCs w:val="21"/>
                    </w:rPr>
                  </w:pPr>
                  <w:r>
                    <w:rPr>
                      <w:sz w:val="21"/>
                      <w:szCs w:val="21"/>
                    </w:rPr>
                    <w:t>序号</w:t>
                  </w:r>
                </w:p>
              </w:tc>
              <w:tc>
                <w:tcPr>
                  <w:tcW w:w="1100" w:type="dxa"/>
                  <w:vAlign w:val="center"/>
                </w:tcPr>
                <w:p w14:paraId="296A1E11">
                  <w:pPr>
                    <w:pStyle w:val="301"/>
                    <w:spacing w:line="240" w:lineRule="auto"/>
                    <w:ind w:firstLine="0" w:firstLineChars="0"/>
                    <w:jc w:val="center"/>
                    <w:rPr>
                      <w:sz w:val="21"/>
                      <w:szCs w:val="21"/>
                    </w:rPr>
                  </w:pPr>
                  <w:r>
                    <w:rPr>
                      <w:sz w:val="21"/>
                      <w:szCs w:val="21"/>
                    </w:rPr>
                    <w:t>监测点位</w:t>
                  </w:r>
                </w:p>
              </w:tc>
              <w:tc>
                <w:tcPr>
                  <w:tcW w:w="1339" w:type="dxa"/>
                  <w:vAlign w:val="center"/>
                </w:tcPr>
                <w:p w14:paraId="671046D8">
                  <w:pPr>
                    <w:pStyle w:val="301"/>
                    <w:spacing w:line="240" w:lineRule="auto"/>
                    <w:ind w:firstLine="0" w:firstLineChars="0"/>
                    <w:jc w:val="center"/>
                    <w:rPr>
                      <w:sz w:val="21"/>
                      <w:szCs w:val="21"/>
                    </w:rPr>
                  </w:pPr>
                  <w:r>
                    <w:rPr>
                      <w:sz w:val="21"/>
                      <w:szCs w:val="21"/>
                    </w:rPr>
                    <w:t>监测频次</w:t>
                  </w:r>
                </w:p>
              </w:tc>
              <w:tc>
                <w:tcPr>
                  <w:tcW w:w="1740" w:type="dxa"/>
                  <w:vAlign w:val="center"/>
                </w:tcPr>
                <w:p w14:paraId="767AB00C">
                  <w:pPr>
                    <w:pStyle w:val="301"/>
                    <w:spacing w:line="240" w:lineRule="auto"/>
                    <w:ind w:firstLine="0" w:firstLineChars="0"/>
                    <w:jc w:val="center"/>
                    <w:rPr>
                      <w:sz w:val="21"/>
                      <w:szCs w:val="21"/>
                    </w:rPr>
                  </w:pPr>
                  <w:r>
                    <w:rPr>
                      <w:sz w:val="21"/>
                      <w:szCs w:val="21"/>
                    </w:rPr>
                    <w:t>排放限值 dB(A)</w:t>
                  </w:r>
                </w:p>
              </w:tc>
              <w:tc>
                <w:tcPr>
                  <w:tcW w:w="3206" w:type="dxa"/>
                  <w:vAlign w:val="center"/>
                </w:tcPr>
                <w:p w14:paraId="5BC0A58F">
                  <w:pPr>
                    <w:pStyle w:val="301"/>
                    <w:spacing w:line="240" w:lineRule="auto"/>
                    <w:ind w:firstLine="0" w:firstLineChars="0"/>
                    <w:jc w:val="center"/>
                    <w:rPr>
                      <w:sz w:val="21"/>
                      <w:szCs w:val="21"/>
                    </w:rPr>
                  </w:pPr>
                  <w:r>
                    <w:rPr>
                      <w:sz w:val="21"/>
                      <w:szCs w:val="21"/>
                    </w:rPr>
                    <w:t>执行排放标准</w:t>
                  </w:r>
                </w:p>
              </w:tc>
            </w:tr>
            <w:tr w14:paraId="3270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jc w:val="center"/>
              </w:trPr>
              <w:tc>
                <w:tcPr>
                  <w:tcW w:w="707" w:type="dxa"/>
                  <w:vAlign w:val="center"/>
                </w:tcPr>
                <w:p w14:paraId="6C5DED80">
                  <w:pPr>
                    <w:pStyle w:val="301"/>
                    <w:spacing w:line="240" w:lineRule="auto"/>
                    <w:ind w:firstLine="0" w:firstLineChars="0"/>
                    <w:jc w:val="center"/>
                    <w:rPr>
                      <w:sz w:val="21"/>
                      <w:szCs w:val="21"/>
                    </w:rPr>
                  </w:pPr>
                  <w:r>
                    <w:rPr>
                      <w:sz w:val="21"/>
                      <w:szCs w:val="21"/>
                    </w:rPr>
                    <w:t>1</w:t>
                  </w:r>
                </w:p>
              </w:tc>
              <w:tc>
                <w:tcPr>
                  <w:tcW w:w="1100" w:type="dxa"/>
                  <w:vAlign w:val="center"/>
                </w:tcPr>
                <w:p w14:paraId="6A6D3C29">
                  <w:pPr>
                    <w:pStyle w:val="301"/>
                    <w:spacing w:line="240" w:lineRule="auto"/>
                    <w:ind w:firstLine="0" w:firstLineChars="0"/>
                    <w:jc w:val="center"/>
                    <w:rPr>
                      <w:sz w:val="21"/>
                      <w:szCs w:val="21"/>
                    </w:rPr>
                  </w:pPr>
                  <w:r>
                    <w:rPr>
                      <w:sz w:val="21"/>
                      <w:szCs w:val="21"/>
                    </w:rPr>
                    <w:t>厂界四周</w:t>
                  </w:r>
                </w:p>
              </w:tc>
              <w:tc>
                <w:tcPr>
                  <w:tcW w:w="1339" w:type="dxa"/>
                  <w:vAlign w:val="center"/>
                </w:tcPr>
                <w:p w14:paraId="7BA9EA0D">
                  <w:pPr>
                    <w:pStyle w:val="301"/>
                    <w:spacing w:line="240" w:lineRule="auto"/>
                    <w:ind w:firstLine="0" w:firstLineChars="0"/>
                    <w:jc w:val="center"/>
                    <w:rPr>
                      <w:sz w:val="21"/>
                      <w:szCs w:val="21"/>
                    </w:rPr>
                  </w:pPr>
                  <w:r>
                    <w:rPr>
                      <w:sz w:val="21"/>
                      <w:szCs w:val="21"/>
                    </w:rPr>
                    <w:t>1 次/季度</w:t>
                  </w:r>
                </w:p>
              </w:tc>
              <w:tc>
                <w:tcPr>
                  <w:tcW w:w="1740" w:type="dxa"/>
                  <w:vAlign w:val="center"/>
                </w:tcPr>
                <w:p w14:paraId="4084E9E9">
                  <w:pPr>
                    <w:pStyle w:val="301"/>
                    <w:spacing w:line="240" w:lineRule="auto"/>
                    <w:ind w:firstLine="0" w:firstLineChars="0"/>
                    <w:jc w:val="center"/>
                    <w:rPr>
                      <w:sz w:val="21"/>
                      <w:szCs w:val="21"/>
                    </w:rPr>
                  </w:pPr>
                  <w:r>
                    <w:rPr>
                      <w:rFonts w:hint="eastAsia"/>
                      <w:sz w:val="21"/>
                      <w:szCs w:val="21"/>
                    </w:rPr>
                    <w:t>昼间≤65dB（A）；夜间不生产</w:t>
                  </w:r>
                </w:p>
              </w:tc>
              <w:tc>
                <w:tcPr>
                  <w:tcW w:w="3206" w:type="dxa"/>
                  <w:vAlign w:val="center"/>
                </w:tcPr>
                <w:p w14:paraId="460E6CC8">
                  <w:pPr>
                    <w:pStyle w:val="301"/>
                    <w:spacing w:line="240" w:lineRule="auto"/>
                    <w:ind w:firstLine="0" w:firstLineChars="0"/>
                    <w:jc w:val="center"/>
                    <w:rPr>
                      <w:sz w:val="21"/>
                      <w:szCs w:val="21"/>
                    </w:rPr>
                  </w:pPr>
                  <w:r>
                    <w:rPr>
                      <w:sz w:val="21"/>
                      <w:szCs w:val="21"/>
                    </w:rPr>
                    <w:t>《工业企业厂界环境噪声排放标 准》（GB12348-2008）3 类标准</w:t>
                  </w:r>
                </w:p>
              </w:tc>
            </w:tr>
          </w:tbl>
          <w:p w14:paraId="302665CD">
            <w:pPr>
              <w:tabs>
                <w:tab w:val="left" w:pos="652"/>
              </w:tabs>
              <w:spacing w:line="360" w:lineRule="auto"/>
              <w:rPr>
                <w:rFonts w:ascii="Times New Roman" w:hAnsi="Times New Roman" w:eastAsia="宋体" w:cs="宋体"/>
                <w:sz w:val="24"/>
              </w:rPr>
            </w:pPr>
          </w:p>
          <w:p w14:paraId="1D5833AF">
            <w:pPr>
              <w:tabs>
                <w:tab w:val="left" w:pos="652"/>
              </w:tabs>
              <w:spacing w:line="360" w:lineRule="auto"/>
              <w:jc w:val="left"/>
              <w:rPr>
                <w:b/>
                <w:sz w:val="24"/>
              </w:rPr>
            </w:pPr>
            <w:r>
              <w:rPr>
                <w:rFonts w:hint="eastAsia"/>
                <w:b/>
                <w:sz w:val="24"/>
              </w:rPr>
              <w:t>四、固体废物</w:t>
            </w:r>
          </w:p>
          <w:p w14:paraId="4633EE2E">
            <w:pPr>
              <w:tabs>
                <w:tab w:val="left" w:pos="652"/>
              </w:tabs>
              <w:spacing w:line="360" w:lineRule="auto"/>
              <w:ind w:firstLine="480" w:firstLineChars="200"/>
              <w:jc w:val="left"/>
              <w:rPr>
                <w:rFonts w:ascii="Times New Roman" w:hAnsi="Times New Roman" w:eastAsia="宋体" w:cs="宋体"/>
                <w:sz w:val="24"/>
              </w:rPr>
            </w:pPr>
            <w:r>
              <w:rPr>
                <w:rFonts w:hint="eastAsia" w:ascii="Times New Roman" w:hAnsi="Times New Roman" w:eastAsia="宋体" w:cs="宋体"/>
                <w:sz w:val="24"/>
              </w:rPr>
              <w:t>本</w:t>
            </w:r>
            <w:r>
              <w:rPr>
                <w:rFonts w:hint="eastAsia" w:ascii="Times New Roman" w:hAnsi="Times New Roman" w:eastAsia="宋体" w:cs="宋体"/>
                <w:sz w:val="24"/>
                <w:lang w:eastAsia="zh-CN"/>
              </w:rPr>
              <w:t>项目</w:t>
            </w:r>
            <w:r>
              <w:rPr>
                <w:rFonts w:hint="eastAsia" w:ascii="Times New Roman" w:hAnsi="Times New Roman" w:eastAsia="宋体" w:cs="宋体"/>
                <w:sz w:val="24"/>
              </w:rPr>
              <w:t>固废主要包括生活垃圾、抛丸清理机收集的粉尘、废边角料、废钢丸、废树脂、废布袋、一般废包装材料、废机油、危险废包装材料、废含油抹布及手套、废切削液、废切削液包装桶、废金属边角料、含漆抹布及手</w:t>
            </w:r>
            <w:r>
              <w:rPr>
                <w:rFonts w:hint="eastAsia" w:ascii="Times New Roman" w:hAnsi="Times New Roman" w:eastAsia="宋体" w:cs="宋体"/>
                <w:color w:val="000000" w:themeColor="text1"/>
                <w:sz w:val="24"/>
                <w14:textFill>
                  <w14:solidFill>
                    <w14:schemeClr w14:val="tx1"/>
                  </w14:solidFill>
                </w14:textFill>
              </w:rPr>
              <w:t>套、废干式过滤棉</w:t>
            </w:r>
            <w:r>
              <w:rPr>
                <w:rFonts w:hint="eastAsia" w:ascii="Times New Roman" w:hAnsi="Times New Roman" w:eastAsia="宋体" w:cs="宋体"/>
                <w:color w:val="000000" w:themeColor="text1"/>
                <w:sz w:val="24"/>
                <w:lang w:val="en-US" w:eastAsia="zh-CN"/>
                <w14:textFill>
                  <w14:solidFill>
                    <w14:schemeClr w14:val="tx1"/>
                  </w14:solidFill>
                </w14:textFill>
              </w:rPr>
              <w:t>及漆渣</w:t>
            </w:r>
            <w:r>
              <w:rPr>
                <w:rFonts w:hint="eastAsia" w:ascii="Times New Roman" w:hAnsi="Times New Roman" w:eastAsia="宋体" w:cs="宋体"/>
                <w:color w:val="000000" w:themeColor="text1"/>
                <w:sz w:val="24"/>
                <w14:textFill>
                  <w14:solidFill>
                    <w14:schemeClr w14:val="tx1"/>
                  </w14:solidFill>
                </w14:textFill>
              </w:rPr>
              <w:t>、清洗废液</w:t>
            </w:r>
            <w:r>
              <w:rPr>
                <w:rFonts w:hint="eastAsia" w:ascii="Times New Roman" w:hAnsi="Times New Roman" w:eastAsia="宋体" w:cs="宋体"/>
                <w:color w:val="000000" w:themeColor="text1"/>
                <w:sz w:val="24"/>
                <w:lang w:eastAsia="zh-CN"/>
                <w14:textFill>
                  <w14:solidFill>
                    <w14:schemeClr w14:val="tx1"/>
                  </w14:solidFill>
                </w14:textFill>
              </w:rPr>
              <w:t>、</w:t>
            </w:r>
            <w:r>
              <w:rPr>
                <w:rFonts w:hint="eastAsia" w:ascii="Times New Roman" w:hAnsi="Times New Roman" w:eastAsia="宋体" w:cs="宋体"/>
                <w:color w:val="000000" w:themeColor="text1"/>
                <w:sz w:val="24"/>
                <w:lang w:val="en-US" w:eastAsia="zh-CN"/>
                <w14:textFill>
                  <w14:solidFill>
                    <w14:schemeClr w14:val="tx1"/>
                  </w14:solidFill>
                </w14:textFill>
              </w:rPr>
              <w:t>喷淋废液及沉渣、废活性炭</w:t>
            </w:r>
            <w:r>
              <w:rPr>
                <w:rFonts w:hint="eastAsia" w:ascii="Times New Roman" w:hAnsi="Times New Roman" w:eastAsia="宋体" w:cs="宋体"/>
                <w:sz w:val="24"/>
              </w:rPr>
              <w:t>。</w:t>
            </w:r>
          </w:p>
          <w:p w14:paraId="1B57D01E">
            <w:pPr>
              <w:tabs>
                <w:tab w:val="left" w:pos="652"/>
              </w:tabs>
              <w:spacing w:line="360" w:lineRule="auto"/>
              <w:ind w:firstLine="480" w:firstLineChars="200"/>
              <w:jc w:val="left"/>
              <w:rPr>
                <w:rFonts w:ascii="Times New Roman" w:hAnsi="Times New Roman" w:eastAsia="宋体" w:cs="宋体"/>
                <w:sz w:val="24"/>
              </w:rPr>
            </w:pPr>
            <w:r>
              <w:rPr>
                <w:rFonts w:hint="eastAsia" w:ascii="Times New Roman" w:hAnsi="Times New Roman" w:eastAsia="宋体" w:cs="宋体"/>
                <w:sz w:val="24"/>
              </w:rPr>
              <w:t>（1）一般废物</w:t>
            </w:r>
          </w:p>
          <w:p w14:paraId="1F4BEDC3">
            <w:pPr>
              <w:tabs>
                <w:tab w:val="left" w:pos="652"/>
              </w:tabs>
              <w:spacing w:line="360" w:lineRule="auto"/>
              <w:ind w:firstLine="480" w:firstLineChars="200"/>
              <w:jc w:val="left"/>
              <w:rPr>
                <w:rFonts w:ascii="Times New Roman" w:hAnsi="Times New Roman" w:eastAsia="宋体" w:cs="宋体"/>
                <w:sz w:val="24"/>
              </w:rPr>
            </w:pPr>
            <w:r>
              <w:rPr>
                <w:rFonts w:hint="eastAsia" w:ascii="Times New Roman" w:hAnsi="Times New Roman" w:eastAsia="宋体" w:cs="宋体"/>
                <w:sz w:val="24"/>
              </w:rPr>
              <w:t>①生活垃圾</w:t>
            </w:r>
          </w:p>
          <w:p w14:paraId="0C5065F7">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新增员工</w:t>
            </w:r>
            <w:r>
              <w:rPr>
                <w:rFonts w:ascii="Times New Roman" w:hAnsi="Times New Roman" w:eastAsia="宋体" w:cs="Times New Roman"/>
                <w:sz w:val="24"/>
              </w:rPr>
              <w:t>20</w:t>
            </w:r>
            <w:r>
              <w:rPr>
                <w:rFonts w:hint="eastAsia" w:ascii="Times New Roman" w:hAnsi="Times New Roman" w:eastAsia="宋体" w:cs="Times New Roman"/>
                <w:sz w:val="24"/>
              </w:rPr>
              <w:t>人，员工生活垃圾按每人每日产生量0.5kg计，生活垃圾的产生量</w:t>
            </w:r>
            <w:r>
              <w:rPr>
                <w:rFonts w:ascii="Times New Roman" w:hAnsi="Times New Roman" w:eastAsia="宋体" w:cs="Times New Roman"/>
                <w:sz w:val="24"/>
              </w:rPr>
              <w:t>10</w:t>
            </w:r>
            <w:r>
              <w:rPr>
                <w:rFonts w:hint="eastAsia" w:ascii="Times New Roman" w:hAnsi="Times New Roman" w:eastAsia="宋体" w:cs="Times New Roman"/>
                <w:sz w:val="24"/>
              </w:rPr>
              <w:t>t/a。生活垃圾主要成分为废纸、玻璃、果皮、残剩食物、塑料包装袋等。生活垃圾交由环卫部门清运。根据《固体废物分类与代码目录》（生态环境部公告 2024年 第4号），其固废代码为900-0</w:t>
            </w:r>
            <w:r>
              <w:rPr>
                <w:rFonts w:ascii="Times New Roman" w:hAnsi="Times New Roman" w:eastAsia="宋体" w:cs="Times New Roman"/>
                <w:sz w:val="24"/>
              </w:rPr>
              <w:t>99</w:t>
            </w:r>
            <w:r>
              <w:rPr>
                <w:rFonts w:hint="eastAsia" w:ascii="Times New Roman" w:hAnsi="Times New Roman" w:eastAsia="宋体" w:cs="Times New Roman"/>
                <w:sz w:val="24"/>
              </w:rPr>
              <w:t>-S</w:t>
            </w:r>
            <w:r>
              <w:rPr>
                <w:rFonts w:ascii="Times New Roman" w:hAnsi="Times New Roman" w:eastAsia="宋体" w:cs="Times New Roman"/>
                <w:sz w:val="24"/>
              </w:rPr>
              <w:t>64</w:t>
            </w:r>
            <w:r>
              <w:rPr>
                <w:rFonts w:hint="eastAsia" w:ascii="Times New Roman" w:hAnsi="Times New Roman" w:eastAsia="宋体" w:cs="Times New Roman"/>
                <w:sz w:val="24"/>
              </w:rPr>
              <w:t>。</w:t>
            </w:r>
          </w:p>
          <w:p w14:paraId="29F3F7EE">
            <w:pPr>
              <w:tabs>
                <w:tab w:val="left" w:pos="652"/>
              </w:tabs>
              <w:spacing w:line="360" w:lineRule="auto"/>
              <w:ind w:firstLine="480" w:firstLineChars="200"/>
              <w:jc w:val="left"/>
              <w:rPr>
                <w:rFonts w:ascii="Times New Roman" w:hAnsi="Times New Roman" w:eastAsia="宋体" w:cs="宋体"/>
                <w:sz w:val="24"/>
              </w:rPr>
            </w:pPr>
            <w:r>
              <w:rPr>
                <w:rFonts w:hint="eastAsia" w:ascii="Times New Roman" w:hAnsi="Times New Roman" w:eastAsia="宋体" w:cs="宋体"/>
                <w:sz w:val="24"/>
              </w:rPr>
              <w:t>②抛丸清理机收集的粉尘</w:t>
            </w:r>
          </w:p>
          <w:p w14:paraId="0F7B3171">
            <w:pPr>
              <w:tabs>
                <w:tab w:val="left" w:pos="652"/>
              </w:tabs>
              <w:spacing w:line="360" w:lineRule="auto"/>
              <w:ind w:firstLine="480" w:firstLineChars="200"/>
              <w:jc w:val="left"/>
              <w:rPr>
                <w:rFonts w:ascii="Times New Roman" w:hAnsi="Times New Roman" w:eastAsia="宋体" w:cs="宋体"/>
                <w:sz w:val="24"/>
              </w:rPr>
            </w:pPr>
            <w:r>
              <w:rPr>
                <w:rFonts w:hint="eastAsia" w:ascii="Times New Roman" w:hAnsi="Times New Roman" w:eastAsia="宋体" w:cs="宋体"/>
                <w:sz w:val="24"/>
              </w:rPr>
              <w:t>本</w:t>
            </w:r>
            <w:r>
              <w:rPr>
                <w:rFonts w:hint="eastAsia" w:ascii="Times New Roman" w:hAnsi="Times New Roman" w:eastAsia="宋体" w:cs="宋体"/>
                <w:sz w:val="24"/>
                <w:lang w:eastAsia="zh-CN"/>
              </w:rPr>
              <w:t>项目</w:t>
            </w:r>
            <w:r>
              <w:rPr>
                <w:rFonts w:hint="eastAsia" w:ascii="Times New Roman" w:hAnsi="Times New Roman" w:eastAsia="宋体" w:cs="宋体"/>
                <w:sz w:val="24"/>
              </w:rPr>
              <w:t xml:space="preserve">抛丸机产生的粉尘由自带的履带式抛丸清理机进行收集，根据企业提供的资料，收集的粉尘约 </w:t>
            </w:r>
            <w:r>
              <w:rPr>
                <w:rFonts w:ascii="Times New Roman" w:hAnsi="Times New Roman" w:eastAsia="宋体" w:cs="宋体"/>
                <w:sz w:val="24"/>
              </w:rPr>
              <w:t>2</w:t>
            </w:r>
            <w:r>
              <w:rPr>
                <w:rFonts w:hint="eastAsia" w:ascii="Times New Roman" w:hAnsi="Times New Roman" w:eastAsia="宋体" w:cs="宋体"/>
                <w:sz w:val="24"/>
              </w:rPr>
              <w:t>t/a ，统一收集暂存后交资质单位处理。根据《固体废物分类与代码目录》（生态环境部公告 2024年 第4号），其固废代码为900-099-S59。</w:t>
            </w:r>
          </w:p>
          <w:p w14:paraId="74796C6A">
            <w:pPr>
              <w:tabs>
                <w:tab w:val="left" w:pos="652"/>
              </w:tabs>
              <w:spacing w:line="360" w:lineRule="auto"/>
              <w:ind w:firstLine="480" w:firstLineChars="200"/>
              <w:jc w:val="left"/>
              <w:rPr>
                <w:rFonts w:ascii="Times New Roman" w:hAnsi="Times New Roman" w:eastAsia="宋体" w:cs="宋体"/>
                <w:color w:val="000000" w:themeColor="text1"/>
                <w:sz w:val="24"/>
                <w14:textFill>
                  <w14:solidFill>
                    <w14:schemeClr w14:val="tx1"/>
                  </w14:solidFill>
                </w14:textFill>
              </w:rPr>
            </w:pPr>
            <w:r>
              <w:rPr>
                <w:rFonts w:hint="eastAsia" w:ascii="Times New Roman" w:hAnsi="Times New Roman" w:eastAsia="宋体" w:cs="宋体"/>
                <w:color w:val="000000" w:themeColor="text1"/>
                <w:sz w:val="24"/>
                <w14:textFill>
                  <w14:solidFill>
                    <w14:schemeClr w14:val="tx1"/>
                  </w14:solidFill>
                </w14:textFill>
              </w:rPr>
              <w:t>③废钢丸</w:t>
            </w:r>
          </w:p>
          <w:p w14:paraId="04157599">
            <w:pPr>
              <w:tabs>
                <w:tab w:val="left" w:pos="652"/>
              </w:tabs>
              <w:spacing w:line="360" w:lineRule="auto"/>
              <w:ind w:firstLine="480" w:firstLineChars="200"/>
              <w:jc w:val="left"/>
              <w:rPr>
                <w:rFonts w:ascii="Times New Roman" w:hAnsi="Times New Roman" w:eastAsia="宋体" w:cs="宋体"/>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抛丸过程会使用到钢丸，钢丸使用一段时间后需进行更换，根据企业提供资料，项目废钢丸产生量约为1t/a，交由资源回收单位利用。根据《固体废物分类与代码目录》（生态环境部公告 2024年 第4号），其固废代码为900-099-S17。</w:t>
            </w:r>
          </w:p>
          <w:p w14:paraId="535AAA97">
            <w:pPr>
              <w:tabs>
                <w:tab w:val="left" w:pos="652"/>
              </w:tabs>
              <w:spacing w:line="360" w:lineRule="auto"/>
              <w:ind w:firstLine="480" w:firstLineChars="200"/>
              <w:jc w:val="left"/>
              <w:rPr>
                <w:rFonts w:ascii="Times New Roman" w:hAnsi="Times New Roman" w:eastAsia="宋体" w:cs="宋体"/>
                <w:sz w:val="24"/>
              </w:rPr>
            </w:pPr>
            <w:r>
              <w:rPr>
                <w:rFonts w:hint="eastAsia" w:ascii="Times New Roman" w:hAnsi="Times New Roman" w:eastAsia="宋体" w:cs="宋体"/>
                <w:sz w:val="24"/>
              </w:rPr>
              <w:t>④废树脂</w:t>
            </w:r>
          </w:p>
          <w:p w14:paraId="7661C198">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宋体"/>
                <w:sz w:val="24"/>
              </w:rPr>
              <w:t>本</w:t>
            </w:r>
            <w:r>
              <w:rPr>
                <w:rFonts w:hint="eastAsia" w:ascii="Times New Roman" w:hAnsi="Times New Roman" w:eastAsia="宋体" w:cs="宋体"/>
                <w:sz w:val="24"/>
                <w:lang w:eastAsia="zh-CN"/>
              </w:rPr>
              <w:t>项目</w:t>
            </w:r>
            <w:r>
              <w:rPr>
                <w:rFonts w:hint="eastAsia" w:ascii="Times New Roman" w:hAnsi="Times New Roman" w:eastAsia="宋体" w:cs="宋体"/>
                <w:sz w:val="24"/>
              </w:rPr>
              <w:t>去</w:t>
            </w:r>
            <w:r>
              <w:rPr>
                <w:rFonts w:hint="eastAsia" w:ascii="Times New Roman" w:hAnsi="Times New Roman" w:eastAsia="宋体" w:cs="宋体"/>
                <w:color w:val="000000" w:themeColor="text1"/>
                <w:sz w:val="24"/>
                <w14:textFill>
                  <w14:solidFill>
                    <w14:schemeClr w14:val="tx1"/>
                  </w14:solidFill>
                </w14:textFill>
              </w:rPr>
              <w:t>边除胶工序会产生废树脂，根企业提供的资料，产生的废树脂约 1.308 t/a ，废树脂为固态，不</w:t>
            </w:r>
            <w:r>
              <w:rPr>
                <w:rFonts w:hint="eastAsia" w:ascii="Times New Roman" w:hAnsi="Times New Roman" w:eastAsia="宋体" w:cs="宋体"/>
                <w:sz w:val="24"/>
              </w:rPr>
              <w:t>属于《国家危险废物名录》 （202</w:t>
            </w:r>
            <w:r>
              <w:rPr>
                <w:rFonts w:ascii="Times New Roman" w:hAnsi="Times New Roman" w:eastAsia="宋体" w:cs="宋体"/>
                <w:sz w:val="24"/>
              </w:rPr>
              <w:t>5</w:t>
            </w:r>
            <w:r>
              <w:rPr>
                <w:rFonts w:hint="eastAsia" w:ascii="Times New Roman" w:hAnsi="Times New Roman" w:eastAsia="宋体" w:cs="宋体"/>
                <w:sz w:val="24"/>
              </w:rPr>
              <w:t xml:space="preserve"> 年版）规定的危险废物。统一收集后外售处理。</w:t>
            </w:r>
            <w:r>
              <w:rPr>
                <w:rFonts w:hint="eastAsia" w:ascii="Times New Roman" w:hAnsi="Times New Roman" w:eastAsia="宋体" w:cs="Times New Roman"/>
                <w:sz w:val="24"/>
              </w:rPr>
              <w:t>根据《固体废物分类与代码目录》（生态环境部公告 2024年 第4号），其固废代码为</w:t>
            </w:r>
            <w:r>
              <w:rPr>
                <w:rFonts w:ascii="Times New Roman" w:hAnsi="Times New Roman" w:eastAsia="宋体" w:cs="Times New Roman"/>
                <w:sz w:val="24"/>
              </w:rPr>
              <w:t>900-006-S17</w:t>
            </w:r>
            <w:r>
              <w:rPr>
                <w:rFonts w:hint="eastAsia" w:ascii="Times New Roman" w:hAnsi="Times New Roman" w:eastAsia="宋体" w:cs="Times New Roman"/>
                <w:sz w:val="24"/>
              </w:rPr>
              <w:t>。</w:t>
            </w:r>
          </w:p>
          <w:p w14:paraId="6101FBAA">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⑤废布袋</w:t>
            </w:r>
          </w:p>
          <w:p w14:paraId="49D6AA33">
            <w:pPr>
              <w:spacing w:line="360" w:lineRule="auto"/>
              <w:ind w:firstLine="480" w:firstLineChars="200"/>
              <w:rPr>
                <w:rFonts w:ascii="Times New Roman" w:hAnsi="Times New Roman" w:eastAsia="宋体" w:cs="Times New Roman"/>
                <w:sz w:val="24"/>
              </w:rPr>
            </w:pPr>
            <w:r>
              <w:rPr>
                <w:rFonts w:ascii="Times New Roman" w:hAnsi="Times New Roman" w:eastAsia="宋体" w:cs="宋体"/>
                <w:sz w:val="24"/>
              </w:rPr>
              <w:t>本</w:t>
            </w:r>
            <w:r>
              <w:rPr>
                <w:rFonts w:hint="eastAsia" w:ascii="Times New Roman" w:hAnsi="Times New Roman" w:eastAsia="宋体" w:cs="宋体"/>
                <w:sz w:val="24"/>
                <w:lang w:eastAsia="zh-CN"/>
              </w:rPr>
              <w:t>项目</w:t>
            </w:r>
            <w:r>
              <w:rPr>
                <w:rFonts w:ascii="Times New Roman" w:hAnsi="Times New Roman" w:eastAsia="宋体" w:cs="宋体"/>
                <w:sz w:val="24"/>
              </w:rPr>
              <w:t>抛丸过程中产生的废气采用布袋除尘器处理，废气处理过程中会产生少量的废布袋，根据建设单位提供资料，废布袋年产量为0.01t/a。</w:t>
            </w:r>
            <w:r>
              <w:rPr>
                <w:rFonts w:hint="eastAsia" w:ascii="Times New Roman" w:hAnsi="Times New Roman" w:eastAsia="宋体" w:cs="Times New Roman"/>
                <w:sz w:val="24"/>
              </w:rPr>
              <w:t>废布袋经统一收集后交由资源单位回收利用。根据《固体废物分类与代码目录》（生态环境部公告 2024年 第4号），其固废代码为900-0</w:t>
            </w:r>
            <w:r>
              <w:rPr>
                <w:rFonts w:ascii="Times New Roman" w:hAnsi="Times New Roman" w:eastAsia="宋体" w:cs="Times New Roman"/>
                <w:sz w:val="24"/>
              </w:rPr>
              <w:t>0</w:t>
            </w:r>
            <w:r>
              <w:rPr>
                <w:rFonts w:hint="eastAsia" w:ascii="Times New Roman" w:hAnsi="Times New Roman" w:eastAsia="宋体" w:cs="Times New Roman"/>
                <w:sz w:val="24"/>
              </w:rPr>
              <w:t>9-S</w:t>
            </w:r>
            <w:r>
              <w:rPr>
                <w:rFonts w:ascii="Times New Roman" w:hAnsi="Times New Roman" w:eastAsia="宋体" w:cs="Times New Roman"/>
                <w:sz w:val="24"/>
              </w:rPr>
              <w:t>59</w:t>
            </w:r>
            <w:r>
              <w:rPr>
                <w:rFonts w:hint="eastAsia" w:ascii="Times New Roman" w:hAnsi="Times New Roman" w:eastAsia="宋体" w:cs="Times New Roman"/>
                <w:sz w:val="24"/>
              </w:rPr>
              <w:t>。</w:t>
            </w:r>
          </w:p>
          <w:p w14:paraId="73EBB125">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⑥一般废包装材料</w:t>
            </w:r>
          </w:p>
          <w:p w14:paraId="66B3B536">
            <w:pPr>
              <w:tabs>
                <w:tab w:val="left" w:pos="652"/>
              </w:tabs>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本</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聚氨酯、硅酮胶、银粉用完后会产生一定量的废包装材料，主要为废塑料桶、铁桶等，一般</w:t>
            </w:r>
            <w:r>
              <w:rPr>
                <w:rFonts w:ascii="Times New Roman" w:hAnsi="Times New Roman" w:eastAsia="宋体" w:cs="Times New Roman"/>
                <w:sz w:val="24"/>
              </w:rPr>
              <w:t>废包装材料产生量为</w:t>
            </w:r>
            <w:r>
              <w:rPr>
                <w:rFonts w:hint="eastAsia" w:ascii="Times New Roman" w:hAnsi="Times New Roman" w:eastAsia="宋体" w:cs="Times New Roman"/>
                <w:sz w:val="24"/>
              </w:rPr>
              <w:t>7</w:t>
            </w:r>
            <w:r>
              <w:rPr>
                <w:rFonts w:ascii="Times New Roman" w:hAnsi="Times New Roman" w:eastAsia="宋体" w:cs="Times New Roman"/>
                <w:sz w:val="24"/>
              </w:rPr>
              <w:t>.377t/a，</w:t>
            </w:r>
            <w:r>
              <w:rPr>
                <w:rFonts w:hint="eastAsia" w:ascii="Times New Roman" w:hAnsi="Times New Roman" w:eastAsia="宋体" w:cs="Times New Roman"/>
                <w:sz w:val="24"/>
              </w:rPr>
              <w:t>统一收集后交由资源单位回收利用。根据《固体废物分类与代码目录》（生态环境部公告 2024年 第4号），其固废代码为900-099-S59。本</w:t>
            </w:r>
            <w:r>
              <w:rPr>
                <w:rFonts w:hint="eastAsia" w:ascii="Times New Roman" w:hAnsi="Times New Roman" w:eastAsia="宋体" w:cs="Times New Roman"/>
                <w:sz w:val="24"/>
                <w:lang w:eastAsia="zh-CN"/>
              </w:rPr>
              <w:t>项目</w:t>
            </w:r>
            <w:r>
              <w:rPr>
                <w:rFonts w:ascii="Times New Roman" w:hAnsi="Times New Roman" w:eastAsia="宋体" w:cs="Times New Roman"/>
                <w:sz w:val="24"/>
              </w:rPr>
              <w:t>一般废包装材料产生情况如下表所示：</w:t>
            </w:r>
          </w:p>
          <w:p w14:paraId="6FD478CF">
            <w:pPr>
              <w:tabs>
                <w:tab w:val="left" w:pos="652"/>
              </w:tabs>
              <w:ind w:firstLine="422" w:firstLineChars="200"/>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表</w:t>
            </w:r>
            <w:r>
              <w:rPr>
                <w:rFonts w:ascii="Times New Roman" w:hAnsi="Times New Roman" w:eastAsia="宋体" w:cs="Times New Roman"/>
                <w:b/>
                <w:color w:val="000000" w:themeColor="text1"/>
                <w:szCs w:val="21"/>
                <w14:textFill>
                  <w14:solidFill>
                    <w14:schemeClr w14:val="tx1"/>
                  </w14:solidFill>
                </w14:textFill>
              </w:rPr>
              <w:t>4-</w:t>
            </w:r>
            <w:r>
              <w:rPr>
                <w:rFonts w:hint="eastAsia" w:ascii="Times New Roman" w:hAnsi="Times New Roman" w:eastAsia="宋体" w:cs="Times New Roman"/>
                <w:b/>
                <w:color w:val="000000" w:themeColor="text1"/>
                <w:szCs w:val="21"/>
                <w:lang w:val="en-US" w:eastAsia="zh-CN"/>
                <w14:textFill>
                  <w14:solidFill>
                    <w14:schemeClr w14:val="tx1"/>
                  </w14:solidFill>
                </w14:textFill>
              </w:rPr>
              <w:t>25</w:t>
            </w:r>
            <w:r>
              <w:rPr>
                <w:rFonts w:ascii="Times New Roman" w:hAnsi="Times New Roman" w:eastAsia="宋体" w:cs="Times New Roman"/>
                <w:b/>
                <w:color w:val="000000" w:themeColor="text1"/>
                <w:szCs w:val="21"/>
                <w14:textFill>
                  <w14:solidFill>
                    <w14:schemeClr w14:val="tx1"/>
                  </w14:solidFill>
                </w14:textFill>
              </w:rPr>
              <w:t xml:space="preserve"> 本</w:t>
            </w:r>
            <w:r>
              <w:rPr>
                <w:rFonts w:hint="eastAsia" w:ascii="Times New Roman" w:hAnsi="Times New Roman" w:eastAsia="宋体" w:cs="Times New Roman"/>
                <w:b/>
                <w:color w:val="000000" w:themeColor="text1"/>
                <w:szCs w:val="21"/>
                <w:lang w:eastAsia="zh-CN"/>
                <w14:textFill>
                  <w14:solidFill>
                    <w14:schemeClr w14:val="tx1"/>
                  </w14:solidFill>
                </w14:textFill>
              </w:rPr>
              <w:t>项目</w:t>
            </w:r>
            <w:r>
              <w:rPr>
                <w:rFonts w:ascii="Times New Roman" w:hAnsi="Times New Roman" w:eastAsia="宋体" w:cs="Times New Roman"/>
                <w:b/>
                <w:color w:val="000000" w:themeColor="text1"/>
                <w:szCs w:val="21"/>
                <w14:textFill>
                  <w14:solidFill>
                    <w14:schemeClr w14:val="tx1"/>
                  </w14:solidFill>
                </w14:textFill>
              </w:rPr>
              <w:t>一般废包装材料产生情况一览表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378"/>
              <w:gridCol w:w="1458"/>
              <w:gridCol w:w="1300"/>
              <w:gridCol w:w="1241"/>
              <w:gridCol w:w="1302"/>
            </w:tblGrid>
            <w:tr w14:paraId="11F5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vAlign w:val="center"/>
                </w:tcPr>
                <w:p w14:paraId="452B9A54">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原料</w:t>
                  </w:r>
                </w:p>
              </w:tc>
              <w:tc>
                <w:tcPr>
                  <w:tcW w:w="1378" w:type="dxa"/>
                  <w:vAlign w:val="center"/>
                </w:tcPr>
                <w:p w14:paraId="34CC6F8B">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年用量t/a</w:t>
                  </w:r>
                </w:p>
              </w:tc>
              <w:tc>
                <w:tcPr>
                  <w:tcW w:w="1457" w:type="dxa"/>
                  <w:vAlign w:val="center"/>
                </w:tcPr>
                <w:p w14:paraId="21DFF7F9">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包装规格</w:t>
                  </w:r>
                </w:p>
              </w:tc>
              <w:tc>
                <w:tcPr>
                  <w:tcW w:w="1300" w:type="dxa"/>
                  <w:vAlign w:val="center"/>
                </w:tcPr>
                <w:p w14:paraId="2838C215">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单个废包装桶重量</w:t>
                  </w:r>
                </w:p>
              </w:tc>
              <w:tc>
                <w:tcPr>
                  <w:tcW w:w="1240" w:type="dxa"/>
                  <w:vAlign w:val="center"/>
                </w:tcPr>
                <w:p w14:paraId="247A6311">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包装桶个数</w:t>
                  </w:r>
                </w:p>
              </w:tc>
              <w:tc>
                <w:tcPr>
                  <w:tcW w:w="1301" w:type="dxa"/>
                  <w:vAlign w:val="center"/>
                </w:tcPr>
                <w:p w14:paraId="063748F0">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总废包装桶重量t/a</w:t>
                  </w:r>
                </w:p>
              </w:tc>
            </w:tr>
            <w:tr w14:paraId="5E7B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vAlign w:val="center"/>
                </w:tcPr>
                <w:p w14:paraId="1F3DAE52">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聚氨酯</w:t>
                  </w:r>
                </w:p>
              </w:tc>
              <w:tc>
                <w:tcPr>
                  <w:tcW w:w="1378" w:type="dxa"/>
                  <w:vAlign w:val="center"/>
                </w:tcPr>
                <w:p w14:paraId="1C553657">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10</w:t>
                  </w:r>
                </w:p>
              </w:tc>
              <w:tc>
                <w:tcPr>
                  <w:tcW w:w="1457" w:type="dxa"/>
                  <w:vAlign w:val="center"/>
                </w:tcPr>
                <w:p w14:paraId="0C126413">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2</w:t>
                  </w:r>
                  <w:r>
                    <w:rPr>
                      <w:rFonts w:ascii="Times New Roman" w:hAnsi="Times New Roman" w:eastAsia="宋体" w:cs="宋体"/>
                      <w:color w:val="000000" w:themeColor="text1"/>
                      <w:szCs w:val="21"/>
                      <w14:textFill>
                        <w14:solidFill>
                          <w14:schemeClr w14:val="tx1"/>
                        </w14:solidFill>
                      </w14:textFill>
                    </w:rPr>
                    <w:t>50kg/桶</w:t>
                  </w:r>
                </w:p>
              </w:tc>
              <w:tc>
                <w:tcPr>
                  <w:tcW w:w="1300" w:type="dxa"/>
                  <w:vAlign w:val="center"/>
                </w:tcPr>
                <w:p w14:paraId="3895F6C8">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5 kg</w:t>
                  </w:r>
                </w:p>
              </w:tc>
              <w:tc>
                <w:tcPr>
                  <w:tcW w:w="1240" w:type="dxa"/>
                  <w:vAlign w:val="center"/>
                </w:tcPr>
                <w:p w14:paraId="6C29343D">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440</w:t>
                  </w:r>
                </w:p>
              </w:tc>
              <w:tc>
                <w:tcPr>
                  <w:tcW w:w="1301" w:type="dxa"/>
                  <w:vAlign w:val="center"/>
                </w:tcPr>
                <w:p w14:paraId="03C60359">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6</w:t>
                  </w:r>
                  <w:r>
                    <w:rPr>
                      <w:rFonts w:ascii="Times New Roman" w:hAnsi="Times New Roman" w:eastAsia="宋体" w:cs="宋体"/>
                      <w:color w:val="000000" w:themeColor="text1"/>
                      <w:szCs w:val="21"/>
                      <w14:textFill>
                        <w14:solidFill>
                          <w14:schemeClr w14:val="tx1"/>
                        </w14:solidFill>
                      </w14:textFill>
                    </w:rPr>
                    <w:t>.6</w:t>
                  </w:r>
                </w:p>
              </w:tc>
            </w:tr>
            <w:tr w14:paraId="6E1A5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vAlign w:val="center"/>
                </w:tcPr>
                <w:p w14:paraId="32731038">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硅酮胶</w:t>
                  </w:r>
                </w:p>
              </w:tc>
              <w:tc>
                <w:tcPr>
                  <w:tcW w:w="1378" w:type="dxa"/>
                  <w:vAlign w:val="center"/>
                </w:tcPr>
                <w:p w14:paraId="03420FD6">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.6</w:t>
                  </w:r>
                </w:p>
              </w:tc>
              <w:tc>
                <w:tcPr>
                  <w:tcW w:w="1457" w:type="dxa"/>
                  <w:vAlign w:val="center"/>
                </w:tcPr>
                <w:p w14:paraId="18662FE7">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2</w:t>
                  </w:r>
                  <w:r>
                    <w:rPr>
                      <w:rFonts w:ascii="Times New Roman" w:hAnsi="Times New Roman" w:eastAsia="宋体" w:cs="宋体"/>
                      <w:color w:val="000000" w:themeColor="text1"/>
                      <w:szCs w:val="21"/>
                      <w14:textFill>
                        <w14:solidFill>
                          <w14:schemeClr w14:val="tx1"/>
                        </w14:solidFill>
                      </w14:textFill>
                    </w:rPr>
                    <w:t>5kg/桶</w:t>
                  </w:r>
                </w:p>
              </w:tc>
              <w:tc>
                <w:tcPr>
                  <w:tcW w:w="1300" w:type="dxa"/>
                  <w:vAlign w:val="center"/>
                </w:tcPr>
                <w:p w14:paraId="23487C60">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.2kg</w:t>
                  </w:r>
                </w:p>
              </w:tc>
              <w:tc>
                <w:tcPr>
                  <w:tcW w:w="1240" w:type="dxa"/>
                  <w:vAlign w:val="center"/>
                </w:tcPr>
                <w:p w14:paraId="2ED835FC">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64</w:t>
                  </w:r>
                </w:p>
              </w:tc>
              <w:tc>
                <w:tcPr>
                  <w:tcW w:w="1301" w:type="dxa"/>
                  <w:vAlign w:val="center"/>
                </w:tcPr>
                <w:p w14:paraId="379BC67C">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.077</w:t>
                  </w:r>
                </w:p>
              </w:tc>
            </w:tr>
            <w:tr w14:paraId="6D2A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vAlign w:val="center"/>
                </w:tcPr>
                <w:p w14:paraId="03844C7D">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银粉</w:t>
                  </w:r>
                </w:p>
              </w:tc>
              <w:tc>
                <w:tcPr>
                  <w:tcW w:w="1378" w:type="dxa"/>
                  <w:vAlign w:val="center"/>
                </w:tcPr>
                <w:p w14:paraId="0576FB01">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.135</w:t>
                  </w:r>
                </w:p>
              </w:tc>
              <w:tc>
                <w:tcPr>
                  <w:tcW w:w="1457" w:type="dxa"/>
                  <w:vAlign w:val="center"/>
                </w:tcPr>
                <w:p w14:paraId="4088138E">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2</w:t>
                  </w:r>
                  <w:r>
                    <w:rPr>
                      <w:rFonts w:ascii="Times New Roman" w:hAnsi="Times New Roman" w:eastAsia="宋体" w:cs="宋体"/>
                      <w:color w:val="000000" w:themeColor="text1"/>
                      <w:szCs w:val="21"/>
                      <w14:textFill>
                        <w14:solidFill>
                          <w14:schemeClr w14:val="tx1"/>
                        </w14:solidFill>
                      </w14:textFill>
                    </w:rPr>
                    <w:t>5kg/桶</w:t>
                  </w:r>
                </w:p>
              </w:tc>
              <w:tc>
                <w:tcPr>
                  <w:tcW w:w="1300" w:type="dxa"/>
                  <w:vAlign w:val="center"/>
                </w:tcPr>
                <w:p w14:paraId="3F62FF49">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.2kg</w:t>
                  </w:r>
                </w:p>
              </w:tc>
              <w:tc>
                <w:tcPr>
                  <w:tcW w:w="1240" w:type="dxa"/>
                  <w:vAlign w:val="center"/>
                </w:tcPr>
                <w:p w14:paraId="53E85F0C">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6</w:t>
                  </w:r>
                </w:p>
              </w:tc>
              <w:tc>
                <w:tcPr>
                  <w:tcW w:w="1301" w:type="dxa"/>
                  <w:vAlign w:val="center"/>
                </w:tcPr>
                <w:p w14:paraId="14932CCC">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.007</w:t>
                  </w:r>
                </w:p>
              </w:tc>
            </w:tr>
            <w:tr w14:paraId="623D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5" w:type="dxa"/>
                  <w:gridSpan w:val="5"/>
                  <w:vAlign w:val="center"/>
                </w:tcPr>
                <w:p w14:paraId="1461A980">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总计</w:t>
                  </w:r>
                </w:p>
              </w:tc>
              <w:tc>
                <w:tcPr>
                  <w:tcW w:w="1301" w:type="dxa"/>
                  <w:vAlign w:val="center"/>
                </w:tcPr>
                <w:p w14:paraId="01B0446F">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7</w:t>
                  </w:r>
                  <w:r>
                    <w:rPr>
                      <w:rFonts w:ascii="Times New Roman" w:hAnsi="Times New Roman" w:eastAsia="宋体" w:cs="宋体"/>
                      <w:color w:val="000000" w:themeColor="text1"/>
                      <w:szCs w:val="21"/>
                      <w14:textFill>
                        <w14:solidFill>
                          <w14:schemeClr w14:val="tx1"/>
                        </w14:solidFill>
                      </w14:textFill>
                    </w:rPr>
                    <w:t>.377</w:t>
                  </w:r>
                </w:p>
              </w:tc>
            </w:tr>
          </w:tbl>
          <w:p w14:paraId="52C9B8CC">
            <w:pPr>
              <w:tabs>
                <w:tab w:val="left" w:pos="652"/>
              </w:tabs>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p>
          <w:p w14:paraId="185C8DF7">
            <w:pPr>
              <w:tabs>
                <w:tab w:val="left" w:pos="652"/>
              </w:tabs>
              <w:spacing w:line="360" w:lineRule="auto"/>
              <w:ind w:firstLine="480" w:firstLineChars="200"/>
              <w:jc w:val="left"/>
              <w:rPr>
                <w:rFonts w:ascii="Times New Roman" w:hAnsi="Times New Roman" w:eastAsia="宋体" w:cs="宋体"/>
                <w:sz w:val="24"/>
              </w:rPr>
            </w:pPr>
            <w:r>
              <w:rPr>
                <w:rFonts w:hint="eastAsia" w:ascii="Times New Roman" w:hAnsi="Times New Roman" w:eastAsia="宋体" w:cs="宋体"/>
                <w:sz w:val="24"/>
              </w:rPr>
              <w:t>（2）危险废物</w:t>
            </w:r>
          </w:p>
          <w:p w14:paraId="34BDE3AB">
            <w:pPr>
              <w:tabs>
                <w:tab w:val="left" w:pos="652"/>
              </w:tabs>
              <w:spacing w:line="360" w:lineRule="auto"/>
              <w:ind w:firstLine="480" w:firstLineChars="200"/>
              <w:jc w:val="left"/>
              <w:rPr>
                <w:rFonts w:ascii="Times New Roman" w:hAnsi="Times New Roman" w:eastAsia="宋体" w:cs="宋体"/>
                <w:sz w:val="24"/>
              </w:rPr>
            </w:pPr>
            <w:r>
              <w:rPr>
                <w:rFonts w:hint="eastAsia" w:ascii="Times New Roman" w:hAnsi="Times New Roman" w:eastAsia="宋体" w:cs="宋体"/>
                <w:sz w:val="24"/>
              </w:rPr>
              <w:t>①废机油</w:t>
            </w:r>
          </w:p>
          <w:p w14:paraId="20DCF12B">
            <w:pPr>
              <w:tabs>
                <w:tab w:val="left" w:pos="652"/>
              </w:tabs>
              <w:spacing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本</w:t>
            </w:r>
            <w:r>
              <w:rPr>
                <w:rFonts w:hint="eastAsia" w:ascii="Times New Roman" w:hAnsi="Times New Roman" w:cs="Times New Roman"/>
                <w:sz w:val="24"/>
                <w:lang w:eastAsia="zh-CN"/>
              </w:rPr>
              <w:t>项目</w:t>
            </w:r>
            <w:r>
              <w:rPr>
                <w:rFonts w:hint="eastAsia" w:ascii="Times New Roman" w:hAnsi="Times New Roman" w:cs="Times New Roman"/>
                <w:sz w:val="24"/>
              </w:rPr>
              <w:t>生产设备维护保养过程中会产生少量废机油，废机油产生量约0.02t/a，废机油属于《国家危险废物名录》（202</w:t>
            </w:r>
            <w:r>
              <w:rPr>
                <w:rFonts w:ascii="Times New Roman" w:hAnsi="Times New Roman" w:cs="Times New Roman"/>
                <w:sz w:val="24"/>
              </w:rPr>
              <w:t>5</w:t>
            </w:r>
            <w:r>
              <w:rPr>
                <w:rFonts w:hint="eastAsia" w:ascii="Times New Roman" w:hAnsi="Times New Roman" w:cs="Times New Roman"/>
                <w:sz w:val="24"/>
              </w:rPr>
              <w:t>年）中编号为HW08其他废物（900-249-08）。废机油经收集后交由具有危废处置资质的单位处置。</w:t>
            </w:r>
          </w:p>
          <w:p w14:paraId="066D26AF">
            <w:pPr>
              <w:tabs>
                <w:tab w:val="left" w:pos="652"/>
              </w:tabs>
              <w:spacing w:line="360" w:lineRule="auto"/>
              <w:ind w:firstLine="480" w:firstLineChars="200"/>
              <w:jc w:val="left"/>
              <w:rPr>
                <w:rFonts w:ascii="Times New Roman" w:hAnsi="Times New Roman" w:eastAsia="宋体" w:cs="宋体"/>
                <w:color w:val="000000" w:themeColor="text1"/>
                <w:sz w:val="24"/>
                <w14:textFill>
                  <w14:solidFill>
                    <w14:schemeClr w14:val="tx1"/>
                  </w14:solidFill>
                </w14:textFill>
              </w:rPr>
            </w:pPr>
            <w:r>
              <w:rPr>
                <w:rFonts w:hint="eastAsia" w:ascii="Times New Roman" w:hAnsi="Times New Roman" w:eastAsia="宋体" w:cs="宋体"/>
                <w:color w:val="000000" w:themeColor="text1"/>
                <w:sz w:val="24"/>
                <w14:textFill>
                  <w14:solidFill>
                    <w14:schemeClr w14:val="tx1"/>
                  </w14:solidFill>
                </w14:textFill>
              </w:rPr>
              <w:t>②危险废包装材料</w:t>
            </w:r>
          </w:p>
          <w:p w14:paraId="31BEEFC2">
            <w:pPr>
              <w:tabs>
                <w:tab w:val="left" w:pos="652"/>
              </w:tabs>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宋体"/>
                <w:color w:val="000000" w:themeColor="text1"/>
                <w:sz w:val="24"/>
                <w14:textFill>
                  <w14:solidFill>
                    <w14:schemeClr w14:val="tx1"/>
                  </w14:solidFill>
                </w14:textFill>
              </w:rPr>
              <w:t>本</w:t>
            </w:r>
            <w:r>
              <w:rPr>
                <w:rFonts w:hint="eastAsia" w:ascii="Times New Roman" w:hAnsi="Times New Roman" w:eastAsia="宋体" w:cs="宋体"/>
                <w:color w:val="000000" w:themeColor="text1"/>
                <w:sz w:val="24"/>
                <w:lang w:eastAsia="zh-CN"/>
                <w14:textFill>
                  <w14:solidFill>
                    <w14:schemeClr w14:val="tx1"/>
                  </w14:solidFill>
                </w14:textFill>
              </w:rPr>
              <w:t>项目</w:t>
            </w:r>
            <w:r>
              <w:rPr>
                <w:rFonts w:hint="eastAsia" w:ascii="Times New Roman" w:hAnsi="Times New Roman" w:eastAsia="宋体" w:cs="宋体"/>
                <w:color w:val="000000" w:themeColor="text1"/>
                <w:sz w:val="24"/>
                <w14:textFill>
                  <w14:solidFill>
                    <w14:schemeClr w14:val="tx1"/>
                  </w14:solidFill>
                </w14:textFill>
              </w:rPr>
              <w:t>漆料、汽油、白电油、异丙醇、硅酮胶、机油等原料使用完毕会产生危险废包装材料，本</w:t>
            </w:r>
            <w:r>
              <w:rPr>
                <w:rFonts w:hint="eastAsia" w:ascii="Times New Roman" w:hAnsi="Times New Roman" w:eastAsia="宋体" w:cs="宋体"/>
                <w:color w:val="000000" w:themeColor="text1"/>
                <w:sz w:val="24"/>
                <w:lang w:eastAsia="zh-CN"/>
                <w14:textFill>
                  <w14:solidFill>
                    <w14:schemeClr w14:val="tx1"/>
                  </w14:solidFill>
                </w14:textFill>
              </w:rPr>
              <w:t>项目</w:t>
            </w:r>
            <w:r>
              <w:rPr>
                <w:rFonts w:hint="eastAsia" w:ascii="Times New Roman" w:hAnsi="Times New Roman" w:eastAsia="宋体" w:cs="宋体"/>
                <w:color w:val="000000" w:themeColor="text1"/>
                <w:sz w:val="24"/>
                <w14:textFill>
                  <w14:solidFill>
                    <w14:schemeClr w14:val="tx1"/>
                  </w14:solidFill>
                </w14:textFill>
              </w:rPr>
              <w:t>废包装材料产生量约为</w:t>
            </w:r>
            <w:r>
              <w:rPr>
                <w:rFonts w:hint="eastAsia" w:ascii="Times New Roman" w:hAnsi="Times New Roman" w:eastAsia="宋体" w:cs="宋体"/>
                <w:color w:val="000000" w:themeColor="text1"/>
                <w:sz w:val="24"/>
                <w:lang w:eastAsia="zh-CN"/>
                <w14:textFill>
                  <w14:solidFill>
                    <w14:schemeClr w14:val="tx1"/>
                  </w14:solidFill>
                </w14:textFill>
              </w:rPr>
              <w:t>0.174</w:t>
            </w:r>
            <w:r>
              <w:rPr>
                <w:rFonts w:hint="eastAsia" w:ascii="Times New Roman" w:hAnsi="Times New Roman" w:eastAsia="宋体" w:cs="宋体"/>
                <w:color w:val="000000" w:themeColor="text1"/>
                <w:sz w:val="24"/>
                <w14:textFill>
                  <w14:solidFill>
                    <w14:schemeClr w14:val="tx1"/>
                  </w14:solidFill>
                </w14:textFill>
              </w:rPr>
              <w:t>t/a，委托有资质单位处理。</w:t>
            </w:r>
            <w:r>
              <w:rPr>
                <w:rFonts w:hint="eastAsia" w:ascii="Times New Roman" w:hAnsi="Times New Roman" w:eastAsia="宋体" w:cs="Times New Roman"/>
                <w:color w:val="000000" w:themeColor="text1"/>
                <w:sz w:val="24"/>
                <w14:textFill>
                  <w14:solidFill>
                    <w14:schemeClr w14:val="tx1"/>
                  </w14:solidFill>
                </w14:textFill>
              </w:rPr>
              <w:t>对照《国家危险废物名录》（202</w:t>
            </w:r>
            <w:r>
              <w:rPr>
                <w:rFonts w:ascii="Times New Roman" w:hAnsi="Times New Roman" w:eastAsia="宋体" w:cs="Times New Roman"/>
                <w:color w:val="000000" w:themeColor="text1"/>
                <w:sz w:val="24"/>
                <w14:textFill>
                  <w14:solidFill>
                    <w14:schemeClr w14:val="tx1"/>
                  </w14:solidFill>
                </w14:textFill>
              </w:rPr>
              <w:t>5</w:t>
            </w:r>
            <w:r>
              <w:rPr>
                <w:rFonts w:hint="eastAsia" w:ascii="Times New Roman" w:hAnsi="Times New Roman" w:eastAsia="宋体" w:cs="Times New Roman"/>
                <w:color w:val="000000" w:themeColor="text1"/>
                <w:sz w:val="24"/>
                <w14:textFill>
                  <w14:solidFill>
                    <w14:schemeClr w14:val="tx1"/>
                  </w14:solidFill>
                </w14:textFill>
              </w:rPr>
              <w:t>年版），废包装材料因沾有化学品，属于危险废物，编号为HW49其他废物，代码为900-041-49。本</w:t>
            </w:r>
            <w:r>
              <w:rPr>
                <w:rFonts w:hint="eastAsia" w:ascii="Times New Roman" w:hAnsi="Times New Roman" w:eastAsia="宋体" w:cs="Times New Roman"/>
                <w:color w:val="000000" w:themeColor="text1"/>
                <w:sz w:val="24"/>
                <w:lang w:eastAsia="zh-CN"/>
                <w14:textFill>
                  <w14:solidFill>
                    <w14:schemeClr w14:val="tx1"/>
                  </w14:solidFill>
                </w14:textFill>
              </w:rPr>
              <w:t>项目</w:t>
            </w:r>
            <w:r>
              <w:rPr>
                <w:rFonts w:hint="eastAsia" w:ascii="Times New Roman" w:hAnsi="Times New Roman" w:eastAsia="宋体" w:cs="Times New Roman"/>
                <w:color w:val="000000" w:themeColor="text1"/>
                <w:sz w:val="24"/>
                <w14:textFill>
                  <w14:solidFill>
                    <w14:schemeClr w14:val="tx1"/>
                  </w14:solidFill>
                </w14:textFill>
              </w:rPr>
              <w:t>危险废包装材料产生情况如下表所示：</w:t>
            </w:r>
          </w:p>
          <w:p w14:paraId="67CD92CC">
            <w:pPr>
              <w:tabs>
                <w:tab w:val="left" w:pos="652"/>
              </w:tabs>
              <w:ind w:firstLine="422" w:firstLineChars="200"/>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表4-2</w:t>
            </w:r>
            <w:r>
              <w:rPr>
                <w:rFonts w:hint="eastAsia" w:ascii="Times New Roman" w:hAnsi="Times New Roman" w:eastAsia="宋体" w:cs="Times New Roman"/>
                <w:b/>
                <w:color w:val="000000" w:themeColor="text1"/>
                <w:szCs w:val="21"/>
                <w:lang w:val="en-US" w:eastAsia="zh-CN"/>
                <w14:textFill>
                  <w14:solidFill>
                    <w14:schemeClr w14:val="tx1"/>
                  </w14:solidFill>
                </w14:textFill>
              </w:rPr>
              <w:t>6</w:t>
            </w:r>
            <w:r>
              <w:rPr>
                <w:rFonts w:ascii="Times New Roman" w:hAnsi="Times New Roman" w:eastAsia="宋体" w:cs="Times New Roman"/>
                <w:b/>
                <w:color w:val="000000" w:themeColor="text1"/>
                <w:szCs w:val="21"/>
                <w14:textFill>
                  <w14:solidFill>
                    <w14:schemeClr w14:val="tx1"/>
                  </w14:solidFill>
                </w14:textFill>
              </w:rPr>
              <w:t xml:space="preserve"> 本</w:t>
            </w:r>
            <w:r>
              <w:rPr>
                <w:rFonts w:hint="eastAsia" w:ascii="Times New Roman" w:hAnsi="Times New Roman" w:eastAsia="宋体" w:cs="Times New Roman"/>
                <w:b/>
                <w:color w:val="000000" w:themeColor="text1"/>
                <w:szCs w:val="21"/>
                <w:lang w:eastAsia="zh-CN"/>
                <w14:textFill>
                  <w14:solidFill>
                    <w14:schemeClr w14:val="tx1"/>
                  </w14:solidFill>
                </w14:textFill>
              </w:rPr>
              <w:t>项目</w:t>
            </w:r>
            <w:r>
              <w:rPr>
                <w:rFonts w:ascii="Times New Roman" w:hAnsi="Times New Roman" w:eastAsia="宋体" w:cs="Times New Roman"/>
                <w:b/>
                <w:color w:val="000000" w:themeColor="text1"/>
                <w:szCs w:val="21"/>
                <w14:textFill>
                  <w14:solidFill>
                    <w14:schemeClr w14:val="tx1"/>
                  </w14:solidFill>
                </w14:textFill>
              </w:rPr>
              <w:t>危险废包装材料产生情况一览表</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378"/>
              <w:gridCol w:w="1458"/>
              <w:gridCol w:w="1300"/>
              <w:gridCol w:w="1241"/>
              <w:gridCol w:w="1302"/>
            </w:tblGrid>
            <w:tr w14:paraId="2A42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vAlign w:val="center"/>
                </w:tcPr>
                <w:p w14:paraId="0B65FAAE">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原料</w:t>
                  </w:r>
                </w:p>
              </w:tc>
              <w:tc>
                <w:tcPr>
                  <w:tcW w:w="1378" w:type="dxa"/>
                  <w:vAlign w:val="center"/>
                </w:tcPr>
                <w:p w14:paraId="624E8C52">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年用量t/a</w:t>
                  </w:r>
                </w:p>
              </w:tc>
              <w:tc>
                <w:tcPr>
                  <w:tcW w:w="1457" w:type="dxa"/>
                  <w:vAlign w:val="center"/>
                </w:tcPr>
                <w:p w14:paraId="7A6A1EF2">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包装规格</w:t>
                  </w:r>
                </w:p>
              </w:tc>
              <w:tc>
                <w:tcPr>
                  <w:tcW w:w="1300" w:type="dxa"/>
                  <w:vAlign w:val="center"/>
                </w:tcPr>
                <w:p w14:paraId="54321F1A">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单个废包装桶重量</w:t>
                  </w:r>
                </w:p>
              </w:tc>
              <w:tc>
                <w:tcPr>
                  <w:tcW w:w="1240" w:type="dxa"/>
                  <w:vAlign w:val="center"/>
                </w:tcPr>
                <w:p w14:paraId="0DC5E896">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包装桶个数</w:t>
                  </w:r>
                </w:p>
              </w:tc>
              <w:tc>
                <w:tcPr>
                  <w:tcW w:w="1301" w:type="dxa"/>
                  <w:vAlign w:val="center"/>
                </w:tcPr>
                <w:p w14:paraId="21E00595">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总废包装桶重量t/a</w:t>
                  </w:r>
                </w:p>
              </w:tc>
            </w:tr>
            <w:tr w14:paraId="0831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vAlign w:val="center"/>
                </w:tcPr>
                <w:p w14:paraId="2CD641C5">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白电油</w:t>
                  </w:r>
                </w:p>
              </w:tc>
              <w:tc>
                <w:tcPr>
                  <w:tcW w:w="1378" w:type="dxa"/>
                  <w:vAlign w:val="center"/>
                </w:tcPr>
                <w:p w14:paraId="32A5EED9">
                  <w:pPr>
                    <w:tabs>
                      <w:tab w:val="left" w:pos="652"/>
                    </w:tabs>
                    <w:jc w:val="center"/>
                    <w:rPr>
                      <w:rFonts w:hint="default" w:ascii="Times New Roman" w:hAnsi="Times New Roman" w:eastAsia="宋体" w:cs="宋体"/>
                      <w:color w:val="000000" w:themeColor="text1"/>
                      <w:szCs w:val="21"/>
                      <w:lang w:val="en-US" w:eastAsia="zh-CN"/>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w:t>
                  </w:r>
                  <w:r>
                    <w:rPr>
                      <w:rFonts w:hint="eastAsia" w:ascii="Times New Roman" w:hAnsi="Times New Roman" w:eastAsia="宋体" w:cs="宋体"/>
                      <w:color w:val="000000" w:themeColor="text1"/>
                      <w:szCs w:val="21"/>
                      <w:lang w:val="en-US" w:eastAsia="zh-CN"/>
                      <w14:textFill>
                        <w14:solidFill>
                          <w14:schemeClr w14:val="tx1"/>
                        </w14:solidFill>
                      </w14:textFill>
                    </w:rPr>
                    <w:t>802</w:t>
                  </w:r>
                </w:p>
              </w:tc>
              <w:tc>
                <w:tcPr>
                  <w:tcW w:w="1457" w:type="dxa"/>
                  <w:vAlign w:val="center"/>
                </w:tcPr>
                <w:p w14:paraId="22C8C1DE">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2</w:t>
                  </w:r>
                  <w:r>
                    <w:rPr>
                      <w:rFonts w:ascii="Times New Roman" w:hAnsi="Times New Roman" w:eastAsia="宋体" w:cs="宋体"/>
                      <w:color w:val="000000" w:themeColor="text1"/>
                      <w:szCs w:val="21"/>
                      <w14:textFill>
                        <w14:solidFill>
                          <w14:schemeClr w14:val="tx1"/>
                        </w14:solidFill>
                      </w14:textFill>
                    </w:rPr>
                    <w:t>5kg/桶</w:t>
                  </w:r>
                </w:p>
              </w:tc>
              <w:tc>
                <w:tcPr>
                  <w:tcW w:w="1300" w:type="dxa"/>
                  <w:vAlign w:val="center"/>
                </w:tcPr>
                <w:p w14:paraId="0AC21C9F">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.2kg</w:t>
                  </w:r>
                </w:p>
              </w:tc>
              <w:tc>
                <w:tcPr>
                  <w:tcW w:w="1240" w:type="dxa"/>
                  <w:vAlign w:val="center"/>
                </w:tcPr>
                <w:p w14:paraId="421FC605">
                  <w:pPr>
                    <w:tabs>
                      <w:tab w:val="left" w:pos="652"/>
                    </w:tabs>
                    <w:jc w:val="center"/>
                    <w:rPr>
                      <w:rFonts w:hint="default" w:ascii="Times New Roman" w:hAnsi="Times New Roman" w:eastAsia="宋体" w:cs="宋体"/>
                      <w:color w:val="000000" w:themeColor="text1"/>
                      <w:szCs w:val="21"/>
                      <w:lang w:val="en-US" w:eastAsia="zh-CN"/>
                      <w14:textFill>
                        <w14:solidFill>
                          <w14:schemeClr w14:val="tx1"/>
                        </w14:solidFill>
                      </w14:textFill>
                    </w:rPr>
                  </w:pPr>
                  <w:r>
                    <w:rPr>
                      <w:rFonts w:hint="eastAsia" w:ascii="Times New Roman" w:hAnsi="Times New Roman" w:eastAsia="宋体" w:cs="宋体"/>
                      <w:color w:val="000000" w:themeColor="text1"/>
                      <w:szCs w:val="21"/>
                      <w:lang w:val="en-US" w:eastAsia="zh-CN"/>
                      <w14:textFill>
                        <w14:solidFill>
                          <w14:schemeClr w14:val="tx1"/>
                        </w14:solidFill>
                      </w14:textFill>
                    </w:rPr>
                    <w:t>72</w:t>
                  </w:r>
                </w:p>
              </w:tc>
              <w:tc>
                <w:tcPr>
                  <w:tcW w:w="1301" w:type="dxa"/>
                  <w:vAlign w:val="center"/>
                </w:tcPr>
                <w:p w14:paraId="53D0B15D">
                  <w:pPr>
                    <w:tabs>
                      <w:tab w:val="left" w:pos="652"/>
                    </w:tabs>
                    <w:jc w:val="center"/>
                    <w:rPr>
                      <w:rFonts w:hint="default" w:ascii="Times New Roman" w:hAnsi="Times New Roman" w:eastAsia="宋体" w:cs="宋体"/>
                      <w:color w:val="000000" w:themeColor="text1"/>
                      <w:szCs w:val="21"/>
                      <w:lang w:val="en-US" w:eastAsia="zh-CN"/>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.0</w:t>
                  </w:r>
                  <w:r>
                    <w:rPr>
                      <w:rFonts w:hint="eastAsia" w:ascii="Times New Roman" w:hAnsi="Times New Roman" w:eastAsia="宋体" w:cs="宋体"/>
                      <w:color w:val="000000" w:themeColor="text1"/>
                      <w:szCs w:val="21"/>
                      <w:lang w:val="en-US" w:eastAsia="zh-CN"/>
                      <w14:textFill>
                        <w14:solidFill>
                          <w14:schemeClr w14:val="tx1"/>
                        </w14:solidFill>
                      </w14:textFill>
                    </w:rPr>
                    <w:t>86</w:t>
                  </w:r>
                </w:p>
              </w:tc>
            </w:tr>
            <w:tr w14:paraId="3965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vAlign w:val="center"/>
                </w:tcPr>
                <w:p w14:paraId="4237005E">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异丙醇</w:t>
                  </w:r>
                </w:p>
              </w:tc>
              <w:tc>
                <w:tcPr>
                  <w:tcW w:w="1378" w:type="dxa"/>
                  <w:vAlign w:val="center"/>
                </w:tcPr>
                <w:p w14:paraId="5315FAC7">
                  <w:pPr>
                    <w:tabs>
                      <w:tab w:val="left" w:pos="652"/>
                    </w:tabs>
                    <w:jc w:val="center"/>
                    <w:rPr>
                      <w:rFonts w:hint="default" w:ascii="Times New Roman" w:hAnsi="Times New Roman" w:eastAsia="宋体" w:cs="宋体"/>
                      <w:color w:val="000000" w:themeColor="text1"/>
                      <w:szCs w:val="21"/>
                      <w:lang w:val="en-US" w:eastAsia="zh-CN"/>
                      <w14:textFill>
                        <w14:solidFill>
                          <w14:schemeClr w14:val="tx1"/>
                        </w14:solidFill>
                      </w14:textFill>
                    </w:rPr>
                  </w:pPr>
                  <w:r>
                    <w:rPr>
                      <w:rFonts w:hint="eastAsia" w:ascii="Times New Roman" w:hAnsi="Times New Roman" w:eastAsia="宋体" w:cs="宋体"/>
                      <w:color w:val="000000" w:themeColor="text1"/>
                      <w:szCs w:val="21"/>
                      <w:lang w:val="en-US" w:eastAsia="zh-CN"/>
                      <w14:textFill>
                        <w14:solidFill>
                          <w14:schemeClr w14:val="tx1"/>
                        </w14:solidFill>
                      </w14:textFill>
                    </w:rPr>
                    <w:t>0.776</w:t>
                  </w:r>
                </w:p>
              </w:tc>
              <w:tc>
                <w:tcPr>
                  <w:tcW w:w="1457" w:type="dxa"/>
                  <w:vAlign w:val="center"/>
                </w:tcPr>
                <w:p w14:paraId="0D427BF6">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2</w:t>
                  </w:r>
                  <w:r>
                    <w:rPr>
                      <w:rFonts w:ascii="Times New Roman" w:hAnsi="Times New Roman" w:eastAsia="宋体" w:cs="宋体"/>
                      <w:color w:val="000000" w:themeColor="text1"/>
                      <w:szCs w:val="21"/>
                      <w14:textFill>
                        <w14:solidFill>
                          <w14:schemeClr w14:val="tx1"/>
                        </w14:solidFill>
                      </w14:textFill>
                    </w:rPr>
                    <w:t>5kg/桶</w:t>
                  </w:r>
                </w:p>
              </w:tc>
              <w:tc>
                <w:tcPr>
                  <w:tcW w:w="1300" w:type="dxa"/>
                  <w:vAlign w:val="center"/>
                </w:tcPr>
                <w:p w14:paraId="4A9A53C6">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.2kg</w:t>
                  </w:r>
                </w:p>
              </w:tc>
              <w:tc>
                <w:tcPr>
                  <w:tcW w:w="1240" w:type="dxa"/>
                  <w:vAlign w:val="center"/>
                </w:tcPr>
                <w:p w14:paraId="0CB697AC">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46</w:t>
                  </w:r>
                </w:p>
              </w:tc>
              <w:tc>
                <w:tcPr>
                  <w:tcW w:w="1301" w:type="dxa"/>
                  <w:vAlign w:val="center"/>
                </w:tcPr>
                <w:p w14:paraId="1D8CB0BE">
                  <w:pPr>
                    <w:tabs>
                      <w:tab w:val="left" w:pos="652"/>
                    </w:tabs>
                    <w:jc w:val="center"/>
                    <w:rPr>
                      <w:rFonts w:hint="default" w:ascii="Times New Roman" w:hAnsi="Times New Roman" w:eastAsia="宋体" w:cs="宋体"/>
                      <w:color w:val="000000" w:themeColor="text1"/>
                      <w:szCs w:val="21"/>
                      <w:lang w:val="en-US" w:eastAsia="zh-CN"/>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.0</w:t>
                  </w:r>
                  <w:r>
                    <w:rPr>
                      <w:rFonts w:hint="eastAsia" w:ascii="Times New Roman" w:hAnsi="Times New Roman" w:eastAsia="宋体" w:cs="宋体"/>
                      <w:color w:val="000000" w:themeColor="text1"/>
                      <w:szCs w:val="21"/>
                      <w:lang w:val="en-US" w:eastAsia="zh-CN"/>
                      <w14:textFill>
                        <w14:solidFill>
                          <w14:schemeClr w14:val="tx1"/>
                        </w14:solidFill>
                      </w14:textFill>
                    </w:rPr>
                    <w:t>38</w:t>
                  </w:r>
                </w:p>
              </w:tc>
            </w:tr>
            <w:tr w14:paraId="3F1E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vAlign w:val="center"/>
                </w:tcPr>
                <w:p w14:paraId="3EB038CC">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面漆</w:t>
                  </w:r>
                </w:p>
              </w:tc>
              <w:tc>
                <w:tcPr>
                  <w:tcW w:w="1378" w:type="dxa"/>
                  <w:vAlign w:val="center"/>
                </w:tcPr>
                <w:p w14:paraId="097FB617">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.5</w:t>
                  </w:r>
                </w:p>
              </w:tc>
              <w:tc>
                <w:tcPr>
                  <w:tcW w:w="1457" w:type="dxa"/>
                  <w:vAlign w:val="center"/>
                </w:tcPr>
                <w:p w14:paraId="03794AE1">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2</w:t>
                  </w:r>
                  <w:r>
                    <w:rPr>
                      <w:rFonts w:ascii="Times New Roman" w:hAnsi="Times New Roman" w:eastAsia="宋体" w:cs="宋体"/>
                      <w:color w:val="000000" w:themeColor="text1"/>
                      <w:szCs w:val="21"/>
                      <w14:textFill>
                        <w14:solidFill>
                          <w14:schemeClr w14:val="tx1"/>
                        </w14:solidFill>
                      </w14:textFill>
                    </w:rPr>
                    <w:t>5kg/桶</w:t>
                  </w:r>
                </w:p>
              </w:tc>
              <w:tc>
                <w:tcPr>
                  <w:tcW w:w="1300" w:type="dxa"/>
                  <w:vAlign w:val="center"/>
                </w:tcPr>
                <w:p w14:paraId="5F3A47E4">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.2kg</w:t>
                  </w:r>
                </w:p>
              </w:tc>
              <w:tc>
                <w:tcPr>
                  <w:tcW w:w="1240" w:type="dxa"/>
                  <w:vAlign w:val="center"/>
                </w:tcPr>
                <w:p w14:paraId="235D4BFC">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2</w:t>
                  </w:r>
                  <w:r>
                    <w:rPr>
                      <w:rFonts w:ascii="Times New Roman" w:hAnsi="Times New Roman" w:eastAsia="宋体" w:cs="宋体"/>
                      <w:color w:val="000000" w:themeColor="text1"/>
                      <w:szCs w:val="21"/>
                      <w14:textFill>
                        <w14:solidFill>
                          <w14:schemeClr w14:val="tx1"/>
                        </w14:solidFill>
                      </w14:textFill>
                    </w:rPr>
                    <w:t>0</w:t>
                  </w:r>
                </w:p>
              </w:tc>
              <w:tc>
                <w:tcPr>
                  <w:tcW w:w="1301" w:type="dxa"/>
                  <w:vAlign w:val="center"/>
                </w:tcPr>
                <w:p w14:paraId="59E4F1D5">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.024</w:t>
                  </w:r>
                </w:p>
              </w:tc>
            </w:tr>
            <w:tr w14:paraId="5BA3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vAlign w:val="center"/>
                </w:tcPr>
                <w:p w14:paraId="47590CB4">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面漆稀释剂</w:t>
                  </w:r>
                </w:p>
              </w:tc>
              <w:tc>
                <w:tcPr>
                  <w:tcW w:w="1378" w:type="dxa"/>
                  <w:vAlign w:val="center"/>
                </w:tcPr>
                <w:p w14:paraId="3E493ED1">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.041</w:t>
                  </w:r>
                </w:p>
              </w:tc>
              <w:tc>
                <w:tcPr>
                  <w:tcW w:w="1457" w:type="dxa"/>
                  <w:vAlign w:val="center"/>
                </w:tcPr>
                <w:p w14:paraId="1AFBA135">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.041kg/桶</w:t>
                  </w:r>
                </w:p>
              </w:tc>
              <w:tc>
                <w:tcPr>
                  <w:tcW w:w="1300" w:type="dxa"/>
                  <w:vAlign w:val="center"/>
                </w:tcPr>
                <w:p w14:paraId="42643A75">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.2kg</w:t>
                  </w:r>
                </w:p>
              </w:tc>
              <w:tc>
                <w:tcPr>
                  <w:tcW w:w="1240" w:type="dxa"/>
                  <w:vAlign w:val="center"/>
                </w:tcPr>
                <w:p w14:paraId="10E7327F">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2</w:t>
                  </w:r>
                </w:p>
              </w:tc>
              <w:tc>
                <w:tcPr>
                  <w:tcW w:w="1301" w:type="dxa"/>
                  <w:vAlign w:val="center"/>
                </w:tcPr>
                <w:p w14:paraId="1A2369EE">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.002</w:t>
                  </w:r>
                </w:p>
              </w:tc>
            </w:tr>
            <w:tr w14:paraId="0C2F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vAlign w:val="center"/>
                </w:tcPr>
                <w:p w14:paraId="1FBD7F37">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机油</w:t>
                  </w:r>
                </w:p>
              </w:tc>
              <w:tc>
                <w:tcPr>
                  <w:tcW w:w="1378" w:type="dxa"/>
                  <w:vAlign w:val="center"/>
                </w:tcPr>
                <w:p w14:paraId="43C62EE8">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.5</w:t>
                  </w:r>
                </w:p>
              </w:tc>
              <w:tc>
                <w:tcPr>
                  <w:tcW w:w="1457" w:type="dxa"/>
                  <w:vAlign w:val="center"/>
                </w:tcPr>
                <w:p w14:paraId="25025087">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25kg/桶</w:t>
                  </w:r>
                </w:p>
              </w:tc>
              <w:tc>
                <w:tcPr>
                  <w:tcW w:w="1300" w:type="dxa"/>
                  <w:vAlign w:val="center"/>
                </w:tcPr>
                <w:p w14:paraId="64D80124">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1</w:t>
                  </w:r>
                  <w:r>
                    <w:rPr>
                      <w:rFonts w:ascii="Times New Roman" w:hAnsi="Times New Roman" w:eastAsia="宋体" w:cs="宋体"/>
                      <w:color w:val="000000" w:themeColor="text1"/>
                      <w:szCs w:val="21"/>
                      <w14:textFill>
                        <w14:solidFill>
                          <w14:schemeClr w14:val="tx1"/>
                        </w14:solidFill>
                      </w14:textFill>
                    </w:rPr>
                    <w:t>.2kg</w:t>
                  </w:r>
                </w:p>
              </w:tc>
              <w:tc>
                <w:tcPr>
                  <w:tcW w:w="1240" w:type="dxa"/>
                  <w:vAlign w:val="center"/>
                </w:tcPr>
                <w:p w14:paraId="6E760E5C">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2</w:t>
                  </w:r>
                  <w:r>
                    <w:rPr>
                      <w:rFonts w:ascii="Times New Roman" w:hAnsi="Times New Roman" w:eastAsia="宋体" w:cs="宋体"/>
                      <w:color w:val="000000" w:themeColor="text1"/>
                      <w:szCs w:val="21"/>
                      <w14:textFill>
                        <w14:solidFill>
                          <w14:schemeClr w14:val="tx1"/>
                        </w14:solidFill>
                      </w14:textFill>
                    </w:rPr>
                    <w:t>0</w:t>
                  </w:r>
                </w:p>
              </w:tc>
              <w:tc>
                <w:tcPr>
                  <w:tcW w:w="1301" w:type="dxa"/>
                  <w:vAlign w:val="center"/>
                </w:tcPr>
                <w:p w14:paraId="4DB0A176">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.024</w:t>
                  </w:r>
                </w:p>
              </w:tc>
            </w:tr>
            <w:tr w14:paraId="65D9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5" w:type="dxa"/>
                  <w:gridSpan w:val="5"/>
                  <w:vAlign w:val="center"/>
                </w:tcPr>
                <w:p w14:paraId="5DBA12E6">
                  <w:pPr>
                    <w:tabs>
                      <w:tab w:val="left" w:pos="652"/>
                    </w:tabs>
                    <w:jc w:val="center"/>
                    <w:rPr>
                      <w:rFonts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总计</w:t>
                  </w:r>
                </w:p>
              </w:tc>
              <w:tc>
                <w:tcPr>
                  <w:tcW w:w="1301" w:type="dxa"/>
                  <w:vAlign w:val="center"/>
                </w:tcPr>
                <w:p w14:paraId="4673DC5E">
                  <w:pPr>
                    <w:tabs>
                      <w:tab w:val="left" w:pos="652"/>
                    </w:tabs>
                    <w:jc w:val="center"/>
                    <w:rPr>
                      <w:rFonts w:hint="eastAsia" w:ascii="Times New Roman" w:hAnsi="Times New Roman" w:eastAsia="宋体" w:cs="宋体"/>
                      <w:color w:val="000000" w:themeColor="text1"/>
                      <w:szCs w:val="21"/>
                      <w:lang w:val="en-US" w:eastAsia="zh-CN"/>
                      <w14:textFill>
                        <w14:solidFill>
                          <w14:schemeClr w14:val="tx1"/>
                        </w14:solidFill>
                      </w14:textFill>
                    </w:rPr>
                  </w:pPr>
                  <w:r>
                    <w:rPr>
                      <w:rFonts w:hint="eastAsia" w:ascii="Times New Roman" w:hAnsi="Times New Roman" w:eastAsia="宋体" w:cs="宋体"/>
                      <w:color w:val="000000" w:themeColor="text1"/>
                      <w:szCs w:val="21"/>
                      <w14:textFill>
                        <w14:solidFill>
                          <w14:schemeClr w14:val="tx1"/>
                        </w14:solidFill>
                      </w14:textFill>
                    </w:rPr>
                    <w:t>0</w:t>
                  </w:r>
                  <w:r>
                    <w:rPr>
                      <w:rFonts w:ascii="Times New Roman" w:hAnsi="Times New Roman" w:eastAsia="宋体" w:cs="宋体"/>
                      <w:color w:val="000000" w:themeColor="text1"/>
                      <w:szCs w:val="21"/>
                      <w14:textFill>
                        <w14:solidFill>
                          <w14:schemeClr w14:val="tx1"/>
                        </w14:solidFill>
                      </w14:textFill>
                    </w:rPr>
                    <w:t>.17</w:t>
                  </w:r>
                  <w:r>
                    <w:rPr>
                      <w:rFonts w:hint="eastAsia" w:ascii="Times New Roman" w:hAnsi="Times New Roman" w:eastAsia="宋体" w:cs="宋体"/>
                      <w:color w:val="000000" w:themeColor="text1"/>
                      <w:szCs w:val="21"/>
                      <w:lang w:val="en-US" w:eastAsia="zh-CN"/>
                      <w14:textFill>
                        <w14:solidFill>
                          <w14:schemeClr w14:val="tx1"/>
                        </w14:solidFill>
                      </w14:textFill>
                    </w:rPr>
                    <w:t>4</w:t>
                  </w:r>
                </w:p>
              </w:tc>
            </w:tr>
          </w:tbl>
          <w:p w14:paraId="6CA752B7">
            <w:pPr>
              <w:tabs>
                <w:tab w:val="left" w:pos="652"/>
              </w:tabs>
              <w:spacing w:line="360" w:lineRule="auto"/>
              <w:ind w:firstLine="480" w:firstLineChars="200"/>
              <w:jc w:val="left"/>
              <w:rPr>
                <w:rFonts w:ascii="Times New Roman" w:hAnsi="Times New Roman" w:eastAsia="宋体" w:cs="宋体"/>
                <w:color w:val="000000" w:themeColor="text1"/>
                <w:sz w:val="24"/>
                <w14:textFill>
                  <w14:solidFill>
                    <w14:schemeClr w14:val="tx1"/>
                  </w14:solidFill>
                </w14:textFill>
              </w:rPr>
            </w:pPr>
          </w:p>
          <w:p w14:paraId="698624F0">
            <w:pPr>
              <w:tabs>
                <w:tab w:val="left" w:pos="652"/>
              </w:tabs>
              <w:spacing w:line="360" w:lineRule="auto"/>
              <w:ind w:firstLine="480" w:firstLineChars="200"/>
              <w:jc w:val="left"/>
              <w:rPr>
                <w:sz w:val="24"/>
              </w:rPr>
            </w:pPr>
            <w:r>
              <w:rPr>
                <w:rFonts w:hint="eastAsia"/>
                <w:sz w:val="24"/>
              </w:rPr>
              <w:t>③废含油抹布及手套</w:t>
            </w:r>
          </w:p>
          <w:p w14:paraId="2685E983">
            <w:pPr>
              <w:tabs>
                <w:tab w:val="left" w:pos="652"/>
              </w:tabs>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本</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生产设备维护保养过程中会产生含油抹布及手套，含油抹布及手套属于《国家危险废物名录》（202</w:t>
            </w:r>
            <w:r>
              <w:rPr>
                <w:rFonts w:ascii="Times New Roman" w:hAnsi="Times New Roman" w:eastAsia="宋体" w:cs="Times New Roman"/>
                <w:sz w:val="24"/>
              </w:rPr>
              <w:t>5</w:t>
            </w:r>
            <w:r>
              <w:rPr>
                <w:rFonts w:hint="eastAsia" w:ascii="Times New Roman" w:hAnsi="Times New Roman" w:eastAsia="宋体" w:cs="Times New Roman"/>
                <w:sz w:val="24"/>
              </w:rPr>
              <w:t>年）中编号为HW</w:t>
            </w:r>
            <w:r>
              <w:rPr>
                <w:rFonts w:ascii="Times New Roman" w:hAnsi="Times New Roman" w:eastAsia="宋体" w:cs="Times New Roman"/>
                <w:sz w:val="24"/>
              </w:rPr>
              <w:t>49</w:t>
            </w:r>
            <w:r>
              <w:rPr>
                <w:rFonts w:hint="eastAsia" w:ascii="Times New Roman" w:hAnsi="Times New Roman" w:eastAsia="宋体" w:cs="Times New Roman"/>
                <w:sz w:val="24"/>
              </w:rPr>
              <w:t>其他废物（900-</w:t>
            </w:r>
            <w:r>
              <w:rPr>
                <w:rFonts w:ascii="Times New Roman" w:hAnsi="Times New Roman" w:eastAsia="宋体" w:cs="Times New Roman"/>
                <w:sz w:val="24"/>
              </w:rPr>
              <w:t>041</w:t>
            </w:r>
            <w:r>
              <w:rPr>
                <w:rFonts w:hint="eastAsia" w:ascii="Times New Roman" w:hAnsi="Times New Roman" w:eastAsia="宋体" w:cs="Times New Roman"/>
                <w:sz w:val="24"/>
              </w:rPr>
              <w:t>-</w:t>
            </w:r>
            <w:r>
              <w:rPr>
                <w:rFonts w:ascii="Times New Roman" w:hAnsi="Times New Roman" w:eastAsia="宋体" w:cs="Times New Roman"/>
                <w:sz w:val="24"/>
              </w:rPr>
              <w:t>49</w:t>
            </w:r>
            <w:r>
              <w:rPr>
                <w:rFonts w:hint="eastAsia" w:ascii="Times New Roman" w:hAnsi="Times New Roman" w:eastAsia="宋体" w:cs="Times New Roman"/>
                <w:sz w:val="24"/>
              </w:rPr>
              <w:t>），产生量约0.02t/a，暂存于危废暂存间指定的区域内，定期委托有相应资质的单位处置。</w:t>
            </w:r>
          </w:p>
          <w:p w14:paraId="00EF5A3B">
            <w:pPr>
              <w:tabs>
                <w:tab w:val="left" w:pos="652"/>
              </w:tabs>
              <w:spacing w:line="360" w:lineRule="auto"/>
              <w:ind w:firstLine="480" w:firstLineChars="200"/>
              <w:jc w:val="left"/>
              <w:rPr>
                <w:sz w:val="24"/>
              </w:rPr>
            </w:pPr>
            <w:r>
              <w:rPr>
                <w:rFonts w:hint="eastAsia"/>
                <w:sz w:val="24"/>
              </w:rPr>
              <w:t>④废切削液</w:t>
            </w:r>
          </w:p>
          <w:p w14:paraId="6B6A9E6B">
            <w:pPr>
              <w:tabs>
                <w:tab w:val="left" w:pos="652"/>
              </w:tabs>
              <w:spacing w:line="360" w:lineRule="auto"/>
              <w:ind w:firstLine="480" w:firstLineChars="200"/>
              <w:jc w:val="left"/>
              <w:rPr>
                <w:rFonts w:ascii="Times New Roman" w:hAnsi="Times New Roman" w:cs="Times New Roman"/>
                <w:sz w:val="24"/>
              </w:rPr>
            </w:pPr>
            <w:r>
              <w:rPr>
                <w:rFonts w:ascii="Times New Roman" w:hAnsi="Times New Roman" w:cs="Times New Roman"/>
                <w:sz w:val="24"/>
              </w:rPr>
              <w:t>本</w:t>
            </w:r>
            <w:r>
              <w:rPr>
                <w:rFonts w:hint="eastAsia" w:ascii="Times New Roman" w:hAnsi="Times New Roman" w:cs="Times New Roman"/>
                <w:sz w:val="24"/>
                <w:lang w:eastAsia="zh-CN"/>
              </w:rPr>
              <w:t>项目</w:t>
            </w:r>
            <w:r>
              <w:rPr>
                <w:rFonts w:ascii="Times New Roman" w:hAnsi="Times New Roman" w:cs="Times New Roman"/>
                <w:sz w:val="24"/>
              </w:rPr>
              <w:t>采用数控车床制孔时，会产生废切削液，根据建设单位提供资料，产生的废切削液为2t/a，属于《国家危险废物名录》（2025年版）规定的危险废物（类别为HW09油/水、烃/水混合物或乳化液，代码900-006-09），交由有资质单位进行处理。</w:t>
            </w:r>
          </w:p>
          <w:p w14:paraId="0AD5876B">
            <w:pPr>
              <w:tabs>
                <w:tab w:val="left" w:pos="652"/>
              </w:tabs>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⑤废切削液包装桶</w:t>
            </w:r>
          </w:p>
          <w:p w14:paraId="4305D3A5">
            <w:pPr>
              <w:tabs>
                <w:tab w:val="left" w:pos="652"/>
              </w:tabs>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本</w:t>
            </w:r>
            <w:r>
              <w:rPr>
                <w:rFonts w:hint="eastAsia" w:ascii="Times New Roman" w:hAnsi="Times New Roman" w:cs="Times New Roman"/>
                <w:color w:val="000000" w:themeColor="text1"/>
                <w:sz w:val="24"/>
                <w:lang w:eastAsia="zh-CN"/>
                <w14:textFill>
                  <w14:solidFill>
                    <w14:schemeClr w14:val="tx1"/>
                  </w14:solidFill>
                </w14:textFill>
              </w:rPr>
              <w:t>项目</w:t>
            </w:r>
            <w:r>
              <w:rPr>
                <w:rFonts w:ascii="Times New Roman" w:hAnsi="Times New Roman" w:cs="Times New Roman"/>
                <w:color w:val="000000" w:themeColor="text1"/>
                <w:sz w:val="24"/>
                <w14:textFill>
                  <w14:solidFill>
                    <w14:schemeClr w14:val="tx1"/>
                  </w14:solidFill>
                </w14:textFill>
              </w:rPr>
              <w:t>产生的废切削液采用</w:t>
            </w:r>
            <w:r>
              <w:rPr>
                <w:rFonts w:hint="eastAsia" w:ascii="Times New Roman" w:hAnsi="Times New Roman" w:cs="Times New Roman"/>
                <w:color w:val="000000" w:themeColor="text1"/>
                <w:sz w:val="24"/>
                <w14:textFill>
                  <w14:solidFill>
                    <w14:schemeClr w14:val="tx1"/>
                  </w14:solidFill>
                </w14:textFill>
              </w:rPr>
              <w:t>密封</w:t>
            </w:r>
            <w:r>
              <w:rPr>
                <w:rFonts w:ascii="Times New Roman" w:hAnsi="Times New Roman" w:cs="Times New Roman"/>
                <w:color w:val="000000" w:themeColor="text1"/>
                <w:sz w:val="24"/>
                <w14:textFill>
                  <w14:solidFill>
                    <w14:schemeClr w14:val="tx1"/>
                  </w14:solidFill>
                </w14:textFill>
              </w:rPr>
              <w:t>桶储存，</w:t>
            </w:r>
            <w:r>
              <w:rPr>
                <w:rFonts w:hint="eastAsia" w:ascii="Times New Roman" w:hAnsi="Times New Roman" w:cs="Times New Roman"/>
                <w:color w:val="000000" w:themeColor="text1"/>
                <w:sz w:val="24"/>
                <w14:textFill>
                  <w14:solidFill>
                    <w14:schemeClr w14:val="tx1"/>
                  </w14:solidFill>
                </w14:textFill>
              </w:rPr>
              <w:t>储存</w:t>
            </w:r>
            <w:r>
              <w:rPr>
                <w:rFonts w:ascii="Times New Roman" w:hAnsi="Times New Roman" w:cs="Times New Roman"/>
                <w:color w:val="000000" w:themeColor="text1"/>
                <w:sz w:val="24"/>
                <w14:textFill>
                  <w14:solidFill>
                    <w14:schemeClr w14:val="tx1"/>
                  </w14:solidFill>
                </w14:textFill>
              </w:rPr>
              <w:t>过程中产生切削液废包装桶，根据建设单位提供资料，切削液废包装桶产生量为</w:t>
            </w:r>
            <w:r>
              <w:rPr>
                <w:rFonts w:hint="eastAsia" w:ascii="Times New Roman" w:hAnsi="Times New Roman" w:cs="Times New Roman"/>
                <w:color w:val="000000" w:themeColor="text1"/>
                <w:sz w:val="24"/>
                <w14:textFill>
                  <w14:solidFill>
                    <w14:schemeClr w14:val="tx1"/>
                  </w14:solidFill>
                </w14:textFill>
              </w:rPr>
              <w:t>0.0</w:t>
            </w:r>
            <w:r>
              <w:rPr>
                <w:rFonts w:ascii="Times New Roman" w:hAnsi="Times New Roman" w:cs="Times New Roman"/>
                <w:color w:val="000000" w:themeColor="text1"/>
                <w:sz w:val="24"/>
                <w14:textFill>
                  <w14:solidFill>
                    <w14:schemeClr w14:val="tx1"/>
                  </w14:solidFill>
                </w14:textFill>
              </w:rPr>
              <w:t>4t/a，</w:t>
            </w:r>
            <w:r>
              <w:rPr>
                <w:rFonts w:hint="eastAsia" w:ascii="Times New Roman" w:hAnsi="Times New Roman" w:cs="Times New Roman"/>
                <w:color w:val="000000" w:themeColor="text1"/>
                <w:sz w:val="24"/>
                <w14:textFill>
                  <w14:solidFill>
                    <w14:schemeClr w14:val="tx1"/>
                  </w14:solidFill>
                </w14:textFill>
              </w:rPr>
              <w:t>对照《国家危险废物名录》（2025年版），废包装材料因沾有化学品，属于危险废物，编号为HW49其他废物，代码为900-041-49，暂存于危废暂存间指定的区域内，定期委托有相应资质的单位处置。</w:t>
            </w:r>
          </w:p>
          <w:p w14:paraId="1DD42151">
            <w:pPr>
              <w:tabs>
                <w:tab w:val="left" w:pos="652"/>
              </w:tabs>
              <w:spacing w:line="360" w:lineRule="auto"/>
              <w:ind w:firstLine="480" w:firstLineChars="200"/>
              <w:jc w:val="left"/>
              <w:rPr>
                <w:rFonts w:ascii="Times New Roman" w:hAnsi="Times New Roman" w:eastAsia="宋体" w:cs="宋体"/>
                <w:color w:val="000000" w:themeColor="text1"/>
                <w:sz w:val="24"/>
                <w14:textFill>
                  <w14:solidFill>
                    <w14:schemeClr w14:val="tx1"/>
                  </w14:solidFill>
                </w14:textFill>
              </w:rPr>
            </w:pPr>
            <w:r>
              <w:rPr>
                <w:rFonts w:hint="eastAsia" w:ascii="Times New Roman" w:hAnsi="Times New Roman" w:eastAsia="宋体" w:cs="宋体"/>
                <w:color w:val="000000" w:themeColor="text1"/>
                <w:sz w:val="24"/>
                <w14:textFill>
                  <w14:solidFill>
                    <w14:schemeClr w14:val="tx1"/>
                  </w14:solidFill>
                </w14:textFill>
              </w:rPr>
              <w:t>⑥废金属边角料</w:t>
            </w:r>
          </w:p>
          <w:p w14:paraId="59E05CF4">
            <w:pPr>
              <w:tabs>
                <w:tab w:val="left" w:pos="652"/>
              </w:tabs>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宋体"/>
                <w:color w:val="000000" w:themeColor="text1"/>
                <w:sz w:val="24"/>
                <w14:textFill>
                  <w14:solidFill>
                    <w14:schemeClr w14:val="tx1"/>
                  </w14:solidFill>
                </w14:textFill>
              </w:rPr>
              <w:t>本</w:t>
            </w:r>
            <w:r>
              <w:rPr>
                <w:rFonts w:hint="eastAsia" w:ascii="Times New Roman" w:hAnsi="Times New Roman" w:eastAsia="宋体" w:cs="宋体"/>
                <w:color w:val="000000" w:themeColor="text1"/>
                <w:sz w:val="24"/>
                <w:lang w:val="en-US" w:eastAsia="zh-CN"/>
                <w14:textFill>
                  <w14:solidFill>
                    <w14:schemeClr w14:val="tx1"/>
                  </w14:solidFill>
                </w14:textFill>
              </w:rPr>
              <w:t>项目</w:t>
            </w:r>
            <w:r>
              <w:rPr>
                <w:rFonts w:hint="eastAsia" w:ascii="Times New Roman" w:hAnsi="Times New Roman" w:eastAsia="宋体" w:cs="宋体"/>
                <w:color w:val="000000" w:themeColor="text1"/>
                <w:sz w:val="24"/>
                <w14:textFill>
                  <w14:solidFill>
                    <w14:schemeClr w14:val="tx1"/>
                  </w14:solidFill>
                </w14:textFill>
              </w:rPr>
              <w:t>制孔工序中产生的废金属边角料，根据企业提供的资料，生产过程中产生的边角料约2.0t/a ，废金属边角料沾染切削液，属于危险废物。</w:t>
            </w:r>
            <w:r>
              <w:rPr>
                <w:rFonts w:hint="eastAsia" w:ascii="Times New Roman" w:hAnsi="Times New Roman" w:eastAsia="宋体" w:cs="Times New Roman"/>
                <w:color w:val="000000" w:themeColor="text1"/>
                <w:sz w:val="24"/>
                <w14:textFill>
                  <w14:solidFill>
                    <w14:schemeClr w14:val="tx1"/>
                  </w14:solidFill>
                </w14:textFill>
              </w:rPr>
              <w:t>《国家危险废物名录》（2025年版）规定的危险废物（类别为HW0</w:t>
            </w:r>
            <w:r>
              <w:rPr>
                <w:rFonts w:ascii="Times New Roman" w:hAnsi="Times New Roman" w:eastAsia="宋体" w:cs="Times New Roman"/>
                <w:color w:val="000000" w:themeColor="text1"/>
                <w:sz w:val="24"/>
                <w14:textFill>
                  <w14:solidFill>
                    <w14:schemeClr w14:val="tx1"/>
                  </w14:solidFill>
                </w14:textFill>
              </w:rPr>
              <w:t>8废矿物油与含矿物油废物</w:t>
            </w:r>
            <w:r>
              <w:rPr>
                <w:rFonts w:hint="eastAsia" w:ascii="Times New Roman" w:hAnsi="Times New Roman" w:eastAsia="宋体" w:cs="Times New Roman"/>
                <w:color w:val="000000" w:themeColor="text1"/>
                <w:sz w:val="24"/>
                <w14:textFill>
                  <w14:solidFill>
                    <w14:schemeClr w14:val="tx1"/>
                  </w14:solidFill>
                </w14:textFill>
              </w:rPr>
              <w:t>，代码900-</w:t>
            </w:r>
            <w:r>
              <w:rPr>
                <w:rFonts w:ascii="Times New Roman" w:hAnsi="Times New Roman" w:eastAsia="宋体" w:cs="Times New Roman"/>
                <w:color w:val="000000" w:themeColor="text1"/>
                <w:sz w:val="24"/>
                <w14:textFill>
                  <w14:solidFill>
                    <w14:schemeClr w14:val="tx1"/>
                  </w14:solidFill>
                </w14:textFill>
              </w:rPr>
              <w:t>200</w:t>
            </w:r>
            <w:r>
              <w:rPr>
                <w:rFonts w:hint="eastAsia" w:ascii="Times New Roman" w:hAnsi="Times New Roman" w:eastAsia="宋体" w:cs="Times New Roman"/>
                <w:color w:val="000000" w:themeColor="text1"/>
                <w:sz w:val="24"/>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8</w:t>
            </w:r>
            <w:r>
              <w:rPr>
                <w:rFonts w:hint="eastAsia" w:ascii="Times New Roman" w:hAnsi="Times New Roman" w:eastAsia="宋体" w:cs="Times New Roman"/>
                <w:color w:val="000000" w:themeColor="text1"/>
                <w:sz w:val="24"/>
                <w14:textFill>
                  <w14:solidFill>
                    <w14:schemeClr w14:val="tx1"/>
                  </w14:solidFill>
                </w14:textFill>
              </w:rPr>
              <w:t>），交由有资质单位进行处理。</w:t>
            </w:r>
          </w:p>
          <w:p w14:paraId="7894E92B">
            <w:pPr>
              <w:tabs>
                <w:tab w:val="left" w:pos="652"/>
              </w:tabs>
              <w:spacing w:line="360" w:lineRule="auto"/>
              <w:ind w:firstLine="480" w:firstLineChars="200"/>
              <w:jc w:val="left"/>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⑦</w:t>
            </w:r>
            <w:r>
              <w:rPr>
                <w:rFonts w:hint="eastAsia" w:ascii="宋体" w:hAnsi="宋体" w:eastAsia="宋体" w:cs="宋体"/>
                <w:color w:val="000000" w:themeColor="text1"/>
                <w:sz w:val="24"/>
                <w14:textFill>
                  <w14:solidFill>
                    <w14:schemeClr w14:val="tx1"/>
                  </w14:solidFill>
                </w14:textFill>
              </w:rPr>
              <w:t>含漆抹布及手套</w:t>
            </w:r>
          </w:p>
          <w:p w14:paraId="027E2B43">
            <w:pPr>
              <w:tabs>
                <w:tab w:val="left" w:pos="652"/>
              </w:tabs>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本</w:t>
            </w:r>
            <w:r>
              <w:rPr>
                <w:rFonts w:hint="eastAsia" w:ascii="Times New Roman" w:hAnsi="Times New Roman" w:cs="Times New Roman"/>
                <w:color w:val="000000" w:themeColor="text1"/>
                <w:sz w:val="24"/>
                <w:lang w:eastAsia="zh-CN"/>
                <w14:textFill>
                  <w14:solidFill>
                    <w14:schemeClr w14:val="tx1"/>
                  </w14:solidFill>
                </w14:textFill>
              </w:rPr>
              <w:t>项目</w:t>
            </w:r>
            <w:r>
              <w:rPr>
                <w:rFonts w:hint="eastAsia" w:ascii="Times New Roman" w:hAnsi="Times New Roman" w:cs="Times New Roman"/>
                <w:color w:val="000000" w:themeColor="text1"/>
                <w:sz w:val="24"/>
                <w14:textFill>
                  <w14:solidFill>
                    <w14:schemeClr w14:val="tx1"/>
                  </w14:solidFill>
                </w14:textFill>
              </w:rPr>
              <w:t>生产设备维护保养过程中会产生含漆抹布及手套，含漆抹布及手套属于《国家危险废物名录》（20</w:t>
            </w:r>
            <w:r>
              <w:rPr>
                <w:rFonts w:hint="eastAsia" w:ascii="Times New Roman" w:hAnsi="Times New Roman" w:cs="Times New Roman"/>
                <w:color w:val="000000" w:themeColor="text1"/>
                <w:sz w:val="24"/>
                <w:lang w:val="en-US" w:eastAsia="zh-CN"/>
                <w14:textFill>
                  <w14:solidFill>
                    <w14:schemeClr w14:val="tx1"/>
                  </w14:solidFill>
                </w14:textFill>
              </w:rPr>
              <w:t>25</w:t>
            </w:r>
            <w:r>
              <w:rPr>
                <w:rFonts w:hint="eastAsia" w:ascii="Times New Roman" w:hAnsi="Times New Roman" w:cs="Times New Roman"/>
                <w:color w:val="000000" w:themeColor="text1"/>
                <w:sz w:val="24"/>
                <w14:textFill>
                  <w14:solidFill>
                    <w14:schemeClr w14:val="tx1"/>
                  </w14:solidFill>
                </w14:textFill>
              </w:rPr>
              <w:t>年）中编号为HW49其他废物（900-041-49），产生量约0.02t/a，暂存于危废暂存间指定的区域内，定期委托有相应资质的单位处置。</w:t>
            </w:r>
          </w:p>
          <w:p w14:paraId="595873E3">
            <w:pPr>
              <w:tabs>
                <w:tab w:val="left" w:pos="652"/>
              </w:tabs>
              <w:spacing w:line="360" w:lineRule="auto"/>
              <w:ind w:firstLine="480" w:firstLineChars="200"/>
              <w:jc w:val="left"/>
              <w:rPr>
                <w:rFonts w:hint="default" w:ascii="Times New Roman" w:hAnsi="Times New Roman" w:cs="Times New Roman" w:eastAsiaTheme="minorEastAsia"/>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⑧</w:t>
            </w:r>
            <w:r>
              <w:rPr>
                <w:rFonts w:hint="eastAsia" w:ascii="Times New Roman" w:hAnsi="Times New Roman" w:cs="Times New Roman"/>
                <w:color w:val="000000" w:themeColor="text1"/>
                <w:sz w:val="24"/>
                <w14:textFill>
                  <w14:solidFill>
                    <w14:schemeClr w14:val="tx1"/>
                  </w14:solidFill>
                </w14:textFill>
              </w:rPr>
              <w:t>废干式过滤棉</w:t>
            </w:r>
            <w:r>
              <w:rPr>
                <w:rFonts w:hint="eastAsia" w:ascii="Times New Roman" w:hAnsi="Times New Roman" w:cs="Times New Roman"/>
                <w:color w:val="000000" w:themeColor="text1"/>
                <w:sz w:val="24"/>
                <w:lang w:val="en-US" w:eastAsia="zh-CN"/>
                <w14:textFill>
                  <w14:solidFill>
                    <w14:schemeClr w14:val="tx1"/>
                  </w14:solidFill>
                </w14:textFill>
              </w:rPr>
              <w:t>及漆渣</w:t>
            </w:r>
          </w:p>
          <w:p w14:paraId="1E92C5E7">
            <w:pPr>
              <w:tabs>
                <w:tab w:val="left" w:pos="652"/>
              </w:tabs>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本</w:t>
            </w:r>
            <w:r>
              <w:rPr>
                <w:rFonts w:hint="eastAsia" w:ascii="Times New Roman" w:hAnsi="Times New Roman" w:cs="Times New Roman"/>
                <w:color w:val="000000" w:themeColor="text1"/>
                <w:sz w:val="24"/>
                <w:lang w:eastAsia="zh-CN"/>
                <w14:textFill>
                  <w14:solidFill>
                    <w14:schemeClr w14:val="tx1"/>
                  </w14:solidFill>
                </w14:textFill>
              </w:rPr>
              <w:t>项目</w:t>
            </w:r>
            <w:r>
              <w:rPr>
                <w:rFonts w:ascii="Times New Roman" w:hAnsi="Times New Roman" w:cs="Times New Roman"/>
                <w:color w:val="000000" w:themeColor="text1"/>
                <w:sz w:val="24"/>
                <w14:textFill>
                  <w14:solidFill>
                    <w14:schemeClr w14:val="tx1"/>
                  </w14:solidFill>
                </w14:textFill>
              </w:rPr>
              <w:t>干式过滤器采用干式过滤棉的过滤方式，过滤棉每</w:t>
            </w:r>
            <w:r>
              <w:rPr>
                <w:rFonts w:hint="eastAsia" w:ascii="Times New Roman" w:hAnsi="Times New Roman" w:cs="Times New Roman"/>
                <w:color w:val="000000" w:themeColor="text1"/>
                <w:sz w:val="24"/>
                <w14:textFill>
                  <w14:solidFill>
                    <w14:schemeClr w14:val="tx1"/>
                  </w14:solidFill>
                </w14:textFill>
              </w:rPr>
              <w:t>3个月一换，根据建设单位提供的资料，废干式过滤棉的产生量为0</w:t>
            </w:r>
            <w:r>
              <w:rPr>
                <w:rFonts w:ascii="Times New Roman" w:hAnsi="Times New Roman" w:cs="Times New Roman"/>
                <w:color w:val="000000" w:themeColor="text1"/>
                <w:sz w:val="24"/>
                <w14:textFill>
                  <w14:solidFill>
                    <w14:schemeClr w14:val="tx1"/>
                  </w14:solidFill>
                </w14:textFill>
              </w:rPr>
              <w:t>.5t/a，</w:t>
            </w:r>
            <w:r>
              <w:rPr>
                <w:rFonts w:hint="eastAsia" w:ascii="Times New Roman" w:hAnsi="Times New Roman" w:cs="Times New Roman"/>
                <w:color w:val="000000" w:themeColor="text1"/>
                <w:sz w:val="24"/>
                <w:lang w:val="en-US" w:eastAsia="zh-CN"/>
                <w14:textFill>
                  <w14:solidFill>
                    <w14:schemeClr w14:val="tx1"/>
                  </w14:solidFill>
                </w14:textFill>
              </w:rPr>
              <w:t>干式过滤棉吸附漆渣的效率为95%，则漆渣的去除量为0.033t/a，则废干式过滤棉及漆渣的产生量为0.533t/a，</w:t>
            </w:r>
            <w:r>
              <w:rPr>
                <w:rFonts w:ascii="Times New Roman" w:hAnsi="Times New Roman" w:cs="Times New Roman"/>
                <w:color w:val="000000" w:themeColor="text1"/>
                <w:sz w:val="24"/>
                <w14:textFill>
                  <w14:solidFill>
                    <w14:schemeClr w14:val="tx1"/>
                  </w14:solidFill>
                </w14:textFill>
              </w:rPr>
              <w:t>废</w:t>
            </w:r>
            <w:r>
              <w:rPr>
                <w:rFonts w:hint="eastAsia" w:ascii="Times New Roman" w:hAnsi="Times New Roman" w:cs="Times New Roman"/>
                <w:color w:val="000000" w:themeColor="text1"/>
                <w:sz w:val="24"/>
                <w:lang w:val="en-US" w:eastAsia="zh-CN"/>
                <w14:textFill>
                  <w14:solidFill>
                    <w14:schemeClr w14:val="tx1"/>
                  </w14:solidFill>
                </w14:textFill>
              </w:rPr>
              <w:t>干式过滤棉及漆渣</w:t>
            </w:r>
            <w:r>
              <w:rPr>
                <w:rFonts w:ascii="Times New Roman" w:hAnsi="Times New Roman" w:cs="Times New Roman"/>
                <w:color w:val="000000" w:themeColor="text1"/>
                <w:sz w:val="24"/>
                <w14:textFill>
                  <w14:solidFill>
                    <w14:schemeClr w14:val="tx1"/>
                  </w14:solidFill>
                </w14:textFill>
              </w:rPr>
              <w:t>属于</w:t>
            </w:r>
            <w:r>
              <w:rPr>
                <w:rFonts w:hint="eastAsia" w:ascii="Times New Roman" w:hAnsi="Times New Roman" w:cs="Times New Roman"/>
                <w:color w:val="000000" w:themeColor="text1"/>
                <w:sz w:val="24"/>
                <w14:textFill>
                  <w14:solidFill>
                    <w14:schemeClr w14:val="tx1"/>
                  </w14:solidFill>
                </w14:textFill>
              </w:rPr>
              <w:t>《国家危险废物名录》（202</w:t>
            </w:r>
            <w:r>
              <w:rPr>
                <w:rFonts w:hint="eastAsia" w:ascii="Times New Roman" w:hAnsi="Times New Roman" w:cs="Times New Roman"/>
                <w:color w:val="000000" w:themeColor="text1"/>
                <w:sz w:val="24"/>
                <w:lang w:val="en-US" w:eastAsia="zh-CN"/>
                <w14:textFill>
                  <w14:solidFill>
                    <w14:schemeClr w14:val="tx1"/>
                  </w14:solidFill>
                </w14:textFill>
              </w:rPr>
              <w:t>5</w:t>
            </w:r>
            <w:r>
              <w:rPr>
                <w:rFonts w:hint="eastAsia" w:ascii="Times New Roman" w:hAnsi="Times New Roman" w:cs="Times New Roman"/>
                <w:color w:val="000000" w:themeColor="text1"/>
                <w:sz w:val="24"/>
                <w14:textFill>
                  <w14:solidFill>
                    <w14:schemeClr w14:val="tx1"/>
                  </w14:solidFill>
                </w14:textFill>
              </w:rPr>
              <w:t>年）中编号为HW49其他废物（900-041-49），交由具有相应危险废物经营许可证的单位处置。</w:t>
            </w:r>
          </w:p>
          <w:p w14:paraId="6969B42B">
            <w:pPr>
              <w:tabs>
                <w:tab w:val="left" w:pos="652"/>
              </w:tabs>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⑨</w:t>
            </w:r>
            <w:r>
              <w:rPr>
                <w:rFonts w:hint="eastAsia" w:ascii="Times New Roman" w:hAnsi="Times New Roman" w:cs="Times New Roman"/>
                <w:color w:val="000000" w:themeColor="text1"/>
                <w:sz w:val="24"/>
                <w14:textFill>
                  <w14:solidFill>
                    <w14:schemeClr w14:val="tx1"/>
                  </w14:solidFill>
                </w14:textFill>
              </w:rPr>
              <w:t>清洗废液</w:t>
            </w:r>
          </w:p>
          <w:p w14:paraId="7FB50D8D">
            <w:pPr>
              <w:tabs>
                <w:tab w:val="left" w:pos="652"/>
              </w:tabs>
              <w:spacing w:line="360" w:lineRule="auto"/>
              <w:ind w:firstLine="480" w:firstLineChars="200"/>
              <w:jc w:val="left"/>
              <w:rPr>
                <w:rFonts w:hint="eastAsia"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本</w:t>
            </w:r>
            <w:r>
              <w:rPr>
                <w:rFonts w:hint="eastAsia" w:ascii="Times New Roman" w:hAnsi="Times New Roman" w:cs="Times New Roman"/>
                <w:color w:val="000000" w:themeColor="text1"/>
                <w:sz w:val="24"/>
                <w:lang w:eastAsia="zh-CN"/>
                <w14:textFill>
                  <w14:solidFill>
                    <w14:schemeClr w14:val="tx1"/>
                  </w14:solidFill>
                </w14:textFill>
              </w:rPr>
              <w:t>项目</w:t>
            </w:r>
            <w:r>
              <w:rPr>
                <w:rFonts w:ascii="Times New Roman" w:hAnsi="Times New Roman" w:cs="Times New Roman"/>
                <w:color w:val="000000" w:themeColor="text1"/>
                <w:sz w:val="24"/>
                <w14:textFill>
                  <w14:solidFill>
                    <w14:schemeClr w14:val="tx1"/>
                  </w14:solidFill>
                </w14:textFill>
              </w:rPr>
              <w:t>采用异丙醇作为清洗剂，金属表面清洗、喷枪清洗过程中会产生清洗废液，根据建设单位提供资料，清洗废液产生量约</w:t>
            </w:r>
            <w:r>
              <w:rPr>
                <w:rFonts w:hint="eastAsia" w:ascii="Times New Roman" w:hAnsi="Times New Roman" w:cs="Times New Roman"/>
                <w:color w:val="000000" w:themeColor="text1"/>
                <w:sz w:val="24"/>
                <w14:textFill>
                  <w14:solidFill>
                    <w14:schemeClr w14:val="tx1"/>
                  </w14:solidFill>
                </w14:textFill>
              </w:rPr>
              <w:t>0</w:t>
            </w: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101</w:t>
            </w:r>
            <w:r>
              <w:rPr>
                <w:rFonts w:ascii="Times New Roman" w:hAnsi="Times New Roman" w:cs="Times New Roman"/>
                <w:color w:val="000000" w:themeColor="text1"/>
                <w:sz w:val="24"/>
                <w14:textFill>
                  <w14:solidFill>
                    <w14:schemeClr w14:val="tx1"/>
                  </w14:solidFill>
                </w14:textFill>
              </w:rPr>
              <w:t>t/a，</w:t>
            </w:r>
            <w:r>
              <w:rPr>
                <w:rFonts w:hint="eastAsia" w:ascii="Times New Roman" w:hAnsi="Times New Roman" w:cs="Times New Roman"/>
                <w:color w:val="000000" w:themeColor="text1"/>
                <w:sz w:val="24"/>
                <w14:textFill>
                  <w14:solidFill>
                    <w14:schemeClr w14:val="tx1"/>
                  </w14:solidFill>
                </w14:textFill>
              </w:rPr>
              <w:t>清洗废液属于《国家危险废物名录》（202</w:t>
            </w:r>
            <w:r>
              <w:rPr>
                <w:rFonts w:hint="eastAsia" w:ascii="Times New Roman" w:hAnsi="Times New Roman" w:cs="Times New Roman"/>
                <w:color w:val="000000" w:themeColor="text1"/>
                <w:sz w:val="24"/>
                <w:lang w:val="en-US" w:eastAsia="zh-CN"/>
                <w14:textFill>
                  <w14:solidFill>
                    <w14:schemeClr w14:val="tx1"/>
                  </w14:solidFill>
                </w14:textFill>
              </w:rPr>
              <w:t>5</w:t>
            </w:r>
            <w:r>
              <w:rPr>
                <w:rFonts w:hint="eastAsia" w:ascii="Times New Roman" w:hAnsi="Times New Roman" w:cs="Times New Roman"/>
                <w:color w:val="000000" w:themeColor="text1"/>
                <w:sz w:val="24"/>
                <w14:textFill>
                  <w14:solidFill>
                    <w14:schemeClr w14:val="tx1"/>
                  </w14:solidFill>
                </w14:textFill>
              </w:rPr>
              <w:t>年）中编号为HW06废有机溶剂与含有机溶剂废物，代码为900-402-06，交由具有相应危险废物经营许可证的单位处置。</w:t>
            </w:r>
          </w:p>
          <w:p w14:paraId="255DD337">
            <w:pPr>
              <w:pStyle w:val="61"/>
              <w:keepNext w:val="0"/>
              <w:keepLines w:val="0"/>
              <w:pageBreakBefore w:val="0"/>
              <w:widowControl w:val="0"/>
              <w:kinsoku/>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cs="Times New Roman"/>
                <w:b/>
                <w:bCs/>
                <w:color w:val="auto"/>
                <w:kern w:val="2"/>
                <w:sz w:val="24"/>
                <w:szCs w:val="24"/>
                <w:highlight w:val="none"/>
                <w:lang w:val="en-US" w:eastAsia="zh-CN" w:bidi="ar-SA"/>
              </w:rPr>
            </w:pPr>
            <w:r>
              <w:rPr>
                <w:rFonts w:hint="default" w:ascii="Times New Roman" w:hAnsi="Times New Roman" w:cs="Times New Roman"/>
                <w:lang w:val="en-US" w:eastAsia="zh-CN"/>
              </w:rPr>
              <w:t>⑩</w:t>
            </w:r>
            <w:r>
              <w:rPr>
                <w:rFonts w:hint="default" w:ascii="Times New Roman" w:hAnsi="Times New Roman" w:cs="Times New Roman"/>
                <w:b/>
                <w:bCs/>
                <w:color w:val="auto"/>
                <w:kern w:val="2"/>
                <w:sz w:val="24"/>
                <w:szCs w:val="24"/>
                <w:highlight w:val="none"/>
                <w:lang w:val="en-US" w:eastAsia="zh-CN" w:bidi="ar-SA"/>
              </w:rPr>
              <w:t>喷淋废液及</w:t>
            </w:r>
            <w:r>
              <w:rPr>
                <w:rFonts w:hint="default" w:ascii="Times New Roman" w:hAnsi="Times New Roman" w:cs="Times New Roman"/>
                <w:b/>
                <w:bCs/>
                <w:color w:val="auto"/>
                <w:highlight w:val="none"/>
                <w:lang w:val="en-US" w:eastAsia="zh-CN"/>
              </w:rPr>
              <w:t>沉</w:t>
            </w:r>
            <w:r>
              <w:rPr>
                <w:rFonts w:hint="default" w:ascii="Times New Roman" w:hAnsi="Times New Roman" w:cs="Times New Roman"/>
                <w:b/>
                <w:bCs/>
                <w:color w:val="auto"/>
                <w:kern w:val="2"/>
                <w:sz w:val="24"/>
                <w:szCs w:val="24"/>
                <w:highlight w:val="none"/>
                <w:lang w:val="en-US" w:eastAsia="zh-CN" w:bidi="ar-SA"/>
              </w:rPr>
              <w:t>渣</w:t>
            </w:r>
          </w:p>
          <w:p w14:paraId="25206906">
            <w:pPr>
              <w:keepNext w:val="0"/>
              <w:keepLines w:val="0"/>
              <w:pageBreakBefore w:val="0"/>
              <w:widowControl w:val="0"/>
              <w:kinsoku/>
              <w:wordWrap w:val="0"/>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本项目喷涂过程产生的</w:t>
            </w:r>
            <w:r>
              <w:rPr>
                <w:rFonts w:hint="eastAsia"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漆雾，水喷淋处理效率为80%，漆雾削减量按80%进行核算，</w:t>
            </w:r>
            <w:r>
              <w:rPr>
                <w:rFonts w:hint="default" w:ascii="Times New Roman" w:hAnsi="Times New Roman" w:cs="Times New Roman"/>
                <w:color w:val="000000" w:themeColor="text1"/>
                <w:kern w:val="2"/>
                <w:sz w:val="24"/>
                <w:szCs w:val="21"/>
                <w:highlight w:val="none"/>
                <w:lang w:val="en-US" w:eastAsia="zh-CN" w:bidi="ar-SA"/>
                <w14:textFill>
                  <w14:solidFill>
                    <w14:schemeClr w14:val="tx1"/>
                  </w14:solidFill>
                </w14:textFill>
              </w:rPr>
              <w:t>即0.</w:t>
            </w:r>
            <w:r>
              <w:rPr>
                <w:rFonts w:hint="eastAsia" w:ascii="Times New Roman" w:hAnsi="Times New Roman" w:cs="Times New Roman"/>
                <w:color w:val="000000" w:themeColor="text1"/>
                <w:kern w:val="2"/>
                <w:sz w:val="24"/>
                <w:szCs w:val="21"/>
                <w:highlight w:val="none"/>
                <w:lang w:val="en-US" w:eastAsia="zh-CN" w:bidi="ar-SA"/>
                <w14:textFill>
                  <w14:solidFill>
                    <w14:schemeClr w14:val="tx1"/>
                  </w14:solidFill>
                </w14:textFill>
              </w:rPr>
              <w:t>266</w:t>
            </w:r>
            <w:r>
              <w:rPr>
                <w:rFonts w:hint="default" w:ascii="Times New Roman" w:hAnsi="Times New Roman" w:cs="Times New Roman"/>
                <w:color w:val="000000" w:themeColor="text1"/>
                <w:kern w:val="2"/>
                <w:sz w:val="24"/>
                <w:szCs w:val="21"/>
                <w:highlight w:val="none"/>
                <w:lang w:val="en-US" w:eastAsia="zh-CN" w:bidi="ar-SA"/>
                <w14:textFill>
                  <w14:solidFill>
                    <w14:schemeClr w14:val="tx1"/>
                  </w14:solidFill>
                </w14:textFill>
              </w:rPr>
              <w:t>t/a</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24"/>
                <w:szCs w:val="21"/>
                <w:highlight w:val="none"/>
                <w:lang w:val="en-US" w:eastAsia="zh-CN" w:bidi="ar-SA"/>
                <w14:textFill>
                  <w14:solidFill>
                    <w14:schemeClr w14:val="tx1"/>
                  </w14:solidFill>
                </w14:textFill>
              </w:rPr>
              <w:t>根</w:t>
            </w:r>
            <w:r>
              <w:rPr>
                <w:rFonts w:hint="default" w:ascii="Times New Roman" w:hAnsi="Times New Roman" w:cs="Times New Roman"/>
                <w:color w:val="auto"/>
                <w:kern w:val="2"/>
                <w:sz w:val="24"/>
                <w:szCs w:val="21"/>
                <w:highlight w:val="none"/>
                <w:lang w:val="en-US" w:eastAsia="zh-CN" w:bidi="ar-SA"/>
              </w:rPr>
              <w:t>据前文计算，水帘柜喷淋废水和喷淋塔废水产生量为60+</w:t>
            </w:r>
            <w:r>
              <w:rPr>
                <w:rFonts w:hint="eastAsia" w:ascii="Times New Roman" w:hAnsi="Times New Roman" w:cs="Times New Roman"/>
                <w:color w:val="auto"/>
                <w:kern w:val="2"/>
                <w:sz w:val="24"/>
                <w:szCs w:val="21"/>
                <w:highlight w:val="none"/>
                <w:lang w:val="en-US" w:eastAsia="zh-CN" w:bidi="ar-SA"/>
              </w:rPr>
              <w:t>4.8</w:t>
            </w:r>
            <w:r>
              <w:rPr>
                <w:rFonts w:hint="default" w:ascii="Times New Roman" w:hAnsi="Times New Roman" w:cs="Times New Roman"/>
                <w:color w:val="auto"/>
                <w:kern w:val="2"/>
                <w:sz w:val="24"/>
                <w:szCs w:val="21"/>
                <w:highlight w:val="none"/>
                <w:lang w:val="en-US" w:eastAsia="zh-CN" w:bidi="ar-SA"/>
              </w:rPr>
              <w:t>=</w:t>
            </w:r>
            <w:r>
              <w:rPr>
                <w:rFonts w:hint="eastAsia" w:ascii="Times New Roman" w:hAnsi="Times New Roman" w:cs="Times New Roman"/>
                <w:color w:val="auto"/>
                <w:kern w:val="2"/>
                <w:sz w:val="24"/>
                <w:szCs w:val="21"/>
                <w:highlight w:val="none"/>
                <w:lang w:val="en-US" w:eastAsia="zh-CN" w:bidi="ar-SA"/>
              </w:rPr>
              <w:t>64.8</w:t>
            </w:r>
            <w:r>
              <w:rPr>
                <w:rFonts w:hint="default" w:ascii="Times New Roman" w:hAnsi="Times New Roman" w:cs="Times New Roman"/>
                <w:color w:val="auto"/>
                <w:kern w:val="2"/>
                <w:sz w:val="24"/>
                <w:szCs w:val="21"/>
                <w:highlight w:val="none"/>
                <w:lang w:val="en-US" w:eastAsia="zh-CN" w:bidi="ar-SA"/>
              </w:rPr>
              <w:t>t/a。合计喷淋废液及沉渣产生量为</w:t>
            </w:r>
            <w:r>
              <w:rPr>
                <w:rFonts w:hint="eastAsia" w:ascii="Times New Roman" w:hAnsi="Times New Roman" w:cs="Times New Roman"/>
                <w:color w:val="auto"/>
                <w:kern w:val="2"/>
                <w:sz w:val="24"/>
                <w:szCs w:val="21"/>
                <w:highlight w:val="none"/>
                <w:lang w:val="en-US" w:eastAsia="zh-CN" w:bidi="ar-SA"/>
              </w:rPr>
              <w:t>65.066</w:t>
            </w:r>
            <w:r>
              <w:rPr>
                <w:rFonts w:hint="default" w:ascii="Times New Roman" w:hAnsi="Times New Roman" w:cs="Times New Roman"/>
                <w:color w:val="auto"/>
                <w:kern w:val="2"/>
                <w:sz w:val="24"/>
                <w:szCs w:val="21"/>
                <w:highlight w:val="none"/>
                <w:lang w:val="en-US" w:eastAsia="zh-CN" w:bidi="ar-SA"/>
              </w:rPr>
              <w:t>t/a。</w:t>
            </w:r>
            <w:r>
              <w:rPr>
                <w:rFonts w:hint="default" w:ascii="Times New Roman" w:hAnsi="Times New Roman" w:eastAsia="宋体" w:cs="Times New Roman"/>
                <w:color w:val="auto"/>
                <w:kern w:val="2"/>
                <w:sz w:val="24"/>
                <w:szCs w:val="21"/>
                <w:highlight w:val="none"/>
                <w:lang w:val="en-US" w:eastAsia="zh-CN" w:bidi="ar-SA"/>
              </w:rPr>
              <w:t>根据《国家危险废物名录》（202</w:t>
            </w:r>
            <w:r>
              <w:rPr>
                <w:rFonts w:hint="default" w:ascii="Times New Roman" w:hAnsi="Times New Roman" w:cs="Times New Roman"/>
                <w:color w:val="auto"/>
                <w:kern w:val="2"/>
                <w:sz w:val="24"/>
                <w:szCs w:val="21"/>
                <w:highlight w:val="none"/>
                <w:lang w:val="en-US" w:eastAsia="zh-CN" w:bidi="ar-SA"/>
              </w:rPr>
              <w:t>5</w:t>
            </w:r>
            <w:r>
              <w:rPr>
                <w:rFonts w:hint="default" w:ascii="Times New Roman" w:hAnsi="Times New Roman" w:eastAsia="宋体" w:cs="Times New Roman"/>
                <w:color w:val="auto"/>
                <w:kern w:val="2"/>
                <w:sz w:val="24"/>
                <w:szCs w:val="21"/>
                <w:highlight w:val="none"/>
                <w:lang w:val="en-US" w:eastAsia="zh-CN" w:bidi="ar-SA"/>
              </w:rPr>
              <w:t>年版），</w:t>
            </w:r>
            <w:r>
              <w:rPr>
                <w:rFonts w:hint="default" w:ascii="Times New Roman" w:hAnsi="Times New Roman" w:cs="Times New Roman"/>
                <w:color w:val="auto"/>
                <w:kern w:val="2"/>
                <w:sz w:val="24"/>
                <w:szCs w:val="21"/>
                <w:highlight w:val="none"/>
                <w:lang w:val="en-US" w:eastAsia="zh-CN" w:bidi="ar-SA"/>
              </w:rPr>
              <w:t>喷淋废液及沉渣的</w:t>
            </w:r>
            <w:r>
              <w:rPr>
                <w:rFonts w:hint="default" w:ascii="Times New Roman" w:hAnsi="Times New Roman" w:eastAsia="宋体" w:cs="Times New Roman"/>
                <w:color w:val="auto"/>
                <w:kern w:val="2"/>
                <w:sz w:val="24"/>
                <w:szCs w:val="24"/>
                <w:highlight w:val="none"/>
                <w:lang w:val="en-US" w:eastAsia="zh-CN" w:bidi="ar-SA"/>
              </w:rPr>
              <w:t>废物类别为HW12，</w:t>
            </w:r>
            <w:r>
              <w:rPr>
                <w:rFonts w:hint="default" w:ascii="Times New Roman" w:hAnsi="Times New Roman" w:cs="Times New Roman"/>
                <w:color w:val="auto"/>
                <w:kern w:val="2"/>
                <w:sz w:val="24"/>
                <w:szCs w:val="24"/>
                <w:highlight w:val="none"/>
                <w:lang w:val="en-US" w:eastAsia="zh-CN" w:bidi="ar-SA"/>
              </w:rPr>
              <w:t>代码</w:t>
            </w:r>
            <w:r>
              <w:rPr>
                <w:rFonts w:hint="default" w:ascii="Times New Roman" w:hAnsi="Times New Roman" w:eastAsia="宋体" w:cs="Times New Roman"/>
                <w:color w:val="auto"/>
                <w:kern w:val="2"/>
                <w:sz w:val="24"/>
                <w:szCs w:val="24"/>
                <w:highlight w:val="none"/>
                <w:lang w:val="en-US" w:eastAsia="zh-CN" w:bidi="ar-SA"/>
              </w:rPr>
              <w:t>900-252-12（使用过程中产生的废油漆、染料、颜料等），交由具有</w:t>
            </w:r>
            <w:r>
              <w:rPr>
                <w:rFonts w:hint="default" w:ascii="Times New Roman" w:hAnsi="Times New Roman" w:cs="Times New Roman"/>
                <w:color w:val="auto"/>
                <w:kern w:val="2"/>
                <w:sz w:val="24"/>
                <w:szCs w:val="24"/>
                <w:highlight w:val="none"/>
                <w:lang w:val="en-US" w:eastAsia="zh-CN" w:bidi="ar-SA"/>
              </w:rPr>
              <w:t>相关</w:t>
            </w:r>
            <w:r>
              <w:rPr>
                <w:rFonts w:hint="default" w:ascii="Times New Roman" w:hAnsi="Times New Roman" w:eastAsia="宋体" w:cs="Times New Roman"/>
                <w:color w:val="auto"/>
                <w:kern w:val="2"/>
                <w:sz w:val="24"/>
                <w:szCs w:val="24"/>
                <w:highlight w:val="none"/>
                <w:lang w:val="en-US" w:eastAsia="zh-CN" w:bidi="ar-SA"/>
              </w:rPr>
              <w:t>危废处理资质单位清运处理。</w:t>
            </w:r>
          </w:p>
          <w:p w14:paraId="42B536B9">
            <w:pPr>
              <w:pStyle w:val="63"/>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⑪废活性炭</w:t>
            </w:r>
          </w:p>
          <w:p w14:paraId="7E9C0CA5">
            <w:pPr>
              <w:pStyle w:val="63"/>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项目废气治理设施在运行过程中，为保证活性炭的稳定吸附效果，活性炭吸附器中的活性炭在使用一定时间达到饱和后，吸附效率会逐步降低，为保证其净化效果必须定期进行更换。</w:t>
            </w:r>
          </w:p>
          <w:p w14:paraId="0AD1A9A5">
            <w:pPr>
              <w:jc w:val="center"/>
              <w:rPr>
                <w:rFonts w:hint="default" w:ascii="Times New Roman" w:hAnsi="Times New Roman" w:cs="Times New Roman"/>
                <w:b/>
                <w:bCs/>
                <w:lang w:val="en-US" w:eastAsia="zh-CN"/>
              </w:rPr>
            </w:pPr>
            <w:r>
              <w:rPr>
                <w:rFonts w:hint="default" w:ascii="Times New Roman" w:hAnsi="Times New Roman" w:cs="Times New Roman"/>
                <w:b/>
                <w:bCs/>
                <w:lang w:val="en-US" w:eastAsia="zh-CN"/>
              </w:rPr>
              <w:t>表4-27 项目二级活性炭吸附装置去除有机废气的量</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3"/>
              <w:gridCol w:w="1995"/>
              <w:gridCol w:w="1995"/>
              <w:gridCol w:w="1995"/>
            </w:tblGrid>
            <w:tr w14:paraId="15DB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4FE4CA13">
                  <w:pPr>
                    <w:pStyle w:val="61"/>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有机废气收集量（t/a）</w:t>
                  </w:r>
                </w:p>
              </w:tc>
              <w:tc>
                <w:tcPr>
                  <w:tcW w:w="2051" w:type="dxa"/>
                  <w:vAlign w:val="center"/>
                </w:tcPr>
                <w:p w14:paraId="243AE796">
                  <w:pPr>
                    <w:pStyle w:val="61"/>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二级活性炭处理效率</w:t>
                  </w:r>
                  <w:r>
                    <w:rPr>
                      <w:rFonts w:hint="eastAsia" w:ascii="Times New Roman" w:hAnsi="Times New Roman" w:cs="Times New Roman"/>
                      <w:sz w:val="21"/>
                      <w:szCs w:val="21"/>
                      <w:vertAlign w:val="baseline"/>
                      <w:lang w:val="en-US" w:eastAsia="zh-CN"/>
                    </w:rPr>
                    <w:t>%</w:t>
                  </w:r>
                </w:p>
              </w:tc>
              <w:tc>
                <w:tcPr>
                  <w:tcW w:w="2051" w:type="dxa"/>
                  <w:vAlign w:val="center"/>
                </w:tcPr>
                <w:p w14:paraId="691396BA">
                  <w:pPr>
                    <w:pStyle w:val="61"/>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活性炭处理后的排放量（t/a）</w:t>
                  </w:r>
                </w:p>
              </w:tc>
              <w:tc>
                <w:tcPr>
                  <w:tcW w:w="2051" w:type="dxa"/>
                  <w:vAlign w:val="center"/>
                </w:tcPr>
                <w:p w14:paraId="2724E1DE">
                  <w:pPr>
                    <w:pStyle w:val="61"/>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处理量（t/a）</w:t>
                  </w:r>
                </w:p>
              </w:tc>
            </w:tr>
            <w:tr w14:paraId="7BD9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0" w:type="dxa"/>
                  <w:vAlign w:val="center"/>
                </w:tcPr>
                <w:p w14:paraId="539053D4">
                  <w:pPr>
                    <w:pStyle w:val="61"/>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2.575</w:t>
                  </w:r>
                </w:p>
              </w:tc>
              <w:tc>
                <w:tcPr>
                  <w:tcW w:w="2051" w:type="dxa"/>
                  <w:vAlign w:val="center"/>
                </w:tcPr>
                <w:p w14:paraId="5F705148">
                  <w:pPr>
                    <w:pStyle w:val="61"/>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80</w:t>
                  </w:r>
                </w:p>
              </w:tc>
              <w:tc>
                <w:tcPr>
                  <w:tcW w:w="2051" w:type="dxa"/>
                  <w:vAlign w:val="center"/>
                </w:tcPr>
                <w:p w14:paraId="5F8434DF">
                  <w:pPr>
                    <w:pStyle w:val="61"/>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0.515</w:t>
                  </w:r>
                </w:p>
              </w:tc>
              <w:tc>
                <w:tcPr>
                  <w:tcW w:w="2051" w:type="dxa"/>
                  <w:vAlign w:val="center"/>
                </w:tcPr>
                <w:p w14:paraId="540FB7EE">
                  <w:pPr>
                    <w:pStyle w:val="61"/>
                    <w:tabs>
                      <w:tab w:val="left" w:pos="498"/>
                    </w:tabs>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2.06</w:t>
                  </w:r>
                </w:p>
              </w:tc>
            </w:tr>
          </w:tbl>
          <w:p w14:paraId="792298D1">
            <w:pPr>
              <w:keepNext/>
              <w:keepLines/>
              <w:pageBreakBefore w:val="0"/>
              <w:widowControl w:val="0"/>
              <w:numPr>
                <w:ilvl w:val="5"/>
                <w:numId w:val="0"/>
              </w:numPr>
              <w:wordWrap w:val="0"/>
              <w:overflowPunct/>
              <w:bidi w:val="0"/>
              <w:spacing w:line="360" w:lineRule="auto"/>
              <w:ind w:firstLine="480" w:firstLineChars="200"/>
              <w:jc w:val="both"/>
              <w:outlineLvl w:val="5"/>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auto"/>
                <w:kern w:val="2"/>
                <w:sz w:val="24"/>
                <w:szCs w:val="24"/>
                <w:highlight w:val="none"/>
                <w:lang w:val="en-US" w:eastAsia="zh-CN" w:bidi="ar-SA"/>
              </w:rPr>
              <w:t>根据《广东省工业源挥发性有机物减排量核算方法》（2023修订版）的要求，建议直接将“活性炭年更换量×活性炭吸附比例”（活性炭年更换量优先以危废转移量为依据，吸附比例建议取值15%）作为废气处理设施VOCs削减量。本项目活性炭对有机废气的吸附比率取值15%，项目吸附的有机废气量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t/a，则理论更换废活性炭（含吸附的有机废气）量为</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13.733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t/a。</w:t>
            </w:r>
          </w:p>
          <w:p w14:paraId="14DDF741">
            <w:pPr>
              <w:pStyle w:val="61"/>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项目活性炭吸附装置内活性炭托板尺寸：</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2.5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m×1m，每层面积尺寸：</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，活性炭填充高度为0.3m，填充密度0.45g/cm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，单套装置内设</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层活性炭，则单套活性炭吸附装置的装填量为</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本项目共设有1套有机废气治理设施，</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拟每</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个月</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更换</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次，每年更换活性炭质量（含被吸附的有机废气量）为约</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2.06</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18.26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w:t>
            </w:r>
            <w:r>
              <w:rPr>
                <w:rFonts w:hint="default" w:ascii="Times New Roman" w:hAnsi="Times New Roman" w:eastAsia="宋体" w:cs="Times New Roman"/>
                <w:color w:val="auto"/>
                <w:kern w:val="2"/>
                <w:sz w:val="24"/>
                <w:szCs w:val="24"/>
                <w:highlight w:val="none"/>
                <w:lang w:val="en-US" w:eastAsia="zh-CN" w:bidi="ar-SA"/>
              </w:rPr>
              <w:t>项目实际用炭量大于理论需求量，故该措施可行。</w:t>
            </w:r>
            <w:r>
              <w:rPr>
                <w:rFonts w:hint="default" w:ascii="Times New Roman" w:hAnsi="Times New Roman" w:eastAsia="宋体" w:cs="Times New Roman"/>
                <w:color w:val="auto"/>
                <w:highlight w:val="none"/>
              </w:rPr>
              <w:t>根据《国家危险废物名录》（202</w:t>
            </w:r>
            <w:r>
              <w:rPr>
                <w:rFonts w:hint="default" w:ascii="Times New Roman" w:hAnsi="Times New Roman" w:cs="Times New Roman"/>
                <w:color w:val="auto"/>
                <w:highlight w:val="none"/>
                <w:lang w:val="en-US" w:eastAsia="zh-CN"/>
              </w:rPr>
              <w:t>5</w:t>
            </w:r>
            <w:r>
              <w:rPr>
                <w:rFonts w:hint="default" w:ascii="Times New Roman" w:hAnsi="Times New Roman" w:eastAsia="宋体" w:cs="Times New Roman"/>
                <w:color w:val="auto"/>
                <w:highlight w:val="none"/>
              </w:rPr>
              <w:t>年版），</w:t>
            </w:r>
            <w:r>
              <w:rPr>
                <w:rFonts w:hint="default" w:ascii="Times New Roman" w:hAnsi="Times New Roman" w:eastAsia="宋体" w:cs="Times New Roman"/>
                <w:color w:val="auto"/>
                <w:szCs w:val="24"/>
                <w:highlight w:val="none"/>
              </w:rPr>
              <w:t>废</w:t>
            </w:r>
            <w:r>
              <w:rPr>
                <w:rFonts w:hint="default" w:ascii="Times New Roman" w:hAnsi="Times New Roman" w:eastAsia="宋体" w:cs="Times New Roman"/>
                <w:color w:val="auto"/>
                <w:szCs w:val="24"/>
                <w:highlight w:val="none"/>
                <w:lang w:val="en-US" w:eastAsia="zh-CN"/>
              </w:rPr>
              <w:t>活性炭</w:t>
            </w:r>
            <w:r>
              <w:rPr>
                <w:rFonts w:hint="default" w:ascii="Times New Roman" w:hAnsi="Times New Roman" w:eastAsia="宋体" w:cs="Times New Roman"/>
                <w:color w:val="auto"/>
                <w:highlight w:val="none"/>
                <w:lang w:val="en-US" w:eastAsia="zh-CN"/>
              </w:rPr>
              <w:t>按“</w:t>
            </w:r>
            <w:r>
              <w:rPr>
                <w:rFonts w:hint="default" w:ascii="Times New Roman" w:hAnsi="Times New Roman" w:eastAsia="宋体" w:cs="Times New Roman"/>
                <w:color w:val="auto"/>
                <w:highlight w:val="none"/>
              </w:rPr>
              <w:t>HW</w:t>
            </w:r>
            <w:r>
              <w:rPr>
                <w:rFonts w:hint="default" w:ascii="Times New Roman" w:hAnsi="Times New Roman" w:eastAsia="宋体" w:cs="Times New Roman"/>
                <w:color w:val="auto"/>
                <w:highlight w:val="none"/>
                <w:lang w:val="en-US" w:eastAsia="zh-CN"/>
              </w:rPr>
              <w:t>49其他废物”分类</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其</w:t>
            </w:r>
            <w:r>
              <w:rPr>
                <w:rFonts w:hint="default" w:ascii="Times New Roman" w:hAnsi="Times New Roman" w:eastAsia="宋体" w:cs="Times New Roman"/>
                <w:color w:val="auto"/>
                <w:highlight w:val="none"/>
              </w:rPr>
              <w:t>代码</w:t>
            </w:r>
            <w:r>
              <w:rPr>
                <w:rFonts w:hint="default" w:ascii="Times New Roman" w:hAnsi="Times New Roman" w:eastAsia="宋体" w:cs="Times New Roman"/>
                <w:color w:val="auto"/>
                <w:highlight w:val="none"/>
                <w:lang w:val="en-US" w:eastAsia="zh-CN"/>
              </w:rPr>
              <w:t>为900-039-49，属于</w:t>
            </w:r>
            <w:r>
              <w:rPr>
                <w:rFonts w:hint="default" w:ascii="Times New Roman" w:hAnsi="Times New Roman" w:eastAsia="宋体" w:cs="Times New Roman"/>
                <w:color w:val="auto"/>
                <w:highlight w:val="none"/>
                <w:lang w:eastAsia="zh-CN"/>
              </w:rPr>
              <w:t>“烟气、</w:t>
            </w:r>
            <w:r>
              <w:rPr>
                <w:rFonts w:hint="default" w:ascii="Times New Roman" w:hAnsi="Times New Roman" w:eastAsia="宋体" w:cs="Times New Roman"/>
                <w:color w:val="auto"/>
                <w:highlight w:val="none"/>
                <w:lang w:val="en-US" w:eastAsia="zh-CN"/>
              </w:rPr>
              <w:t>VOCs</w:t>
            </w:r>
            <w:r>
              <w:rPr>
                <w:rFonts w:hint="default" w:ascii="Times New Roman" w:hAnsi="Times New Roman" w:eastAsia="宋体" w:cs="Times New Roman"/>
                <w:color w:val="auto"/>
                <w:highlight w:val="none"/>
                <w:lang w:eastAsia="zh-CN"/>
              </w:rPr>
              <w:t>治理过程（不包括餐饮行业油烟治理过程）产生的废活性炭，化学原料和化学制品脱色（不包括有机合成食品添加剂脱色）、除杂、净化过程产生的废活性炭（不包括</w:t>
            </w:r>
            <w:r>
              <w:rPr>
                <w:rFonts w:hint="default" w:ascii="Times New Roman" w:hAnsi="Times New Roman" w:eastAsia="宋体" w:cs="Times New Roman"/>
                <w:color w:val="auto"/>
                <w:highlight w:val="none"/>
                <w:lang w:val="en-US" w:eastAsia="zh-CN"/>
              </w:rPr>
              <w:t>900-405-06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772-005-18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261-053-29</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265-002-29</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384-003-29</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387-001-29</w:t>
            </w:r>
            <w:r>
              <w:rPr>
                <w:rFonts w:hint="default" w:ascii="Times New Roman" w:hAnsi="Times New Roman" w:eastAsia="宋体" w:cs="Times New Roman"/>
                <w:color w:val="auto"/>
                <w:highlight w:val="none"/>
                <w:lang w:eastAsia="zh-CN"/>
              </w:rPr>
              <w:t>类废物）</w:t>
            </w:r>
            <w:r>
              <w:rPr>
                <w:rFonts w:hint="default" w:ascii="Times New Roman" w:hAnsi="Times New Roman" w:eastAsia="宋体" w:cs="Times New Roman"/>
                <w:color w:val="auto"/>
                <w:highlight w:val="none"/>
              </w:rPr>
              <w:t>”，经统一收集后交由有危险废物处理资质的单位处理。</w:t>
            </w:r>
          </w:p>
          <w:p w14:paraId="1B9F9367">
            <w:pPr>
              <w:pStyle w:val="63"/>
              <w:rPr>
                <w:rFonts w:hint="default"/>
                <w:lang w:val="en-US" w:eastAsia="zh-CN"/>
              </w:rPr>
            </w:pPr>
          </w:p>
          <w:p w14:paraId="606BAF8D">
            <w:pPr>
              <w:spacing w:before="277" w:line="221" w:lineRule="auto"/>
              <w:jc w:val="center"/>
              <w:rPr>
                <w:rFonts w:ascii="Times New Roman" w:hAnsi="Times New Roman" w:eastAsia="宋体" w:cs="Times New Roman"/>
                <w:b/>
                <w:bCs/>
                <w:spacing w:val="6"/>
                <w:szCs w:val="21"/>
              </w:rPr>
            </w:pPr>
            <w:r>
              <w:rPr>
                <w:rFonts w:ascii="Times New Roman" w:hAnsi="Times New Roman" w:eastAsia="宋体" w:cs="Times New Roman"/>
                <w:b/>
                <w:bCs/>
                <w:spacing w:val="6"/>
                <w:szCs w:val="21"/>
              </w:rPr>
              <w:t>表4-2</w:t>
            </w:r>
            <w:r>
              <w:rPr>
                <w:rFonts w:hint="eastAsia" w:ascii="Times New Roman" w:hAnsi="Times New Roman" w:eastAsia="宋体" w:cs="Times New Roman"/>
                <w:b/>
                <w:bCs/>
                <w:spacing w:val="6"/>
                <w:szCs w:val="21"/>
                <w:lang w:val="en-US" w:eastAsia="zh-CN"/>
              </w:rPr>
              <w:t>8</w:t>
            </w:r>
            <w:r>
              <w:rPr>
                <w:rFonts w:ascii="Times New Roman" w:hAnsi="Times New Roman" w:eastAsia="宋体" w:cs="Times New Roman"/>
                <w:b/>
                <w:bCs/>
                <w:spacing w:val="6"/>
                <w:szCs w:val="21"/>
              </w:rPr>
              <w:t xml:space="preserve"> 固体废物排放情况一览表</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00"/>
              <w:gridCol w:w="678"/>
              <w:gridCol w:w="1281"/>
              <w:gridCol w:w="355"/>
              <w:gridCol w:w="666"/>
              <w:gridCol w:w="600"/>
              <w:gridCol w:w="493"/>
              <w:gridCol w:w="507"/>
              <w:gridCol w:w="650"/>
              <w:gridCol w:w="493"/>
              <w:gridCol w:w="783"/>
              <w:gridCol w:w="632"/>
              <w:gridCol w:w="539"/>
            </w:tblGrid>
            <w:tr w14:paraId="2AF7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470D97FE">
                  <w:pPr>
                    <w:pStyle w:val="66"/>
                    <w:rPr>
                      <w:lang w:bidi="en-US"/>
                    </w:rPr>
                  </w:pPr>
                  <w:r>
                    <w:rPr>
                      <w:lang w:bidi="en-US"/>
                    </w:rPr>
                    <w:t>序号</w:t>
                  </w:r>
                </w:p>
              </w:tc>
              <w:tc>
                <w:tcPr>
                  <w:tcW w:w="696" w:type="dxa"/>
                  <w:vAlign w:val="center"/>
                </w:tcPr>
                <w:p w14:paraId="6F8CCE67">
                  <w:pPr>
                    <w:pStyle w:val="66"/>
                    <w:rPr>
                      <w:lang w:bidi="en-US"/>
                    </w:rPr>
                  </w:pPr>
                  <w:r>
                    <w:rPr>
                      <w:lang w:bidi="en-US"/>
                    </w:rPr>
                    <w:t>产生环节</w:t>
                  </w:r>
                </w:p>
              </w:tc>
              <w:tc>
                <w:tcPr>
                  <w:tcW w:w="1316" w:type="dxa"/>
                  <w:vAlign w:val="center"/>
                </w:tcPr>
                <w:p w14:paraId="07D72B2D">
                  <w:pPr>
                    <w:pStyle w:val="66"/>
                    <w:rPr>
                      <w:lang w:bidi="en-US"/>
                    </w:rPr>
                  </w:pPr>
                  <w:r>
                    <w:rPr>
                      <w:lang w:bidi="en-US"/>
                    </w:rPr>
                    <w:t>名称</w:t>
                  </w:r>
                </w:p>
              </w:tc>
              <w:tc>
                <w:tcPr>
                  <w:tcW w:w="1049" w:type="dxa"/>
                  <w:gridSpan w:val="2"/>
                  <w:vAlign w:val="center"/>
                </w:tcPr>
                <w:p w14:paraId="64A0043C">
                  <w:pPr>
                    <w:pStyle w:val="66"/>
                    <w:rPr>
                      <w:lang w:bidi="en-US"/>
                    </w:rPr>
                  </w:pPr>
                  <w:r>
                    <w:rPr>
                      <w:lang w:bidi="en-US"/>
                    </w:rPr>
                    <w:t>属性</w:t>
                  </w:r>
                </w:p>
              </w:tc>
              <w:tc>
                <w:tcPr>
                  <w:tcW w:w="616" w:type="dxa"/>
                  <w:vAlign w:val="center"/>
                </w:tcPr>
                <w:p w14:paraId="69CF560C">
                  <w:pPr>
                    <w:pStyle w:val="66"/>
                    <w:rPr>
                      <w:lang w:bidi="en-US"/>
                    </w:rPr>
                  </w:pPr>
                  <w:r>
                    <w:rPr>
                      <w:lang w:bidi="en-US"/>
                    </w:rPr>
                    <w:t>主要有毒有害物质名称</w:t>
                  </w:r>
                </w:p>
              </w:tc>
              <w:tc>
                <w:tcPr>
                  <w:tcW w:w="506" w:type="dxa"/>
                  <w:vAlign w:val="center"/>
                </w:tcPr>
                <w:p w14:paraId="52250BE9">
                  <w:pPr>
                    <w:pStyle w:val="66"/>
                    <w:rPr>
                      <w:lang w:bidi="en-US"/>
                    </w:rPr>
                  </w:pPr>
                  <w:r>
                    <w:rPr>
                      <w:lang w:bidi="en-US"/>
                    </w:rPr>
                    <w:t>物理性状</w:t>
                  </w:r>
                </w:p>
              </w:tc>
              <w:tc>
                <w:tcPr>
                  <w:tcW w:w="521" w:type="dxa"/>
                  <w:vAlign w:val="center"/>
                </w:tcPr>
                <w:p w14:paraId="7246C5A7">
                  <w:pPr>
                    <w:pStyle w:val="66"/>
                    <w:rPr>
                      <w:lang w:bidi="en-US"/>
                    </w:rPr>
                  </w:pPr>
                  <w:r>
                    <w:rPr>
                      <w:lang w:bidi="en-US"/>
                    </w:rPr>
                    <w:t>环境危险特性</w:t>
                  </w:r>
                </w:p>
              </w:tc>
              <w:tc>
                <w:tcPr>
                  <w:tcW w:w="668" w:type="dxa"/>
                  <w:vAlign w:val="center"/>
                </w:tcPr>
                <w:p w14:paraId="201999F8">
                  <w:pPr>
                    <w:pStyle w:val="66"/>
                    <w:rPr>
                      <w:lang w:bidi="en-US"/>
                    </w:rPr>
                  </w:pPr>
                  <w:r>
                    <w:rPr>
                      <w:lang w:bidi="en-US"/>
                    </w:rPr>
                    <w:t>产生量t/a</w:t>
                  </w:r>
                </w:p>
              </w:tc>
              <w:tc>
                <w:tcPr>
                  <w:tcW w:w="506" w:type="dxa"/>
                  <w:vAlign w:val="center"/>
                </w:tcPr>
                <w:p w14:paraId="11349424">
                  <w:pPr>
                    <w:pStyle w:val="66"/>
                    <w:rPr>
                      <w:lang w:bidi="en-US"/>
                    </w:rPr>
                  </w:pPr>
                  <w:r>
                    <w:rPr>
                      <w:lang w:bidi="en-US"/>
                    </w:rPr>
                    <w:t>贮存方式</w:t>
                  </w:r>
                </w:p>
              </w:tc>
              <w:tc>
                <w:tcPr>
                  <w:tcW w:w="804" w:type="dxa"/>
                  <w:vAlign w:val="center"/>
                </w:tcPr>
                <w:p w14:paraId="2923E2C6">
                  <w:pPr>
                    <w:pStyle w:val="66"/>
                    <w:rPr>
                      <w:lang w:bidi="en-US"/>
                    </w:rPr>
                  </w:pPr>
                  <w:r>
                    <w:rPr>
                      <w:lang w:bidi="en-US"/>
                    </w:rPr>
                    <w:t>利用处置方式和去向</w:t>
                  </w:r>
                </w:p>
              </w:tc>
              <w:tc>
                <w:tcPr>
                  <w:tcW w:w="649" w:type="dxa"/>
                  <w:vAlign w:val="center"/>
                </w:tcPr>
                <w:p w14:paraId="60BF9A86">
                  <w:pPr>
                    <w:pStyle w:val="66"/>
                    <w:rPr>
                      <w:lang w:bidi="en-US"/>
                    </w:rPr>
                  </w:pPr>
                  <w:r>
                    <w:rPr>
                      <w:lang w:bidi="en-US"/>
                    </w:rPr>
                    <w:t>利用或处置量t/a</w:t>
                  </w:r>
                </w:p>
              </w:tc>
              <w:tc>
                <w:tcPr>
                  <w:tcW w:w="554" w:type="dxa"/>
                  <w:vAlign w:val="center"/>
                </w:tcPr>
                <w:p w14:paraId="3197E34B">
                  <w:pPr>
                    <w:pStyle w:val="66"/>
                    <w:rPr>
                      <w:lang w:bidi="en-US"/>
                    </w:rPr>
                  </w:pPr>
                  <w:r>
                    <w:rPr>
                      <w:lang w:bidi="en-US"/>
                    </w:rPr>
                    <w:t>环境管理要求</w:t>
                  </w:r>
                </w:p>
              </w:tc>
            </w:tr>
            <w:tr w14:paraId="3D1A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733E5440">
                  <w:pPr>
                    <w:pStyle w:val="66"/>
                    <w:rPr>
                      <w:lang w:bidi="en-US"/>
                    </w:rPr>
                  </w:pPr>
                  <w:r>
                    <w:rPr>
                      <w:rFonts w:hint="eastAsia"/>
                      <w:lang w:bidi="en-US"/>
                    </w:rPr>
                    <w:t>1</w:t>
                  </w:r>
                </w:p>
              </w:tc>
              <w:tc>
                <w:tcPr>
                  <w:tcW w:w="696" w:type="dxa"/>
                  <w:vAlign w:val="center"/>
                </w:tcPr>
                <w:p w14:paraId="39331DB3">
                  <w:pPr>
                    <w:pStyle w:val="66"/>
                    <w:rPr>
                      <w:lang w:bidi="en-US"/>
                    </w:rPr>
                  </w:pPr>
                  <w:r>
                    <w:rPr>
                      <w:rFonts w:hint="eastAsia"/>
                      <w:lang w:bidi="en-US"/>
                    </w:rPr>
                    <w:t>生活</w:t>
                  </w:r>
                </w:p>
              </w:tc>
              <w:tc>
                <w:tcPr>
                  <w:tcW w:w="1316" w:type="dxa"/>
                  <w:vAlign w:val="center"/>
                </w:tcPr>
                <w:p w14:paraId="79073F01">
                  <w:pPr>
                    <w:pStyle w:val="66"/>
                  </w:pPr>
                  <w:r>
                    <w:rPr>
                      <w:rFonts w:hint="eastAsia"/>
                    </w:rPr>
                    <w:t>生活垃圾</w:t>
                  </w:r>
                </w:p>
              </w:tc>
              <w:tc>
                <w:tcPr>
                  <w:tcW w:w="365" w:type="dxa"/>
                  <w:vAlign w:val="center"/>
                </w:tcPr>
                <w:p w14:paraId="2609078B">
                  <w:pPr>
                    <w:pStyle w:val="66"/>
                    <w:rPr>
                      <w:lang w:bidi="en-US"/>
                    </w:rPr>
                  </w:pPr>
                  <w:r>
                    <w:rPr>
                      <w:lang w:bidi="en-US"/>
                    </w:rPr>
                    <w:t>生活垃圾</w:t>
                  </w:r>
                </w:p>
              </w:tc>
              <w:tc>
                <w:tcPr>
                  <w:tcW w:w="684" w:type="dxa"/>
                  <w:vAlign w:val="center"/>
                </w:tcPr>
                <w:p w14:paraId="437334D7">
                  <w:pPr>
                    <w:pStyle w:val="66"/>
                  </w:pPr>
                  <w:r>
                    <w:rPr>
                      <w:rFonts w:hint="eastAsia"/>
                    </w:rPr>
                    <w:t>9</w:t>
                  </w:r>
                  <w:r>
                    <w:t>00-099-S64</w:t>
                  </w:r>
                </w:p>
              </w:tc>
              <w:tc>
                <w:tcPr>
                  <w:tcW w:w="616" w:type="dxa"/>
                  <w:vAlign w:val="center"/>
                </w:tcPr>
                <w:p w14:paraId="35BEF1AD">
                  <w:pPr>
                    <w:pStyle w:val="66"/>
                  </w:pPr>
                  <w:r>
                    <w:rPr>
                      <w:rFonts w:hint="eastAsia"/>
                    </w:rPr>
                    <w:t>/</w:t>
                  </w:r>
                </w:p>
              </w:tc>
              <w:tc>
                <w:tcPr>
                  <w:tcW w:w="506" w:type="dxa"/>
                  <w:vAlign w:val="center"/>
                </w:tcPr>
                <w:p w14:paraId="794A3DF4">
                  <w:pPr>
                    <w:pStyle w:val="66"/>
                    <w:rPr>
                      <w:lang w:bidi="en-US"/>
                    </w:rPr>
                  </w:pPr>
                  <w:r>
                    <w:rPr>
                      <w:lang w:bidi="en-US"/>
                    </w:rPr>
                    <w:t>固</w:t>
                  </w:r>
                </w:p>
              </w:tc>
              <w:tc>
                <w:tcPr>
                  <w:tcW w:w="521" w:type="dxa"/>
                  <w:vAlign w:val="center"/>
                </w:tcPr>
                <w:p w14:paraId="3037BE1D">
                  <w:pPr>
                    <w:pStyle w:val="66"/>
                  </w:pPr>
                  <w:r>
                    <w:rPr>
                      <w:rFonts w:hint="eastAsia"/>
                    </w:rPr>
                    <w:t>/</w:t>
                  </w:r>
                </w:p>
              </w:tc>
              <w:tc>
                <w:tcPr>
                  <w:tcW w:w="668" w:type="dxa"/>
                  <w:vAlign w:val="center"/>
                </w:tcPr>
                <w:p w14:paraId="65853DC4">
                  <w:pPr>
                    <w:pStyle w:val="66"/>
                  </w:pPr>
                  <w:r>
                    <w:rPr>
                      <w:rFonts w:hint="eastAsia"/>
                    </w:rPr>
                    <w:t>1</w:t>
                  </w:r>
                  <w:r>
                    <w:t>0</w:t>
                  </w:r>
                </w:p>
              </w:tc>
              <w:tc>
                <w:tcPr>
                  <w:tcW w:w="506" w:type="dxa"/>
                  <w:vAlign w:val="center"/>
                </w:tcPr>
                <w:p w14:paraId="439F833C">
                  <w:pPr>
                    <w:pStyle w:val="66"/>
                    <w:rPr>
                      <w:lang w:bidi="en-US"/>
                    </w:rPr>
                  </w:pPr>
                  <w:r>
                    <w:rPr>
                      <w:lang w:bidi="en-US"/>
                    </w:rPr>
                    <w:t>袋装</w:t>
                  </w:r>
                </w:p>
              </w:tc>
              <w:tc>
                <w:tcPr>
                  <w:tcW w:w="804" w:type="dxa"/>
                  <w:vAlign w:val="center"/>
                </w:tcPr>
                <w:p w14:paraId="597A7860">
                  <w:pPr>
                    <w:pStyle w:val="66"/>
                    <w:rPr>
                      <w:lang w:bidi="en-US"/>
                    </w:rPr>
                  </w:pPr>
                  <w:r>
                    <w:rPr>
                      <w:rFonts w:hint="eastAsia"/>
                      <w:lang w:bidi="en-US"/>
                    </w:rPr>
                    <w:t>交由环卫部门清运</w:t>
                  </w:r>
                </w:p>
              </w:tc>
              <w:tc>
                <w:tcPr>
                  <w:tcW w:w="649" w:type="dxa"/>
                  <w:vAlign w:val="center"/>
                </w:tcPr>
                <w:p w14:paraId="4A68E413">
                  <w:pPr>
                    <w:pStyle w:val="66"/>
                  </w:pPr>
                  <w:r>
                    <w:rPr>
                      <w:rFonts w:hint="eastAsia"/>
                    </w:rPr>
                    <w:t>1</w:t>
                  </w:r>
                  <w:r>
                    <w:t>0</w:t>
                  </w:r>
                </w:p>
              </w:tc>
              <w:tc>
                <w:tcPr>
                  <w:tcW w:w="554" w:type="dxa"/>
                  <w:vAlign w:val="center"/>
                </w:tcPr>
                <w:p w14:paraId="350287A4">
                  <w:pPr>
                    <w:pStyle w:val="66"/>
                    <w:rPr>
                      <w:lang w:bidi="en-US"/>
                    </w:rPr>
                  </w:pPr>
                  <w:r>
                    <w:rPr>
                      <w:rFonts w:hint="eastAsia"/>
                      <w:lang w:bidi="en-US"/>
                    </w:rPr>
                    <w:t>生活垃圾</w:t>
                  </w:r>
                </w:p>
              </w:tc>
            </w:tr>
            <w:tr w14:paraId="38B2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3B5994BE">
                  <w:pPr>
                    <w:pStyle w:val="66"/>
                    <w:rPr>
                      <w:lang w:bidi="en-US"/>
                    </w:rPr>
                  </w:pPr>
                  <w:r>
                    <w:rPr>
                      <w:lang w:bidi="en-US"/>
                    </w:rPr>
                    <w:t>2</w:t>
                  </w:r>
                </w:p>
              </w:tc>
              <w:tc>
                <w:tcPr>
                  <w:tcW w:w="696" w:type="dxa"/>
                  <w:vAlign w:val="center"/>
                </w:tcPr>
                <w:p w14:paraId="76AC0FBE">
                  <w:pPr>
                    <w:pStyle w:val="66"/>
                    <w:rPr>
                      <w:lang w:bidi="en-US"/>
                    </w:rPr>
                  </w:pPr>
                  <w:r>
                    <w:t>废气处理</w:t>
                  </w:r>
                </w:p>
              </w:tc>
              <w:tc>
                <w:tcPr>
                  <w:tcW w:w="1316" w:type="dxa"/>
                  <w:vAlign w:val="center"/>
                </w:tcPr>
                <w:p w14:paraId="41E4DA3E">
                  <w:pPr>
                    <w:pStyle w:val="66"/>
                  </w:pPr>
                  <w:r>
                    <w:rPr>
                      <w:rFonts w:hint="eastAsia"/>
                    </w:rPr>
                    <w:t>抛丸清理机收集的粉尘</w:t>
                  </w:r>
                </w:p>
              </w:tc>
              <w:tc>
                <w:tcPr>
                  <w:tcW w:w="365" w:type="dxa"/>
                  <w:vMerge w:val="restart"/>
                  <w:vAlign w:val="center"/>
                </w:tcPr>
                <w:p w14:paraId="03955DDC">
                  <w:pPr>
                    <w:pStyle w:val="66"/>
                    <w:rPr>
                      <w:lang w:bidi="en-US"/>
                    </w:rPr>
                  </w:pPr>
                  <w:r>
                    <w:rPr>
                      <w:lang w:bidi="en-US"/>
                    </w:rPr>
                    <w:t>一般工业固废</w:t>
                  </w:r>
                </w:p>
              </w:tc>
              <w:tc>
                <w:tcPr>
                  <w:tcW w:w="684" w:type="dxa"/>
                  <w:vAlign w:val="center"/>
                </w:tcPr>
                <w:p w14:paraId="143E7287">
                  <w:pPr>
                    <w:pStyle w:val="66"/>
                  </w:pPr>
                  <w:r>
                    <w:t>900-099-S59</w:t>
                  </w:r>
                </w:p>
              </w:tc>
              <w:tc>
                <w:tcPr>
                  <w:tcW w:w="616" w:type="dxa"/>
                  <w:vAlign w:val="center"/>
                </w:tcPr>
                <w:p w14:paraId="3ABC61F6">
                  <w:pPr>
                    <w:pStyle w:val="66"/>
                  </w:pPr>
                  <w:r>
                    <w:rPr>
                      <w:rFonts w:hint="eastAsia"/>
                    </w:rPr>
                    <w:t>/</w:t>
                  </w:r>
                </w:p>
              </w:tc>
              <w:tc>
                <w:tcPr>
                  <w:tcW w:w="506" w:type="dxa"/>
                  <w:vAlign w:val="center"/>
                </w:tcPr>
                <w:p w14:paraId="6806E7B1">
                  <w:pPr>
                    <w:pStyle w:val="66"/>
                    <w:rPr>
                      <w:lang w:bidi="en-US"/>
                    </w:rPr>
                  </w:pPr>
                  <w:r>
                    <w:rPr>
                      <w:lang w:bidi="en-US"/>
                    </w:rPr>
                    <w:t>固</w:t>
                  </w:r>
                </w:p>
              </w:tc>
              <w:tc>
                <w:tcPr>
                  <w:tcW w:w="521" w:type="dxa"/>
                  <w:vAlign w:val="center"/>
                </w:tcPr>
                <w:p w14:paraId="6BF35C85">
                  <w:pPr>
                    <w:pStyle w:val="66"/>
                  </w:pPr>
                  <w:r>
                    <w:rPr>
                      <w:rFonts w:hint="eastAsia"/>
                    </w:rPr>
                    <w:t>/</w:t>
                  </w:r>
                </w:p>
              </w:tc>
              <w:tc>
                <w:tcPr>
                  <w:tcW w:w="668" w:type="dxa"/>
                  <w:vAlign w:val="center"/>
                </w:tcPr>
                <w:p w14:paraId="723157BE">
                  <w:pPr>
                    <w:pStyle w:val="66"/>
                  </w:pPr>
                  <w:r>
                    <w:t>2.0</w:t>
                  </w:r>
                </w:p>
              </w:tc>
              <w:tc>
                <w:tcPr>
                  <w:tcW w:w="506" w:type="dxa"/>
                  <w:vAlign w:val="center"/>
                </w:tcPr>
                <w:p w14:paraId="6A0016EC">
                  <w:pPr>
                    <w:pStyle w:val="66"/>
                    <w:rPr>
                      <w:lang w:bidi="en-US"/>
                    </w:rPr>
                  </w:pPr>
                  <w:r>
                    <w:rPr>
                      <w:lang w:bidi="en-US"/>
                    </w:rPr>
                    <w:t>袋装</w:t>
                  </w:r>
                </w:p>
              </w:tc>
              <w:tc>
                <w:tcPr>
                  <w:tcW w:w="804" w:type="dxa"/>
                  <w:vAlign w:val="center"/>
                </w:tcPr>
                <w:p w14:paraId="207C422A">
                  <w:pPr>
                    <w:pStyle w:val="66"/>
                    <w:rPr>
                      <w:lang w:bidi="en-US"/>
                    </w:rPr>
                  </w:pPr>
                  <w:r>
                    <w:rPr>
                      <w:lang w:bidi="en-US"/>
                    </w:rPr>
                    <w:t>交资质单位处理</w:t>
                  </w:r>
                </w:p>
              </w:tc>
              <w:tc>
                <w:tcPr>
                  <w:tcW w:w="649" w:type="dxa"/>
                  <w:vAlign w:val="center"/>
                </w:tcPr>
                <w:p w14:paraId="5A030459">
                  <w:pPr>
                    <w:pStyle w:val="66"/>
                  </w:pPr>
                  <w:r>
                    <w:t>2.0</w:t>
                  </w:r>
                </w:p>
              </w:tc>
              <w:tc>
                <w:tcPr>
                  <w:tcW w:w="554" w:type="dxa"/>
                  <w:vMerge w:val="restart"/>
                  <w:vAlign w:val="center"/>
                </w:tcPr>
                <w:p w14:paraId="40CAA1EC">
                  <w:pPr>
                    <w:pStyle w:val="66"/>
                    <w:rPr>
                      <w:lang w:bidi="en-US"/>
                    </w:rPr>
                  </w:pPr>
                  <w:r>
                    <w:rPr>
                      <w:rFonts w:hint="eastAsia"/>
                      <w:lang w:bidi="en-US"/>
                    </w:rPr>
                    <w:t>一般固体废物暂存间暂存</w:t>
                  </w:r>
                </w:p>
              </w:tc>
            </w:tr>
            <w:tr w14:paraId="5531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3CB786B4">
                  <w:pPr>
                    <w:pStyle w:val="66"/>
                    <w:rPr>
                      <w:lang w:bidi="en-US"/>
                    </w:rPr>
                  </w:pPr>
                  <w:r>
                    <w:rPr>
                      <w:rFonts w:hint="eastAsia"/>
                      <w:lang w:bidi="en-US"/>
                    </w:rPr>
                    <w:t>3</w:t>
                  </w:r>
                </w:p>
              </w:tc>
              <w:tc>
                <w:tcPr>
                  <w:tcW w:w="696" w:type="dxa"/>
                  <w:vAlign w:val="center"/>
                </w:tcPr>
                <w:p w14:paraId="67B76A60">
                  <w:pPr>
                    <w:pStyle w:val="66"/>
                  </w:pPr>
                  <w:r>
                    <w:t>产品生产</w:t>
                  </w:r>
                </w:p>
              </w:tc>
              <w:tc>
                <w:tcPr>
                  <w:tcW w:w="1316" w:type="dxa"/>
                  <w:vAlign w:val="center"/>
                </w:tcPr>
                <w:p w14:paraId="0278CD8E">
                  <w:pPr>
                    <w:pStyle w:val="66"/>
                  </w:pPr>
                  <w:r>
                    <w:rPr>
                      <w:rFonts w:hint="eastAsia"/>
                    </w:rPr>
                    <w:t>废钢丸</w:t>
                  </w:r>
                </w:p>
              </w:tc>
              <w:tc>
                <w:tcPr>
                  <w:tcW w:w="365" w:type="dxa"/>
                  <w:vMerge w:val="continue"/>
                  <w:vAlign w:val="center"/>
                </w:tcPr>
                <w:p w14:paraId="6F726A8B">
                  <w:pPr>
                    <w:pStyle w:val="66"/>
                    <w:rPr>
                      <w:lang w:bidi="en-US"/>
                    </w:rPr>
                  </w:pPr>
                </w:p>
              </w:tc>
              <w:tc>
                <w:tcPr>
                  <w:tcW w:w="684" w:type="dxa"/>
                  <w:vAlign w:val="center"/>
                </w:tcPr>
                <w:p w14:paraId="136E4BEA">
                  <w:pPr>
                    <w:pStyle w:val="66"/>
                  </w:pPr>
                  <w:r>
                    <w:t>900-099-S17</w:t>
                  </w:r>
                </w:p>
              </w:tc>
              <w:tc>
                <w:tcPr>
                  <w:tcW w:w="616" w:type="dxa"/>
                  <w:vAlign w:val="center"/>
                </w:tcPr>
                <w:p w14:paraId="09630C54">
                  <w:pPr>
                    <w:pStyle w:val="66"/>
                  </w:pPr>
                  <w:r>
                    <w:rPr>
                      <w:rFonts w:hint="eastAsia"/>
                    </w:rPr>
                    <w:t>/</w:t>
                  </w:r>
                </w:p>
              </w:tc>
              <w:tc>
                <w:tcPr>
                  <w:tcW w:w="506" w:type="dxa"/>
                  <w:vAlign w:val="center"/>
                </w:tcPr>
                <w:p w14:paraId="37DCAE76">
                  <w:pPr>
                    <w:pStyle w:val="66"/>
                    <w:rPr>
                      <w:lang w:bidi="en-US"/>
                    </w:rPr>
                  </w:pPr>
                  <w:r>
                    <w:rPr>
                      <w:lang w:bidi="en-US"/>
                    </w:rPr>
                    <w:t>固</w:t>
                  </w:r>
                </w:p>
              </w:tc>
              <w:tc>
                <w:tcPr>
                  <w:tcW w:w="521" w:type="dxa"/>
                  <w:vAlign w:val="center"/>
                </w:tcPr>
                <w:p w14:paraId="281DA455">
                  <w:pPr>
                    <w:pStyle w:val="66"/>
                  </w:pPr>
                  <w:r>
                    <w:rPr>
                      <w:rFonts w:hint="eastAsia"/>
                    </w:rPr>
                    <w:t>/</w:t>
                  </w:r>
                </w:p>
              </w:tc>
              <w:tc>
                <w:tcPr>
                  <w:tcW w:w="668" w:type="dxa"/>
                  <w:vAlign w:val="center"/>
                </w:tcPr>
                <w:p w14:paraId="143624F4">
                  <w:pPr>
                    <w:pStyle w:val="66"/>
                    <w:rPr>
                      <w:color w:val="000000" w:themeColor="text1"/>
                      <w14:textFill>
                        <w14:solidFill>
                          <w14:schemeClr w14:val="tx1"/>
                        </w14:solidFill>
                      </w14:textFill>
                    </w:rPr>
                  </w:pPr>
                  <w:r>
                    <w:rPr>
                      <w:color w:val="000000" w:themeColor="text1"/>
                      <w14:textFill>
                        <w14:solidFill>
                          <w14:schemeClr w14:val="tx1"/>
                        </w14:solidFill>
                      </w14:textFill>
                    </w:rPr>
                    <w:t>1.0</w:t>
                  </w:r>
                </w:p>
              </w:tc>
              <w:tc>
                <w:tcPr>
                  <w:tcW w:w="506" w:type="dxa"/>
                  <w:vAlign w:val="center"/>
                </w:tcPr>
                <w:p w14:paraId="7C345078">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袋装</w:t>
                  </w:r>
                </w:p>
              </w:tc>
              <w:tc>
                <w:tcPr>
                  <w:tcW w:w="804" w:type="dxa"/>
                  <w:vMerge w:val="restart"/>
                  <w:vAlign w:val="center"/>
                </w:tcPr>
                <w:p w14:paraId="7E0015C2">
                  <w:pPr>
                    <w:pStyle w:val="66"/>
                    <w:rPr>
                      <w:color w:val="000000" w:themeColor="text1"/>
                      <w:lang w:bidi="en-US"/>
                      <w14:textFill>
                        <w14:solidFill>
                          <w14:schemeClr w14:val="tx1"/>
                        </w14:solidFill>
                      </w14:textFill>
                    </w:rPr>
                  </w:pPr>
                  <w:r>
                    <w:rPr>
                      <w:lang w:bidi="en-US"/>
                    </w:rPr>
                    <w:t>交资源单位回收利用</w:t>
                  </w:r>
                </w:p>
              </w:tc>
              <w:tc>
                <w:tcPr>
                  <w:tcW w:w="649" w:type="dxa"/>
                  <w:vAlign w:val="center"/>
                </w:tcPr>
                <w:p w14:paraId="644FB194">
                  <w:pPr>
                    <w:pStyle w:val="66"/>
                    <w:rPr>
                      <w:color w:val="000000" w:themeColor="text1"/>
                      <w14:textFill>
                        <w14:solidFill>
                          <w14:schemeClr w14:val="tx1"/>
                        </w14:solidFill>
                      </w14:textFill>
                    </w:rPr>
                  </w:pPr>
                  <w:r>
                    <w:rPr>
                      <w:color w:val="000000" w:themeColor="text1"/>
                      <w14:textFill>
                        <w14:solidFill>
                          <w14:schemeClr w14:val="tx1"/>
                        </w14:solidFill>
                      </w14:textFill>
                    </w:rPr>
                    <w:t>1.0</w:t>
                  </w:r>
                </w:p>
              </w:tc>
              <w:tc>
                <w:tcPr>
                  <w:tcW w:w="554" w:type="dxa"/>
                  <w:vMerge w:val="continue"/>
                  <w:vAlign w:val="center"/>
                </w:tcPr>
                <w:p w14:paraId="605C6F94">
                  <w:pPr>
                    <w:pStyle w:val="66"/>
                    <w:rPr>
                      <w:lang w:bidi="en-US"/>
                    </w:rPr>
                  </w:pPr>
                </w:p>
              </w:tc>
            </w:tr>
            <w:tr w14:paraId="721B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62735236">
                  <w:pPr>
                    <w:pStyle w:val="66"/>
                    <w:rPr>
                      <w:lang w:bidi="en-US"/>
                    </w:rPr>
                  </w:pPr>
                  <w:r>
                    <w:rPr>
                      <w:rFonts w:hint="eastAsia"/>
                      <w:lang w:bidi="en-US"/>
                    </w:rPr>
                    <w:t>4</w:t>
                  </w:r>
                </w:p>
              </w:tc>
              <w:tc>
                <w:tcPr>
                  <w:tcW w:w="696" w:type="dxa"/>
                  <w:vAlign w:val="center"/>
                </w:tcPr>
                <w:p w14:paraId="7D25C39F">
                  <w:pPr>
                    <w:pStyle w:val="66"/>
                  </w:pPr>
                  <w:r>
                    <w:t>产品生产</w:t>
                  </w:r>
                </w:p>
              </w:tc>
              <w:tc>
                <w:tcPr>
                  <w:tcW w:w="1316" w:type="dxa"/>
                  <w:vAlign w:val="center"/>
                </w:tcPr>
                <w:p w14:paraId="2CCE9B15">
                  <w:pPr>
                    <w:pStyle w:val="66"/>
                  </w:pPr>
                  <w:r>
                    <w:rPr>
                      <w:rFonts w:hint="eastAsia"/>
                    </w:rPr>
                    <w:t>废树脂</w:t>
                  </w:r>
                </w:p>
              </w:tc>
              <w:tc>
                <w:tcPr>
                  <w:tcW w:w="365" w:type="dxa"/>
                  <w:vMerge w:val="continue"/>
                  <w:vAlign w:val="center"/>
                </w:tcPr>
                <w:p w14:paraId="0D2032E6">
                  <w:pPr>
                    <w:pStyle w:val="66"/>
                    <w:rPr>
                      <w:lang w:bidi="en-US"/>
                    </w:rPr>
                  </w:pPr>
                </w:p>
              </w:tc>
              <w:tc>
                <w:tcPr>
                  <w:tcW w:w="684" w:type="dxa"/>
                  <w:vAlign w:val="center"/>
                </w:tcPr>
                <w:p w14:paraId="274D52DC">
                  <w:pPr>
                    <w:pStyle w:val="66"/>
                  </w:pPr>
                  <w:r>
                    <w:t>900-006-S17</w:t>
                  </w:r>
                </w:p>
              </w:tc>
              <w:tc>
                <w:tcPr>
                  <w:tcW w:w="616" w:type="dxa"/>
                  <w:vAlign w:val="center"/>
                </w:tcPr>
                <w:p w14:paraId="5C708954">
                  <w:pPr>
                    <w:pStyle w:val="66"/>
                  </w:pPr>
                  <w:r>
                    <w:rPr>
                      <w:rFonts w:hint="eastAsia"/>
                    </w:rPr>
                    <w:t>/</w:t>
                  </w:r>
                </w:p>
              </w:tc>
              <w:tc>
                <w:tcPr>
                  <w:tcW w:w="506" w:type="dxa"/>
                  <w:vAlign w:val="center"/>
                </w:tcPr>
                <w:p w14:paraId="64513953">
                  <w:pPr>
                    <w:pStyle w:val="66"/>
                    <w:rPr>
                      <w:lang w:bidi="en-US"/>
                    </w:rPr>
                  </w:pPr>
                  <w:r>
                    <w:rPr>
                      <w:lang w:bidi="en-US"/>
                    </w:rPr>
                    <w:t>固</w:t>
                  </w:r>
                </w:p>
              </w:tc>
              <w:tc>
                <w:tcPr>
                  <w:tcW w:w="521" w:type="dxa"/>
                  <w:vAlign w:val="center"/>
                </w:tcPr>
                <w:p w14:paraId="1B110EE1">
                  <w:pPr>
                    <w:pStyle w:val="66"/>
                  </w:pPr>
                  <w:r>
                    <w:rPr>
                      <w:rFonts w:hint="eastAsia"/>
                    </w:rPr>
                    <w:t>/</w:t>
                  </w:r>
                </w:p>
              </w:tc>
              <w:tc>
                <w:tcPr>
                  <w:tcW w:w="668" w:type="dxa"/>
                  <w:vAlign w:val="center"/>
                </w:tcPr>
                <w:p w14:paraId="78748C86">
                  <w:pPr>
                    <w:pStyle w:val="66"/>
                    <w:rPr>
                      <w:color w:val="000000" w:themeColor="text1"/>
                      <w14:textFill>
                        <w14:solidFill>
                          <w14:schemeClr w14:val="tx1"/>
                        </w14:solidFill>
                      </w14:textFill>
                    </w:rPr>
                  </w:pPr>
                  <w:r>
                    <w:rPr>
                      <w:color w:val="000000" w:themeColor="text1"/>
                      <w14:textFill>
                        <w14:solidFill>
                          <w14:schemeClr w14:val="tx1"/>
                        </w14:solidFill>
                      </w14:textFill>
                    </w:rPr>
                    <w:t>1.308</w:t>
                  </w:r>
                </w:p>
              </w:tc>
              <w:tc>
                <w:tcPr>
                  <w:tcW w:w="506" w:type="dxa"/>
                  <w:vAlign w:val="center"/>
                </w:tcPr>
                <w:p w14:paraId="2A3FF920">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袋装</w:t>
                  </w:r>
                </w:p>
              </w:tc>
              <w:tc>
                <w:tcPr>
                  <w:tcW w:w="804" w:type="dxa"/>
                  <w:vMerge w:val="continue"/>
                  <w:vAlign w:val="center"/>
                </w:tcPr>
                <w:p w14:paraId="7345119F">
                  <w:pPr>
                    <w:pStyle w:val="66"/>
                    <w:rPr>
                      <w:color w:val="000000" w:themeColor="text1"/>
                      <w:lang w:bidi="en-US"/>
                      <w14:textFill>
                        <w14:solidFill>
                          <w14:schemeClr w14:val="tx1"/>
                        </w14:solidFill>
                      </w14:textFill>
                    </w:rPr>
                  </w:pPr>
                </w:p>
              </w:tc>
              <w:tc>
                <w:tcPr>
                  <w:tcW w:w="649" w:type="dxa"/>
                  <w:vAlign w:val="center"/>
                </w:tcPr>
                <w:p w14:paraId="3BC1E82A">
                  <w:pPr>
                    <w:pStyle w:val="66"/>
                    <w:rPr>
                      <w:color w:val="000000" w:themeColor="text1"/>
                      <w14:textFill>
                        <w14:solidFill>
                          <w14:schemeClr w14:val="tx1"/>
                        </w14:solidFill>
                      </w14:textFill>
                    </w:rPr>
                  </w:pPr>
                  <w:r>
                    <w:rPr>
                      <w:color w:val="000000" w:themeColor="text1"/>
                      <w14:textFill>
                        <w14:solidFill>
                          <w14:schemeClr w14:val="tx1"/>
                        </w14:solidFill>
                      </w14:textFill>
                    </w:rPr>
                    <w:t>1.308</w:t>
                  </w:r>
                </w:p>
              </w:tc>
              <w:tc>
                <w:tcPr>
                  <w:tcW w:w="554" w:type="dxa"/>
                  <w:vMerge w:val="continue"/>
                  <w:vAlign w:val="center"/>
                </w:tcPr>
                <w:p w14:paraId="18F46036">
                  <w:pPr>
                    <w:pStyle w:val="66"/>
                    <w:rPr>
                      <w:lang w:bidi="en-US"/>
                    </w:rPr>
                  </w:pPr>
                </w:p>
              </w:tc>
            </w:tr>
            <w:tr w14:paraId="732B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2DA1854F">
                  <w:pPr>
                    <w:pStyle w:val="66"/>
                    <w:rPr>
                      <w:lang w:bidi="en-US"/>
                    </w:rPr>
                  </w:pPr>
                  <w:r>
                    <w:rPr>
                      <w:rFonts w:hint="eastAsia"/>
                      <w:lang w:bidi="en-US"/>
                    </w:rPr>
                    <w:t>5</w:t>
                  </w:r>
                </w:p>
              </w:tc>
              <w:tc>
                <w:tcPr>
                  <w:tcW w:w="696" w:type="dxa"/>
                  <w:vAlign w:val="center"/>
                </w:tcPr>
                <w:p w14:paraId="2884024A">
                  <w:pPr>
                    <w:pStyle w:val="66"/>
                  </w:pPr>
                  <w:r>
                    <w:t>废气处理</w:t>
                  </w:r>
                </w:p>
              </w:tc>
              <w:tc>
                <w:tcPr>
                  <w:tcW w:w="1316" w:type="dxa"/>
                  <w:vAlign w:val="center"/>
                </w:tcPr>
                <w:p w14:paraId="6B589B82">
                  <w:pPr>
                    <w:pStyle w:val="66"/>
                  </w:pPr>
                  <w:r>
                    <w:rPr>
                      <w:rFonts w:hint="eastAsia"/>
                    </w:rPr>
                    <w:t>废布袋</w:t>
                  </w:r>
                </w:p>
              </w:tc>
              <w:tc>
                <w:tcPr>
                  <w:tcW w:w="365" w:type="dxa"/>
                  <w:vMerge w:val="continue"/>
                  <w:vAlign w:val="center"/>
                </w:tcPr>
                <w:p w14:paraId="4152C722">
                  <w:pPr>
                    <w:pStyle w:val="66"/>
                    <w:rPr>
                      <w:lang w:bidi="en-US"/>
                    </w:rPr>
                  </w:pPr>
                </w:p>
              </w:tc>
              <w:tc>
                <w:tcPr>
                  <w:tcW w:w="684" w:type="dxa"/>
                  <w:vAlign w:val="center"/>
                </w:tcPr>
                <w:p w14:paraId="1FAE3566">
                  <w:pPr>
                    <w:pStyle w:val="66"/>
                  </w:pPr>
                  <w:r>
                    <w:t>900-009-S59</w:t>
                  </w:r>
                </w:p>
              </w:tc>
              <w:tc>
                <w:tcPr>
                  <w:tcW w:w="616" w:type="dxa"/>
                  <w:vAlign w:val="center"/>
                </w:tcPr>
                <w:p w14:paraId="79435FEB">
                  <w:pPr>
                    <w:pStyle w:val="66"/>
                  </w:pPr>
                  <w:r>
                    <w:rPr>
                      <w:rFonts w:hint="eastAsia"/>
                    </w:rPr>
                    <w:t>/</w:t>
                  </w:r>
                </w:p>
              </w:tc>
              <w:tc>
                <w:tcPr>
                  <w:tcW w:w="506" w:type="dxa"/>
                  <w:vAlign w:val="center"/>
                </w:tcPr>
                <w:p w14:paraId="28C3C0B8">
                  <w:pPr>
                    <w:pStyle w:val="66"/>
                    <w:rPr>
                      <w:lang w:bidi="en-US"/>
                    </w:rPr>
                  </w:pPr>
                  <w:r>
                    <w:rPr>
                      <w:lang w:bidi="en-US"/>
                    </w:rPr>
                    <w:t>固</w:t>
                  </w:r>
                </w:p>
              </w:tc>
              <w:tc>
                <w:tcPr>
                  <w:tcW w:w="521" w:type="dxa"/>
                  <w:vAlign w:val="center"/>
                </w:tcPr>
                <w:p w14:paraId="78C5208B">
                  <w:pPr>
                    <w:pStyle w:val="66"/>
                  </w:pPr>
                  <w:r>
                    <w:rPr>
                      <w:rFonts w:hint="eastAsia"/>
                    </w:rPr>
                    <w:t>/</w:t>
                  </w:r>
                </w:p>
              </w:tc>
              <w:tc>
                <w:tcPr>
                  <w:tcW w:w="668" w:type="dxa"/>
                  <w:vAlign w:val="center"/>
                </w:tcPr>
                <w:p w14:paraId="3D7E5C33">
                  <w:pPr>
                    <w:pStyle w:val="66"/>
                    <w:rPr>
                      <w:color w:val="000000" w:themeColor="text1"/>
                      <w14:textFill>
                        <w14:solidFill>
                          <w14:schemeClr w14:val="tx1"/>
                        </w14:solidFill>
                      </w14:textFill>
                    </w:rPr>
                  </w:pPr>
                  <w:r>
                    <w:rPr>
                      <w:color w:val="000000" w:themeColor="text1"/>
                      <w14:textFill>
                        <w14:solidFill>
                          <w14:schemeClr w14:val="tx1"/>
                        </w14:solidFill>
                      </w14:textFill>
                    </w:rPr>
                    <w:t>0.0</w:t>
                  </w:r>
                  <w:r>
                    <w:rPr>
                      <w:rFonts w:hint="eastAsia"/>
                      <w:color w:val="000000" w:themeColor="text1"/>
                      <w14:textFill>
                        <w14:solidFill>
                          <w14:schemeClr w14:val="tx1"/>
                        </w14:solidFill>
                      </w14:textFill>
                    </w:rPr>
                    <w:t>1</w:t>
                  </w:r>
                </w:p>
              </w:tc>
              <w:tc>
                <w:tcPr>
                  <w:tcW w:w="506" w:type="dxa"/>
                  <w:vAlign w:val="center"/>
                </w:tcPr>
                <w:p w14:paraId="33A3D2FD">
                  <w:pPr>
                    <w:pStyle w:val="66"/>
                    <w:rPr>
                      <w:color w:val="000000" w:themeColor="text1"/>
                      <w:lang w:bidi="en-US"/>
                      <w14:textFill>
                        <w14:solidFill>
                          <w14:schemeClr w14:val="tx1"/>
                        </w14:solidFill>
                      </w14:textFill>
                    </w:rPr>
                  </w:pPr>
                  <w:r>
                    <w:rPr>
                      <w:color w:val="000000" w:themeColor="text1"/>
                      <w:lang w:bidi="en-US"/>
                      <w14:textFill>
                        <w14:solidFill>
                          <w14:schemeClr w14:val="tx1"/>
                        </w14:solidFill>
                      </w14:textFill>
                    </w:rPr>
                    <w:t>袋装</w:t>
                  </w:r>
                </w:p>
              </w:tc>
              <w:tc>
                <w:tcPr>
                  <w:tcW w:w="804" w:type="dxa"/>
                  <w:vMerge w:val="continue"/>
                  <w:vAlign w:val="center"/>
                </w:tcPr>
                <w:p w14:paraId="2EE2122C">
                  <w:pPr>
                    <w:pStyle w:val="66"/>
                    <w:rPr>
                      <w:color w:val="000000" w:themeColor="text1"/>
                      <w:lang w:bidi="en-US"/>
                      <w14:textFill>
                        <w14:solidFill>
                          <w14:schemeClr w14:val="tx1"/>
                        </w14:solidFill>
                      </w14:textFill>
                    </w:rPr>
                  </w:pPr>
                </w:p>
              </w:tc>
              <w:tc>
                <w:tcPr>
                  <w:tcW w:w="649" w:type="dxa"/>
                  <w:vAlign w:val="center"/>
                </w:tcPr>
                <w:p w14:paraId="31DFE8CB">
                  <w:pPr>
                    <w:pStyle w:val="66"/>
                    <w:rPr>
                      <w:color w:val="000000" w:themeColor="text1"/>
                      <w14:textFill>
                        <w14:solidFill>
                          <w14:schemeClr w14:val="tx1"/>
                        </w14:solidFill>
                      </w14:textFill>
                    </w:rPr>
                  </w:pPr>
                  <w:r>
                    <w:rPr>
                      <w:color w:val="000000" w:themeColor="text1"/>
                      <w14:textFill>
                        <w14:solidFill>
                          <w14:schemeClr w14:val="tx1"/>
                        </w14:solidFill>
                      </w14:textFill>
                    </w:rPr>
                    <w:t>0.0</w:t>
                  </w:r>
                  <w:r>
                    <w:rPr>
                      <w:rFonts w:hint="eastAsia"/>
                      <w:color w:val="000000" w:themeColor="text1"/>
                      <w14:textFill>
                        <w14:solidFill>
                          <w14:schemeClr w14:val="tx1"/>
                        </w14:solidFill>
                      </w14:textFill>
                    </w:rPr>
                    <w:t>1</w:t>
                  </w:r>
                </w:p>
              </w:tc>
              <w:tc>
                <w:tcPr>
                  <w:tcW w:w="554" w:type="dxa"/>
                  <w:vMerge w:val="continue"/>
                  <w:vAlign w:val="center"/>
                </w:tcPr>
                <w:p w14:paraId="75F2802C">
                  <w:pPr>
                    <w:pStyle w:val="66"/>
                    <w:rPr>
                      <w:lang w:bidi="en-US"/>
                    </w:rPr>
                  </w:pPr>
                </w:p>
              </w:tc>
            </w:tr>
            <w:tr w14:paraId="14E9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28151118">
                  <w:pPr>
                    <w:pStyle w:val="66"/>
                    <w:rPr>
                      <w:lang w:bidi="en-US"/>
                    </w:rPr>
                  </w:pPr>
                  <w:r>
                    <w:rPr>
                      <w:rFonts w:hint="eastAsia"/>
                      <w:lang w:bidi="en-US"/>
                    </w:rPr>
                    <w:t>6</w:t>
                  </w:r>
                </w:p>
              </w:tc>
              <w:tc>
                <w:tcPr>
                  <w:tcW w:w="696" w:type="dxa"/>
                  <w:vAlign w:val="center"/>
                </w:tcPr>
                <w:p w14:paraId="4B3D90A6">
                  <w:pPr>
                    <w:pStyle w:val="66"/>
                  </w:pPr>
                  <w:r>
                    <w:t>产品生产</w:t>
                  </w:r>
                </w:p>
              </w:tc>
              <w:tc>
                <w:tcPr>
                  <w:tcW w:w="1316" w:type="dxa"/>
                  <w:vAlign w:val="center"/>
                </w:tcPr>
                <w:p w14:paraId="13E2FC5C">
                  <w:pPr>
                    <w:pStyle w:val="66"/>
                  </w:pPr>
                  <w:r>
                    <w:rPr>
                      <w:rFonts w:hint="eastAsia"/>
                    </w:rPr>
                    <w:t>一般废包装材料</w:t>
                  </w:r>
                </w:p>
              </w:tc>
              <w:tc>
                <w:tcPr>
                  <w:tcW w:w="365" w:type="dxa"/>
                  <w:vMerge w:val="continue"/>
                  <w:vAlign w:val="center"/>
                </w:tcPr>
                <w:p w14:paraId="05F816EA">
                  <w:pPr>
                    <w:pStyle w:val="66"/>
                    <w:rPr>
                      <w:lang w:bidi="en-US"/>
                    </w:rPr>
                  </w:pPr>
                </w:p>
              </w:tc>
              <w:tc>
                <w:tcPr>
                  <w:tcW w:w="684" w:type="dxa"/>
                  <w:vAlign w:val="center"/>
                </w:tcPr>
                <w:p w14:paraId="1993B90C">
                  <w:pPr>
                    <w:pStyle w:val="66"/>
                  </w:pPr>
                  <w:r>
                    <w:rPr>
                      <w:rFonts w:hint="eastAsia"/>
                    </w:rPr>
                    <w:t>9</w:t>
                  </w:r>
                  <w:r>
                    <w:t>00-099-S59</w:t>
                  </w:r>
                </w:p>
              </w:tc>
              <w:tc>
                <w:tcPr>
                  <w:tcW w:w="616" w:type="dxa"/>
                  <w:vAlign w:val="center"/>
                </w:tcPr>
                <w:p w14:paraId="532EB103">
                  <w:pPr>
                    <w:pStyle w:val="66"/>
                  </w:pPr>
                  <w:r>
                    <w:rPr>
                      <w:rFonts w:hint="eastAsia"/>
                    </w:rPr>
                    <w:t>/</w:t>
                  </w:r>
                </w:p>
              </w:tc>
              <w:tc>
                <w:tcPr>
                  <w:tcW w:w="506" w:type="dxa"/>
                  <w:vAlign w:val="center"/>
                </w:tcPr>
                <w:p w14:paraId="4149AE03">
                  <w:pPr>
                    <w:pStyle w:val="66"/>
                    <w:rPr>
                      <w:lang w:bidi="en-US"/>
                    </w:rPr>
                  </w:pPr>
                  <w:r>
                    <w:rPr>
                      <w:rFonts w:hint="eastAsia"/>
                      <w:lang w:bidi="en-US"/>
                    </w:rPr>
                    <w:t>固</w:t>
                  </w:r>
                </w:p>
              </w:tc>
              <w:tc>
                <w:tcPr>
                  <w:tcW w:w="521" w:type="dxa"/>
                  <w:vAlign w:val="center"/>
                </w:tcPr>
                <w:p w14:paraId="42A56E79">
                  <w:pPr>
                    <w:pStyle w:val="66"/>
                  </w:pPr>
                  <w:r>
                    <w:rPr>
                      <w:rFonts w:hint="eastAsia"/>
                    </w:rPr>
                    <w:t>/</w:t>
                  </w:r>
                </w:p>
              </w:tc>
              <w:tc>
                <w:tcPr>
                  <w:tcW w:w="668" w:type="dxa"/>
                  <w:vAlign w:val="center"/>
                </w:tcPr>
                <w:p w14:paraId="5F8BF97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7.377</w:t>
                  </w:r>
                </w:p>
              </w:tc>
              <w:tc>
                <w:tcPr>
                  <w:tcW w:w="506" w:type="dxa"/>
                  <w:vAlign w:val="center"/>
                </w:tcPr>
                <w:p w14:paraId="17ED2398">
                  <w:pPr>
                    <w:pStyle w:val="66"/>
                    <w:rPr>
                      <w:color w:val="000000" w:themeColor="text1"/>
                      <w:lang w:bidi="en-US"/>
                      <w14:textFill>
                        <w14:solidFill>
                          <w14:schemeClr w14:val="tx1"/>
                        </w14:solidFill>
                      </w14:textFill>
                    </w:rPr>
                  </w:pPr>
                  <w:r>
                    <w:rPr>
                      <w:rFonts w:hint="eastAsia"/>
                      <w:color w:val="000000" w:themeColor="text1"/>
                      <w:lang w:bidi="en-US"/>
                      <w14:textFill>
                        <w14:solidFill>
                          <w14:schemeClr w14:val="tx1"/>
                        </w14:solidFill>
                      </w14:textFill>
                    </w:rPr>
                    <w:t>堆放</w:t>
                  </w:r>
                </w:p>
              </w:tc>
              <w:tc>
                <w:tcPr>
                  <w:tcW w:w="804" w:type="dxa"/>
                  <w:vMerge w:val="continue"/>
                  <w:vAlign w:val="center"/>
                </w:tcPr>
                <w:p w14:paraId="7F7B32E4">
                  <w:pPr>
                    <w:pStyle w:val="66"/>
                    <w:rPr>
                      <w:color w:val="000000" w:themeColor="text1"/>
                      <w:lang w:bidi="en-US"/>
                      <w14:textFill>
                        <w14:solidFill>
                          <w14:schemeClr w14:val="tx1"/>
                        </w14:solidFill>
                      </w14:textFill>
                    </w:rPr>
                  </w:pPr>
                </w:p>
              </w:tc>
              <w:tc>
                <w:tcPr>
                  <w:tcW w:w="649" w:type="dxa"/>
                  <w:vAlign w:val="center"/>
                </w:tcPr>
                <w:p w14:paraId="345C494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color w:val="000000" w:themeColor="text1"/>
                      <w14:textFill>
                        <w14:solidFill>
                          <w14:schemeClr w14:val="tx1"/>
                        </w14:solidFill>
                      </w14:textFill>
                    </w:rPr>
                    <w:t>.377</w:t>
                  </w:r>
                </w:p>
              </w:tc>
              <w:tc>
                <w:tcPr>
                  <w:tcW w:w="554" w:type="dxa"/>
                  <w:vMerge w:val="continue"/>
                  <w:vAlign w:val="center"/>
                </w:tcPr>
                <w:p w14:paraId="53739A08">
                  <w:pPr>
                    <w:pStyle w:val="66"/>
                    <w:rPr>
                      <w:lang w:bidi="en-US"/>
                    </w:rPr>
                  </w:pPr>
                </w:p>
              </w:tc>
            </w:tr>
            <w:tr w14:paraId="0A2D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4A8F4D43">
                  <w:pPr>
                    <w:pStyle w:val="66"/>
                  </w:pPr>
                  <w:r>
                    <w:t>7</w:t>
                  </w:r>
                </w:p>
              </w:tc>
              <w:tc>
                <w:tcPr>
                  <w:tcW w:w="696" w:type="dxa"/>
                  <w:vAlign w:val="center"/>
                </w:tcPr>
                <w:p w14:paraId="7693CD97">
                  <w:pPr>
                    <w:pStyle w:val="66"/>
                  </w:pPr>
                  <w:r>
                    <w:rPr>
                      <w:rFonts w:hint="eastAsia"/>
                    </w:rPr>
                    <w:t>设备维护保养</w:t>
                  </w:r>
                </w:p>
              </w:tc>
              <w:tc>
                <w:tcPr>
                  <w:tcW w:w="1316" w:type="dxa"/>
                  <w:vAlign w:val="center"/>
                </w:tcPr>
                <w:p w14:paraId="1F431A49">
                  <w:pPr>
                    <w:pStyle w:val="66"/>
                  </w:pPr>
                  <w:r>
                    <w:rPr>
                      <w:rFonts w:hint="eastAsia"/>
                    </w:rPr>
                    <w:t>废机油</w:t>
                  </w:r>
                </w:p>
              </w:tc>
              <w:tc>
                <w:tcPr>
                  <w:tcW w:w="365" w:type="dxa"/>
                  <w:vMerge w:val="restart"/>
                  <w:vAlign w:val="center"/>
                </w:tcPr>
                <w:p w14:paraId="6C5422E1">
                  <w:pPr>
                    <w:pStyle w:val="66"/>
                  </w:pPr>
                  <w:r>
                    <w:rPr>
                      <w:rFonts w:hint="eastAsia"/>
                    </w:rPr>
                    <w:t>危险废物</w:t>
                  </w:r>
                </w:p>
              </w:tc>
              <w:tc>
                <w:tcPr>
                  <w:tcW w:w="684" w:type="dxa"/>
                  <w:vAlign w:val="center"/>
                </w:tcPr>
                <w:p w14:paraId="72CB1310">
                  <w:pPr>
                    <w:pStyle w:val="66"/>
                  </w:pPr>
                  <w:r>
                    <w:rPr>
                      <w:rFonts w:hint="eastAsia"/>
                    </w:rPr>
                    <w:t>900-2</w:t>
                  </w:r>
                  <w:r>
                    <w:t>49</w:t>
                  </w:r>
                  <w:r>
                    <w:rPr>
                      <w:rFonts w:hint="eastAsia"/>
                    </w:rPr>
                    <w:t>-08</w:t>
                  </w:r>
                </w:p>
              </w:tc>
              <w:tc>
                <w:tcPr>
                  <w:tcW w:w="616" w:type="dxa"/>
                  <w:vAlign w:val="center"/>
                </w:tcPr>
                <w:p w14:paraId="73A73A6E">
                  <w:pPr>
                    <w:pStyle w:val="66"/>
                  </w:pPr>
                  <w:r>
                    <w:rPr>
                      <w:rFonts w:hint="eastAsia"/>
                    </w:rPr>
                    <w:t>废矿物油</w:t>
                  </w:r>
                </w:p>
              </w:tc>
              <w:tc>
                <w:tcPr>
                  <w:tcW w:w="506" w:type="dxa"/>
                  <w:vAlign w:val="center"/>
                </w:tcPr>
                <w:p w14:paraId="71798445">
                  <w:pPr>
                    <w:pStyle w:val="66"/>
                  </w:pPr>
                  <w:r>
                    <w:rPr>
                      <w:rFonts w:hint="eastAsia"/>
                    </w:rPr>
                    <w:t>液</w:t>
                  </w:r>
                </w:p>
              </w:tc>
              <w:tc>
                <w:tcPr>
                  <w:tcW w:w="521" w:type="dxa"/>
                  <w:vAlign w:val="center"/>
                </w:tcPr>
                <w:p w14:paraId="5DD44413">
                  <w:pPr>
                    <w:pStyle w:val="66"/>
                  </w:pPr>
                  <w:r>
                    <w:rPr>
                      <w:rFonts w:hint="eastAsia"/>
                    </w:rPr>
                    <w:t>毒性</w:t>
                  </w:r>
                </w:p>
              </w:tc>
              <w:tc>
                <w:tcPr>
                  <w:tcW w:w="668" w:type="dxa"/>
                  <w:vAlign w:val="center"/>
                </w:tcPr>
                <w:p w14:paraId="3344743B">
                  <w:pPr>
                    <w:pStyle w:val="66"/>
                  </w:pPr>
                  <w:r>
                    <w:rPr>
                      <w:rFonts w:hint="eastAsia"/>
                    </w:rPr>
                    <w:t>0.02</w:t>
                  </w:r>
                </w:p>
              </w:tc>
              <w:tc>
                <w:tcPr>
                  <w:tcW w:w="506" w:type="dxa"/>
                  <w:vAlign w:val="center"/>
                </w:tcPr>
                <w:p w14:paraId="642BC16A">
                  <w:pPr>
                    <w:pStyle w:val="66"/>
                  </w:pPr>
                  <w:r>
                    <w:rPr>
                      <w:rFonts w:hint="eastAsia"/>
                    </w:rPr>
                    <w:t>桶装</w:t>
                  </w:r>
                </w:p>
              </w:tc>
              <w:tc>
                <w:tcPr>
                  <w:tcW w:w="804" w:type="dxa"/>
                  <w:vMerge w:val="restart"/>
                  <w:vAlign w:val="center"/>
                </w:tcPr>
                <w:p w14:paraId="7DA7F25F">
                  <w:pPr>
                    <w:pStyle w:val="66"/>
                  </w:pPr>
                  <w:r>
                    <w:rPr>
                      <w:rFonts w:hint="eastAsia"/>
                    </w:rPr>
                    <w:t>交由具有相应危险废物经营许可证的单位处置</w:t>
                  </w:r>
                </w:p>
              </w:tc>
              <w:tc>
                <w:tcPr>
                  <w:tcW w:w="649" w:type="dxa"/>
                  <w:vAlign w:val="center"/>
                </w:tcPr>
                <w:p w14:paraId="2F0A11CF">
                  <w:pPr>
                    <w:pStyle w:val="66"/>
                  </w:pPr>
                  <w:r>
                    <w:rPr>
                      <w:rFonts w:hint="eastAsia"/>
                    </w:rPr>
                    <w:t>0.02</w:t>
                  </w:r>
                </w:p>
              </w:tc>
              <w:tc>
                <w:tcPr>
                  <w:tcW w:w="554" w:type="dxa"/>
                  <w:vMerge w:val="restart"/>
                  <w:vAlign w:val="center"/>
                </w:tcPr>
                <w:p w14:paraId="305A103C">
                  <w:pPr>
                    <w:pStyle w:val="66"/>
                  </w:pPr>
                  <w:r>
                    <w:rPr>
                      <w:rFonts w:hint="eastAsia"/>
                    </w:rPr>
                    <w:t>危险废物</w:t>
                  </w:r>
                  <w:r>
                    <w:rPr>
                      <w:rFonts w:hint="eastAsia"/>
                      <w:sz w:val="18"/>
                      <w:szCs w:val="18"/>
                    </w:rPr>
                    <w:t>暂存间</w:t>
                  </w:r>
                  <w:r>
                    <w:rPr>
                      <w:rFonts w:hint="eastAsia"/>
                    </w:rPr>
                    <w:t>暂存</w:t>
                  </w:r>
                </w:p>
              </w:tc>
            </w:tr>
            <w:tr w14:paraId="366A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14488C9B">
                  <w:pPr>
                    <w:pStyle w:val="66"/>
                  </w:pPr>
                  <w:r>
                    <w:t>8</w:t>
                  </w:r>
                </w:p>
              </w:tc>
              <w:tc>
                <w:tcPr>
                  <w:tcW w:w="696" w:type="dxa"/>
                  <w:vAlign w:val="center"/>
                </w:tcPr>
                <w:p w14:paraId="3E46D327">
                  <w:pPr>
                    <w:pStyle w:val="66"/>
                  </w:pPr>
                  <w:r>
                    <w:rPr>
                      <w:rFonts w:hint="eastAsia"/>
                    </w:rPr>
                    <w:t>设备</w:t>
                  </w:r>
                  <w:r>
                    <w:t>维修保养</w:t>
                  </w:r>
                </w:p>
              </w:tc>
              <w:tc>
                <w:tcPr>
                  <w:tcW w:w="1316" w:type="dxa"/>
                  <w:vAlign w:val="center"/>
                </w:tcPr>
                <w:p w14:paraId="3E1F4587">
                  <w:pPr>
                    <w:pStyle w:val="66"/>
                  </w:pPr>
                  <w:r>
                    <w:rPr>
                      <w:rFonts w:hint="eastAsia"/>
                    </w:rPr>
                    <w:t>危险废包装材料</w:t>
                  </w:r>
                </w:p>
              </w:tc>
              <w:tc>
                <w:tcPr>
                  <w:tcW w:w="365" w:type="dxa"/>
                  <w:vMerge w:val="continue"/>
                  <w:vAlign w:val="center"/>
                </w:tcPr>
                <w:p w14:paraId="50BB1506">
                  <w:pPr>
                    <w:pStyle w:val="66"/>
                  </w:pPr>
                </w:p>
              </w:tc>
              <w:tc>
                <w:tcPr>
                  <w:tcW w:w="684" w:type="dxa"/>
                  <w:vAlign w:val="center"/>
                </w:tcPr>
                <w:p w14:paraId="34225DDF">
                  <w:pPr>
                    <w:pStyle w:val="66"/>
                  </w:pPr>
                  <w:r>
                    <w:t>900-041-49</w:t>
                  </w:r>
                </w:p>
              </w:tc>
              <w:tc>
                <w:tcPr>
                  <w:tcW w:w="616" w:type="dxa"/>
                  <w:vAlign w:val="center"/>
                </w:tcPr>
                <w:p w14:paraId="257813EC">
                  <w:pPr>
                    <w:pStyle w:val="66"/>
                  </w:pPr>
                  <w:r>
                    <w:t>沾有化学品</w:t>
                  </w:r>
                </w:p>
              </w:tc>
              <w:tc>
                <w:tcPr>
                  <w:tcW w:w="506" w:type="dxa"/>
                  <w:vAlign w:val="center"/>
                </w:tcPr>
                <w:p w14:paraId="0AA10B65">
                  <w:pPr>
                    <w:pStyle w:val="66"/>
                  </w:pPr>
                  <w:r>
                    <w:t>固</w:t>
                  </w:r>
                </w:p>
              </w:tc>
              <w:tc>
                <w:tcPr>
                  <w:tcW w:w="521" w:type="dxa"/>
                  <w:vAlign w:val="center"/>
                </w:tcPr>
                <w:p w14:paraId="5F3EE02E">
                  <w:pPr>
                    <w:pStyle w:val="66"/>
                  </w:pPr>
                  <w:r>
                    <w:rPr>
                      <w:rFonts w:hint="eastAsia"/>
                    </w:rPr>
                    <w:t>毒性</w:t>
                  </w:r>
                </w:p>
              </w:tc>
              <w:tc>
                <w:tcPr>
                  <w:tcW w:w="668" w:type="dxa"/>
                  <w:vAlign w:val="center"/>
                </w:tcPr>
                <w:p w14:paraId="0A2B3149">
                  <w:pPr>
                    <w:pStyle w:val="66"/>
                    <w:rPr>
                      <w:rFonts w:hint="eastAsia" w:eastAsia="宋体"/>
                      <w:lang w:eastAsia="zh-CN"/>
                    </w:rPr>
                  </w:pPr>
                  <w:r>
                    <w:rPr>
                      <w:rFonts w:hint="eastAsia"/>
                      <w:lang w:eastAsia="zh-CN"/>
                    </w:rPr>
                    <w:t>0.174</w:t>
                  </w:r>
                </w:p>
              </w:tc>
              <w:tc>
                <w:tcPr>
                  <w:tcW w:w="506" w:type="dxa"/>
                  <w:vAlign w:val="center"/>
                </w:tcPr>
                <w:p w14:paraId="360E7890">
                  <w:pPr>
                    <w:pStyle w:val="66"/>
                  </w:pPr>
                  <w:r>
                    <w:t>袋装</w:t>
                  </w:r>
                </w:p>
              </w:tc>
              <w:tc>
                <w:tcPr>
                  <w:tcW w:w="804" w:type="dxa"/>
                  <w:vMerge w:val="continue"/>
                  <w:vAlign w:val="center"/>
                </w:tcPr>
                <w:p w14:paraId="64340B3F">
                  <w:pPr>
                    <w:pStyle w:val="66"/>
                  </w:pPr>
                </w:p>
              </w:tc>
              <w:tc>
                <w:tcPr>
                  <w:tcW w:w="649" w:type="dxa"/>
                  <w:vAlign w:val="center"/>
                </w:tcPr>
                <w:p w14:paraId="3BA04F0C">
                  <w:pPr>
                    <w:pStyle w:val="66"/>
                    <w:rPr>
                      <w:rFonts w:hint="eastAsia" w:eastAsia="宋体"/>
                      <w:lang w:eastAsia="zh-CN"/>
                    </w:rPr>
                  </w:pPr>
                  <w:r>
                    <w:rPr>
                      <w:rFonts w:hint="eastAsia"/>
                      <w:lang w:eastAsia="zh-CN"/>
                    </w:rPr>
                    <w:t>0.174</w:t>
                  </w:r>
                </w:p>
              </w:tc>
              <w:tc>
                <w:tcPr>
                  <w:tcW w:w="554" w:type="dxa"/>
                  <w:vMerge w:val="continue"/>
                  <w:vAlign w:val="center"/>
                </w:tcPr>
                <w:p w14:paraId="10054D10">
                  <w:pPr>
                    <w:pStyle w:val="66"/>
                  </w:pPr>
                </w:p>
              </w:tc>
            </w:tr>
            <w:tr w14:paraId="4148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20603AA2">
                  <w:pPr>
                    <w:pStyle w:val="66"/>
                  </w:pPr>
                  <w:r>
                    <w:t>9</w:t>
                  </w:r>
                </w:p>
              </w:tc>
              <w:tc>
                <w:tcPr>
                  <w:tcW w:w="696" w:type="dxa"/>
                  <w:vAlign w:val="center"/>
                </w:tcPr>
                <w:p w14:paraId="26B610C0">
                  <w:pPr>
                    <w:pStyle w:val="66"/>
                  </w:pPr>
                  <w:r>
                    <w:rPr>
                      <w:rFonts w:hint="eastAsia"/>
                    </w:rPr>
                    <w:t>设备维护保养</w:t>
                  </w:r>
                </w:p>
              </w:tc>
              <w:tc>
                <w:tcPr>
                  <w:tcW w:w="1316" w:type="dxa"/>
                  <w:vAlign w:val="center"/>
                </w:tcPr>
                <w:p w14:paraId="31AD5C8F">
                  <w:pPr>
                    <w:pStyle w:val="66"/>
                  </w:pPr>
                  <w:r>
                    <w:rPr>
                      <w:rFonts w:hint="eastAsia"/>
                    </w:rPr>
                    <w:t>废含油抹布及手套</w:t>
                  </w:r>
                </w:p>
              </w:tc>
              <w:tc>
                <w:tcPr>
                  <w:tcW w:w="365" w:type="dxa"/>
                  <w:vMerge w:val="continue"/>
                  <w:vAlign w:val="center"/>
                </w:tcPr>
                <w:p w14:paraId="62C4A660">
                  <w:pPr>
                    <w:pStyle w:val="66"/>
                  </w:pPr>
                </w:p>
              </w:tc>
              <w:tc>
                <w:tcPr>
                  <w:tcW w:w="684" w:type="dxa"/>
                  <w:vAlign w:val="center"/>
                </w:tcPr>
                <w:p w14:paraId="2D2F9535">
                  <w:pPr>
                    <w:pStyle w:val="66"/>
                  </w:pPr>
                  <w:r>
                    <w:t>900-041-49</w:t>
                  </w:r>
                </w:p>
              </w:tc>
              <w:tc>
                <w:tcPr>
                  <w:tcW w:w="616" w:type="dxa"/>
                  <w:vAlign w:val="center"/>
                </w:tcPr>
                <w:p w14:paraId="157BCE0D">
                  <w:pPr>
                    <w:pStyle w:val="66"/>
                  </w:pPr>
                  <w:r>
                    <w:rPr>
                      <w:rFonts w:hint="eastAsia"/>
                    </w:rPr>
                    <w:t>含油抹布及手套</w:t>
                  </w:r>
                </w:p>
              </w:tc>
              <w:tc>
                <w:tcPr>
                  <w:tcW w:w="506" w:type="dxa"/>
                  <w:vAlign w:val="center"/>
                </w:tcPr>
                <w:p w14:paraId="499C7A40">
                  <w:pPr>
                    <w:pStyle w:val="66"/>
                  </w:pPr>
                  <w:r>
                    <w:rPr>
                      <w:rFonts w:hint="eastAsia"/>
                    </w:rPr>
                    <w:t>固</w:t>
                  </w:r>
                </w:p>
              </w:tc>
              <w:tc>
                <w:tcPr>
                  <w:tcW w:w="521" w:type="dxa"/>
                  <w:vAlign w:val="center"/>
                </w:tcPr>
                <w:p w14:paraId="130AC591">
                  <w:pPr>
                    <w:pStyle w:val="66"/>
                  </w:pPr>
                  <w:r>
                    <w:t>毒性</w:t>
                  </w:r>
                </w:p>
              </w:tc>
              <w:tc>
                <w:tcPr>
                  <w:tcW w:w="668" w:type="dxa"/>
                  <w:vAlign w:val="center"/>
                </w:tcPr>
                <w:p w14:paraId="1F49F6C3">
                  <w:pPr>
                    <w:pStyle w:val="66"/>
                  </w:pPr>
                  <w:r>
                    <w:rPr>
                      <w:rFonts w:hint="eastAsia"/>
                    </w:rPr>
                    <w:t>0</w:t>
                  </w:r>
                  <w:r>
                    <w:t>.02</w:t>
                  </w:r>
                </w:p>
              </w:tc>
              <w:tc>
                <w:tcPr>
                  <w:tcW w:w="506" w:type="dxa"/>
                  <w:vAlign w:val="center"/>
                </w:tcPr>
                <w:p w14:paraId="738C5B52">
                  <w:pPr>
                    <w:pStyle w:val="66"/>
                  </w:pPr>
                  <w:r>
                    <w:t>袋装</w:t>
                  </w:r>
                </w:p>
              </w:tc>
              <w:tc>
                <w:tcPr>
                  <w:tcW w:w="804" w:type="dxa"/>
                  <w:vMerge w:val="continue"/>
                  <w:vAlign w:val="center"/>
                </w:tcPr>
                <w:p w14:paraId="6A9859BD">
                  <w:pPr>
                    <w:pStyle w:val="66"/>
                  </w:pPr>
                </w:p>
              </w:tc>
              <w:tc>
                <w:tcPr>
                  <w:tcW w:w="649" w:type="dxa"/>
                  <w:vAlign w:val="center"/>
                </w:tcPr>
                <w:p w14:paraId="71B798B9">
                  <w:pPr>
                    <w:pStyle w:val="66"/>
                  </w:pPr>
                  <w:r>
                    <w:rPr>
                      <w:rFonts w:hint="eastAsia"/>
                    </w:rPr>
                    <w:t>0</w:t>
                  </w:r>
                  <w:r>
                    <w:t>.02</w:t>
                  </w:r>
                </w:p>
              </w:tc>
              <w:tc>
                <w:tcPr>
                  <w:tcW w:w="554" w:type="dxa"/>
                  <w:vMerge w:val="continue"/>
                  <w:vAlign w:val="center"/>
                </w:tcPr>
                <w:p w14:paraId="2B6AF515">
                  <w:pPr>
                    <w:pStyle w:val="66"/>
                  </w:pPr>
                </w:p>
              </w:tc>
            </w:tr>
            <w:tr w14:paraId="28CE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1C4E9D54">
                  <w:pPr>
                    <w:pStyle w:val="66"/>
                  </w:pPr>
                  <w:r>
                    <w:rPr>
                      <w:rFonts w:hint="eastAsia"/>
                    </w:rPr>
                    <w:t>1</w:t>
                  </w:r>
                  <w:r>
                    <w:t>0</w:t>
                  </w:r>
                </w:p>
              </w:tc>
              <w:tc>
                <w:tcPr>
                  <w:tcW w:w="696" w:type="dxa"/>
                  <w:vAlign w:val="center"/>
                </w:tcPr>
                <w:p w14:paraId="0EF65B89">
                  <w:pPr>
                    <w:pStyle w:val="66"/>
                  </w:pPr>
                  <w:r>
                    <w:rPr>
                      <w:rFonts w:hint="eastAsia"/>
                    </w:rPr>
                    <w:t>产品生产</w:t>
                  </w:r>
                </w:p>
              </w:tc>
              <w:tc>
                <w:tcPr>
                  <w:tcW w:w="1316" w:type="dxa"/>
                  <w:vAlign w:val="center"/>
                </w:tcPr>
                <w:p w14:paraId="1C225D34">
                  <w:pPr>
                    <w:pStyle w:val="66"/>
                  </w:pPr>
                  <w:r>
                    <w:rPr>
                      <w:rFonts w:hint="eastAsia"/>
                    </w:rPr>
                    <w:t>废切削液</w:t>
                  </w:r>
                </w:p>
              </w:tc>
              <w:tc>
                <w:tcPr>
                  <w:tcW w:w="365" w:type="dxa"/>
                  <w:vMerge w:val="continue"/>
                  <w:vAlign w:val="center"/>
                </w:tcPr>
                <w:p w14:paraId="6D5E63D6">
                  <w:pPr>
                    <w:pStyle w:val="66"/>
                  </w:pPr>
                </w:p>
              </w:tc>
              <w:tc>
                <w:tcPr>
                  <w:tcW w:w="684" w:type="dxa"/>
                  <w:vAlign w:val="center"/>
                </w:tcPr>
                <w:p w14:paraId="592901AD">
                  <w:pPr>
                    <w:pStyle w:val="66"/>
                  </w:pPr>
                  <w:r>
                    <w:t>900-006-09</w:t>
                  </w:r>
                </w:p>
              </w:tc>
              <w:tc>
                <w:tcPr>
                  <w:tcW w:w="616" w:type="dxa"/>
                  <w:vAlign w:val="center"/>
                </w:tcPr>
                <w:p w14:paraId="15322A49">
                  <w:pPr>
                    <w:pStyle w:val="66"/>
                  </w:pPr>
                  <w:r>
                    <w:rPr>
                      <w:rFonts w:hint="eastAsia"/>
                    </w:rPr>
                    <w:t>废切削液</w:t>
                  </w:r>
                </w:p>
              </w:tc>
              <w:tc>
                <w:tcPr>
                  <w:tcW w:w="506" w:type="dxa"/>
                  <w:vAlign w:val="center"/>
                </w:tcPr>
                <w:p w14:paraId="408CDD3B">
                  <w:pPr>
                    <w:pStyle w:val="66"/>
                  </w:pPr>
                  <w:r>
                    <w:rPr>
                      <w:rFonts w:hint="eastAsia"/>
                    </w:rPr>
                    <w:t>液</w:t>
                  </w:r>
                </w:p>
              </w:tc>
              <w:tc>
                <w:tcPr>
                  <w:tcW w:w="521" w:type="dxa"/>
                  <w:vAlign w:val="center"/>
                </w:tcPr>
                <w:p w14:paraId="770FE870">
                  <w:pPr>
                    <w:pStyle w:val="66"/>
                  </w:pPr>
                  <w:r>
                    <w:t>毒性</w:t>
                  </w:r>
                </w:p>
              </w:tc>
              <w:tc>
                <w:tcPr>
                  <w:tcW w:w="668" w:type="dxa"/>
                  <w:vAlign w:val="center"/>
                </w:tcPr>
                <w:p w14:paraId="3854FFE2">
                  <w:pPr>
                    <w:pStyle w:val="66"/>
                  </w:pPr>
                  <w:r>
                    <w:rPr>
                      <w:rFonts w:hint="eastAsia"/>
                    </w:rPr>
                    <w:t>2</w:t>
                  </w:r>
                </w:p>
              </w:tc>
              <w:tc>
                <w:tcPr>
                  <w:tcW w:w="506" w:type="dxa"/>
                  <w:vAlign w:val="center"/>
                </w:tcPr>
                <w:p w14:paraId="2FE949DC">
                  <w:pPr>
                    <w:pStyle w:val="66"/>
                  </w:pPr>
                  <w:r>
                    <w:t>桶装</w:t>
                  </w:r>
                </w:p>
              </w:tc>
              <w:tc>
                <w:tcPr>
                  <w:tcW w:w="804" w:type="dxa"/>
                  <w:vMerge w:val="continue"/>
                  <w:vAlign w:val="center"/>
                </w:tcPr>
                <w:p w14:paraId="23C33EB6">
                  <w:pPr>
                    <w:pStyle w:val="66"/>
                  </w:pPr>
                </w:p>
              </w:tc>
              <w:tc>
                <w:tcPr>
                  <w:tcW w:w="649" w:type="dxa"/>
                  <w:vAlign w:val="center"/>
                </w:tcPr>
                <w:p w14:paraId="14499207">
                  <w:pPr>
                    <w:pStyle w:val="66"/>
                  </w:pPr>
                  <w:r>
                    <w:rPr>
                      <w:rFonts w:hint="eastAsia"/>
                    </w:rPr>
                    <w:t>2</w:t>
                  </w:r>
                </w:p>
              </w:tc>
              <w:tc>
                <w:tcPr>
                  <w:tcW w:w="554" w:type="dxa"/>
                  <w:vMerge w:val="continue"/>
                  <w:vAlign w:val="center"/>
                </w:tcPr>
                <w:p w14:paraId="6573DC13">
                  <w:pPr>
                    <w:pStyle w:val="66"/>
                  </w:pPr>
                </w:p>
              </w:tc>
            </w:tr>
            <w:tr w14:paraId="7AA5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30B20C85">
                  <w:pPr>
                    <w:pStyle w:val="66"/>
                  </w:pPr>
                  <w:r>
                    <w:rPr>
                      <w:rFonts w:hint="eastAsia"/>
                    </w:rPr>
                    <w:t>1</w:t>
                  </w:r>
                  <w:r>
                    <w:t>1</w:t>
                  </w:r>
                </w:p>
              </w:tc>
              <w:tc>
                <w:tcPr>
                  <w:tcW w:w="696" w:type="dxa"/>
                  <w:vAlign w:val="center"/>
                </w:tcPr>
                <w:p w14:paraId="39970CA1">
                  <w:pPr>
                    <w:pStyle w:val="66"/>
                  </w:pPr>
                  <w:r>
                    <w:rPr>
                      <w:rFonts w:hint="eastAsia"/>
                    </w:rPr>
                    <w:t>产品生产</w:t>
                  </w:r>
                </w:p>
              </w:tc>
              <w:tc>
                <w:tcPr>
                  <w:tcW w:w="1316" w:type="dxa"/>
                  <w:vAlign w:val="center"/>
                </w:tcPr>
                <w:p w14:paraId="72CC4CCF">
                  <w:pPr>
                    <w:pStyle w:val="66"/>
                  </w:pPr>
                  <w:r>
                    <w:rPr>
                      <w:rFonts w:hint="eastAsia"/>
                    </w:rPr>
                    <w:t>废切削液包装桶</w:t>
                  </w:r>
                </w:p>
              </w:tc>
              <w:tc>
                <w:tcPr>
                  <w:tcW w:w="365" w:type="dxa"/>
                  <w:vMerge w:val="continue"/>
                  <w:vAlign w:val="center"/>
                </w:tcPr>
                <w:p w14:paraId="22AB969D">
                  <w:pPr>
                    <w:pStyle w:val="66"/>
                  </w:pPr>
                </w:p>
              </w:tc>
              <w:tc>
                <w:tcPr>
                  <w:tcW w:w="684" w:type="dxa"/>
                  <w:vAlign w:val="center"/>
                </w:tcPr>
                <w:p w14:paraId="2BBDD0CA">
                  <w:pPr>
                    <w:pStyle w:val="66"/>
                  </w:pPr>
                  <w:r>
                    <w:rPr>
                      <w:rFonts w:hint="eastAsia"/>
                    </w:rPr>
                    <w:t>9</w:t>
                  </w:r>
                  <w:r>
                    <w:t>00-041-49</w:t>
                  </w:r>
                </w:p>
              </w:tc>
              <w:tc>
                <w:tcPr>
                  <w:tcW w:w="616" w:type="dxa"/>
                  <w:vAlign w:val="center"/>
                </w:tcPr>
                <w:p w14:paraId="2BFFA15D">
                  <w:pPr>
                    <w:pStyle w:val="66"/>
                  </w:pPr>
                  <w:r>
                    <w:rPr>
                      <w:rFonts w:hint="eastAsia"/>
                    </w:rPr>
                    <w:t>废切削液包装桶</w:t>
                  </w:r>
                </w:p>
              </w:tc>
              <w:tc>
                <w:tcPr>
                  <w:tcW w:w="506" w:type="dxa"/>
                  <w:vAlign w:val="center"/>
                </w:tcPr>
                <w:p w14:paraId="08DE274F">
                  <w:pPr>
                    <w:pStyle w:val="66"/>
                  </w:pPr>
                  <w:r>
                    <w:rPr>
                      <w:rFonts w:hint="eastAsia"/>
                    </w:rPr>
                    <w:t>固</w:t>
                  </w:r>
                </w:p>
              </w:tc>
              <w:tc>
                <w:tcPr>
                  <w:tcW w:w="521" w:type="dxa"/>
                  <w:vAlign w:val="center"/>
                </w:tcPr>
                <w:p w14:paraId="4D96AFDB">
                  <w:pPr>
                    <w:pStyle w:val="66"/>
                  </w:pPr>
                  <w:r>
                    <w:t>毒性</w:t>
                  </w:r>
                </w:p>
              </w:tc>
              <w:tc>
                <w:tcPr>
                  <w:tcW w:w="668" w:type="dxa"/>
                  <w:vAlign w:val="center"/>
                </w:tcPr>
                <w:p w14:paraId="28E53A34">
                  <w:pPr>
                    <w:pStyle w:val="66"/>
                  </w:pPr>
                  <w:r>
                    <w:rPr>
                      <w:rFonts w:hint="eastAsia"/>
                    </w:rPr>
                    <w:t>0</w:t>
                  </w:r>
                  <w:r>
                    <w:t>.04</w:t>
                  </w:r>
                </w:p>
              </w:tc>
              <w:tc>
                <w:tcPr>
                  <w:tcW w:w="506" w:type="dxa"/>
                  <w:vAlign w:val="center"/>
                </w:tcPr>
                <w:p w14:paraId="7CF6A7F7">
                  <w:pPr>
                    <w:pStyle w:val="66"/>
                  </w:pPr>
                  <w:r>
                    <w:t>袋装</w:t>
                  </w:r>
                </w:p>
              </w:tc>
              <w:tc>
                <w:tcPr>
                  <w:tcW w:w="804" w:type="dxa"/>
                  <w:vMerge w:val="continue"/>
                  <w:vAlign w:val="center"/>
                </w:tcPr>
                <w:p w14:paraId="1D96AF16">
                  <w:pPr>
                    <w:pStyle w:val="66"/>
                  </w:pPr>
                </w:p>
              </w:tc>
              <w:tc>
                <w:tcPr>
                  <w:tcW w:w="649" w:type="dxa"/>
                  <w:vAlign w:val="center"/>
                </w:tcPr>
                <w:p w14:paraId="38C79850">
                  <w:pPr>
                    <w:pStyle w:val="66"/>
                  </w:pPr>
                  <w:r>
                    <w:rPr>
                      <w:rFonts w:hint="eastAsia"/>
                    </w:rPr>
                    <w:t>0</w:t>
                  </w:r>
                  <w:r>
                    <w:t>.04</w:t>
                  </w:r>
                </w:p>
              </w:tc>
              <w:tc>
                <w:tcPr>
                  <w:tcW w:w="554" w:type="dxa"/>
                  <w:vMerge w:val="continue"/>
                  <w:vAlign w:val="center"/>
                </w:tcPr>
                <w:p w14:paraId="5C2B0D2D">
                  <w:pPr>
                    <w:pStyle w:val="66"/>
                  </w:pPr>
                </w:p>
              </w:tc>
            </w:tr>
            <w:tr w14:paraId="41E6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4813AA80">
                  <w:pPr>
                    <w:pStyle w:val="66"/>
                  </w:pPr>
                  <w:r>
                    <w:rPr>
                      <w:rFonts w:hint="eastAsia"/>
                    </w:rPr>
                    <w:t>1</w:t>
                  </w:r>
                  <w:r>
                    <w:t>2</w:t>
                  </w:r>
                </w:p>
              </w:tc>
              <w:tc>
                <w:tcPr>
                  <w:tcW w:w="696" w:type="dxa"/>
                  <w:vAlign w:val="center"/>
                </w:tcPr>
                <w:p w14:paraId="3580DB6C">
                  <w:pPr>
                    <w:pStyle w:val="66"/>
                  </w:pPr>
                  <w:r>
                    <w:rPr>
                      <w:rFonts w:hint="eastAsia"/>
                    </w:rPr>
                    <w:t>产品生产</w:t>
                  </w:r>
                </w:p>
              </w:tc>
              <w:tc>
                <w:tcPr>
                  <w:tcW w:w="1316" w:type="dxa"/>
                  <w:vAlign w:val="center"/>
                </w:tcPr>
                <w:p w14:paraId="2B6E9FCB">
                  <w:pPr>
                    <w:pStyle w:val="66"/>
                  </w:pPr>
                  <w:r>
                    <w:rPr>
                      <w:rFonts w:hint="eastAsia"/>
                    </w:rPr>
                    <w:t>废金属边角料</w:t>
                  </w:r>
                </w:p>
              </w:tc>
              <w:tc>
                <w:tcPr>
                  <w:tcW w:w="365" w:type="dxa"/>
                  <w:vMerge w:val="continue"/>
                  <w:vAlign w:val="center"/>
                </w:tcPr>
                <w:p w14:paraId="4DF4F541">
                  <w:pPr>
                    <w:pStyle w:val="66"/>
                  </w:pPr>
                </w:p>
              </w:tc>
              <w:tc>
                <w:tcPr>
                  <w:tcW w:w="684" w:type="dxa"/>
                  <w:vAlign w:val="center"/>
                </w:tcPr>
                <w:p w14:paraId="49719588">
                  <w:pPr>
                    <w:pStyle w:val="66"/>
                  </w:pPr>
                  <w:r>
                    <w:rPr>
                      <w:rFonts w:hint="eastAsia"/>
                    </w:rPr>
                    <w:t>9</w:t>
                  </w:r>
                  <w:r>
                    <w:t>00-200-08</w:t>
                  </w:r>
                </w:p>
              </w:tc>
              <w:tc>
                <w:tcPr>
                  <w:tcW w:w="616" w:type="dxa"/>
                  <w:vAlign w:val="center"/>
                </w:tcPr>
                <w:p w14:paraId="258250DC">
                  <w:pPr>
                    <w:pStyle w:val="66"/>
                  </w:pPr>
                  <w:r>
                    <w:rPr>
                      <w:rFonts w:hint="eastAsia"/>
                    </w:rPr>
                    <w:t>废金属边角料</w:t>
                  </w:r>
                </w:p>
              </w:tc>
              <w:tc>
                <w:tcPr>
                  <w:tcW w:w="506" w:type="dxa"/>
                  <w:vAlign w:val="center"/>
                </w:tcPr>
                <w:p w14:paraId="1364C238">
                  <w:pPr>
                    <w:pStyle w:val="66"/>
                  </w:pPr>
                  <w:r>
                    <w:rPr>
                      <w:rFonts w:hint="eastAsia"/>
                    </w:rPr>
                    <w:t>固</w:t>
                  </w:r>
                </w:p>
              </w:tc>
              <w:tc>
                <w:tcPr>
                  <w:tcW w:w="521" w:type="dxa"/>
                  <w:vAlign w:val="center"/>
                </w:tcPr>
                <w:p w14:paraId="1B7B9DF6">
                  <w:pPr>
                    <w:pStyle w:val="66"/>
                  </w:pPr>
                  <w:r>
                    <w:t>毒性</w:t>
                  </w:r>
                </w:p>
              </w:tc>
              <w:tc>
                <w:tcPr>
                  <w:tcW w:w="668" w:type="dxa"/>
                  <w:vAlign w:val="center"/>
                </w:tcPr>
                <w:p w14:paraId="7067A202">
                  <w:pPr>
                    <w:pStyle w:val="66"/>
                  </w:pPr>
                  <w:r>
                    <w:rPr>
                      <w:rFonts w:hint="eastAsia"/>
                    </w:rPr>
                    <w:t>2</w:t>
                  </w:r>
                </w:p>
              </w:tc>
              <w:tc>
                <w:tcPr>
                  <w:tcW w:w="506" w:type="dxa"/>
                  <w:vAlign w:val="center"/>
                </w:tcPr>
                <w:p w14:paraId="52BF170B">
                  <w:pPr>
                    <w:pStyle w:val="66"/>
                  </w:pPr>
                  <w:r>
                    <w:t>袋装</w:t>
                  </w:r>
                </w:p>
              </w:tc>
              <w:tc>
                <w:tcPr>
                  <w:tcW w:w="804" w:type="dxa"/>
                  <w:vMerge w:val="continue"/>
                  <w:vAlign w:val="center"/>
                </w:tcPr>
                <w:p w14:paraId="07E3E5A1">
                  <w:pPr>
                    <w:pStyle w:val="66"/>
                  </w:pPr>
                </w:p>
              </w:tc>
              <w:tc>
                <w:tcPr>
                  <w:tcW w:w="649" w:type="dxa"/>
                  <w:vAlign w:val="center"/>
                </w:tcPr>
                <w:p w14:paraId="4CED02CA">
                  <w:pPr>
                    <w:pStyle w:val="66"/>
                  </w:pPr>
                  <w:r>
                    <w:rPr>
                      <w:rFonts w:hint="eastAsia"/>
                    </w:rPr>
                    <w:t>2</w:t>
                  </w:r>
                </w:p>
              </w:tc>
              <w:tc>
                <w:tcPr>
                  <w:tcW w:w="554" w:type="dxa"/>
                  <w:vMerge w:val="continue"/>
                  <w:vAlign w:val="center"/>
                </w:tcPr>
                <w:p w14:paraId="3B90ED27">
                  <w:pPr>
                    <w:pStyle w:val="66"/>
                  </w:pPr>
                </w:p>
              </w:tc>
            </w:tr>
            <w:tr w14:paraId="787E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412D70F5">
                  <w:pPr>
                    <w:pStyle w:val="66"/>
                    <w:rPr>
                      <w:rFonts w:hint="eastAsia" w:eastAsia="宋体"/>
                      <w:lang w:val="en-US" w:eastAsia="zh-CN"/>
                    </w:rPr>
                  </w:pPr>
                  <w:r>
                    <w:rPr>
                      <w:rFonts w:hint="eastAsia"/>
                    </w:rPr>
                    <w:t>1</w:t>
                  </w:r>
                  <w:r>
                    <w:rPr>
                      <w:rFonts w:hint="eastAsia"/>
                      <w:lang w:val="en-US" w:eastAsia="zh-CN"/>
                    </w:rPr>
                    <w:t>3</w:t>
                  </w:r>
                </w:p>
              </w:tc>
              <w:tc>
                <w:tcPr>
                  <w:tcW w:w="696" w:type="dxa"/>
                  <w:vAlign w:val="center"/>
                </w:tcPr>
                <w:p w14:paraId="07534471">
                  <w:pPr>
                    <w:pStyle w:val="66"/>
                  </w:pPr>
                  <w:r>
                    <w:rPr>
                      <w:rFonts w:hint="eastAsia"/>
                    </w:rPr>
                    <w:t>设备维修</w:t>
                  </w:r>
                </w:p>
              </w:tc>
              <w:tc>
                <w:tcPr>
                  <w:tcW w:w="1316" w:type="dxa"/>
                  <w:vAlign w:val="center"/>
                </w:tcPr>
                <w:p w14:paraId="207569EF">
                  <w:pPr>
                    <w:pStyle w:val="66"/>
                  </w:pPr>
                  <w:r>
                    <w:rPr>
                      <w:rFonts w:hint="eastAsia"/>
                    </w:rPr>
                    <w:t>含漆抹布及手套</w:t>
                  </w:r>
                </w:p>
              </w:tc>
              <w:tc>
                <w:tcPr>
                  <w:tcW w:w="365" w:type="dxa"/>
                  <w:vMerge w:val="continue"/>
                  <w:vAlign w:val="center"/>
                </w:tcPr>
                <w:p w14:paraId="536DC938">
                  <w:pPr>
                    <w:pStyle w:val="66"/>
                  </w:pPr>
                </w:p>
              </w:tc>
              <w:tc>
                <w:tcPr>
                  <w:tcW w:w="684" w:type="dxa"/>
                  <w:vAlign w:val="center"/>
                </w:tcPr>
                <w:p w14:paraId="35CD498D">
                  <w:pPr>
                    <w:pStyle w:val="66"/>
                  </w:pPr>
                  <w:r>
                    <w:rPr>
                      <w:rFonts w:hint="eastAsia"/>
                    </w:rPr>
                    <w:t>9</w:t>
                  </w:r>
                  <w:r>
                    <w:t>00-041-49</w:t>
                  </w:r>
                </w:p>
              </w:tc>
              <w:tc>
                <w:tcPr>
                  <w:tcW w:w="616" w:type="dxa"/>
                  <w:vAlign w:val="center"/>
                </w:tcPr>
                <w:p w14:paraId="1F8B88C1">
                  <w:pPr>
                    <w:pStyle w:val="66"/>
                  </w:pPr>
                  <w:r>
                    <w:rPr>
                      <w:rFonts w:hint="eastAsia"/>
                    </w:rPr>
                    <w:t>含漆抹布及手套</w:t>
                  </w:r>
                </w:p>
              </w:tc>
              <w:tc>
                <w:tcPr>
                  <w:tcW w:w="506" w:type="dxa"/>
                  <w:vAlign w:val="center"/>
                </w:tcPr>
                <w:p w14:paraId="470A287C">
                  <w:pPr>
                    <w:pStyle w:val="66"/>
                  </w:pPr>
                  <w:r>
                    <w:rPr>
                      <w:rFonts w:hint="eastAsia"/>
                    </w:rPr>
                    <w:t>固</w:t>
                  </w:r>
                </w:p>
              </w:tc>
              <w:tc>
                <w:tcPr>
                  <w:tcW w:w="521" w:type="dxa"/>
                  <w:vAlign w:val="center"/>
                </w:tcPr>
                <w:p w14:paraId="6BBFE4C0">
                  <w:pPr>
                    <w:pStyle w:val="66"/>
                  </w:pPr>
                  <w:r>
                    <w:t>毒性</w:t>
                  </w:r>
                </w:p>
              </w:tc>
              <w:tc>
                <w:tcPr>
                  <w:tcW w:w="668" w:type="dxa"/>
                  <w:vAlign w:val="center"/>
                </w:tcPr>
                <w:p w14:paraId="3BB7936F">
                  <w:pPr>
                    <w:pStyle w:val="66"/>
                  </w:pPr>
                  <w:r>
                    <w:rPr>
                      <w:rFonts w:hint="eastAsia"/>
                    </w:rPr>
                    <w:t>0</w:t>
                  </w:r>
                  <w:r>
                    <w:t>.02</w:t>
                  </w:r>
                </w:p>
              </w:tc>
              <w:tc>
                <w:tcPr>
                  <w:tcW w:w="506" w:type="dxa"/>
                  <w:vAlign w:val="center"/>
                </w:tcPr>
                <w:p w14:paraId="0C9FE291">
                  <w:pPr>
                    <w:pStyle w:val="66"/>
                  </w:pPr>
                  <w:r>
                    <w:t>袋装</w:t>
                  </w:r>
                </w:p>
              </w:tc>
              <w:tc>
                <w:tcPr>
                  <w:tcW w:w="804" w:type="dxa"/>
                  <w:vMerge w:val="continue"/>
                  <w:vAlign w:val="center"/>
                </w:tcPr>
                <w:p w14:paraId="6CC394F6">
                  <w:pPr>
                    <w:pStyle w:val="66"/>
                  </w:pPr>
                </w:p>
              </w:tc>
              <w:tc>
                <w:tcPr>
                  <w:tcW w:w="649" w:type="dxa"/>
                  <w:vAlign w:val="center"/>
                </w:tcPr>
                <w:p w14:paraId="26369BBA">
                  <w:pPr>
                    <w:pStyle w:val="66"/>
                  </w:pPr>
                  <w:r>
                    <w:rPr>
                      <w:rFonts w:hint="eastAsia"/>
                    </w:rPr>
                    <w:t>0</w:t>
                  </w:r>
                  <w:r>
                    <w:t>.02</w:t>
                  </w:r>
                </w:p>
              </w:tc>
              <w:tc>
                <w:tcPr>
                  <w:tcW w:w="554" w:type="dxa"/>
                  <w:vMerge w:val="continue"/>
                  <w:vAlign w:val="center"/>
                </w:tcPr>
                <w:p w14:paraId="1800F9E0">
                  <w:pPr>
                    <w:pStyle w:val="66"/>
                  </w:pPr>
                </w:p>
              </w:tc>
            </w:tr>
            <w:tr w14:paraId="580A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0802A54A">
                  <w:pPr>
                    <w:pStyle w:val="66"/>
                    <w:rPr>
                      <w:rFonts w:hint="eastAsia" w:eastAsia="宋体"/>
                      <w:lang w:val="en-US" w:eastAsia="zh-CN"/>
                    </w:rPr>
                  </w:pPr>
                  <w:r>
                    <w:rPr>
                      <w:rFonts w:hint="eastAsia"/>
                    </w:rPr>
                    <w:t>1</w:t>
                  </w:r>
                  <w:r>
                    <w:rPr>
                      <w:rFonts w:hint="eastAsia"/>
                      <w:lang w:val="en-US" w:eastAsia="zh-CN"/>
                    </w:rPr>
                    <w:t>4</w:t>
                  </w:r>
                </w:p>
              </w:tc>
              <w:tc>
                <w:tcPr>
                  <w:tcW w:w="696" w:type="dxa"/>
                  <w:vAlign w:val="center"/>
                </w:tcPr>
                <w:p w14:paraId="688BCED6">
                  <w:pPr>
                    <w:pStyle w:val="66"/>
                  </w:pPr>
                  <w:r>
                    <w:rPr>
                      <w:rFonts w:hint="eastAsia"/>
                    </w:rPr>
                    <w:t>废气处理</w:t>
                  </w:r>
                </w:p>
              </w:tc>
              <w:tc>
                <w:tcPr>
                  <w:tcW w:w="1316" w:type="dxa"/>
                  <w:vAlign w:val="center"/>
                </w:tcPr>
                <w:p w14:paraId="568AE878">
                  <w:pPr>
                    <w:pStyle w:val="66"/>
                    <w:rPr>
                      <w:rFonts w:hint="default" w:eastAsia="宋体"/>
                      <w:lang w:val="en-US" w:eastAsia="zh-CN"/>
                    </w:rPr>
                  </w:pPr>
                  <w:r>
                    <w:rPr>
                      <w:rFonts w:hint="eastAsia"/>
                    </w:rPr>
                    <w:t>废干式过滤棉</w:t>
                  </w:r>
                  <w:r>
                    <w:rPr>
                      <w:rFonts w:hint="eastAsia"/>
                      <w:lang w:val="en-US" w:eastAsia="zh-CN"/>
                    </w:rPr>
                    <w:t>及漆渣</w:t>
                  </w:r>
                </w:p>
              </w:tc>
              <w:tc>
                <w:tcPr>
                  <w:tcW w:w="365" w:type="dxa"/>
                  <w:vMerge w:val="continue"/>
                  <w:vAlign w:val="center"/>
                </w:tcPr>
                <w:p w14:paraId="2A051FAF">
                  <w:pPr>
                    <w:pStyle w:val="66"/>
                  </w:pPr>
                </w:p>
              </w:tc>
              <w:tc>
                <w:tcPr>
                  <w:tcW w:w="684" w:type="dxa"/>
                  <w:vAlign w:val="center"/>
                </w:tcPr>
                <w:p w14:paraId="219D391E">
                  <w:pPr>
                    <w:pStyle w:val="66"/>
                  </w:pPr>
                  <w:r>
                    <w:rPr>
                      <w:rFonts w:hint="eastAsia"/>
                    </w:rPr>
                    <w:t>9</w:t>
                  </w:r>
                  <w:r>
                    <w:t>00-041-49</w:t>
                  </w:r>
                </w:p>
              </w:tc>
              <w:tc>
                <w:tcPr>
                  <w:tcW w:w="616" w:type="dxa"/>
                  <w:vAlign w:val="center"/>
                </w:tcPr>
                <w:p w14:paraId="27A504BF">
                  <w:pPr>
                    <w:pStyle w:val="66"/>
                  </w:pPr>
                  <w:r>
                    <w:rPr>
                      <w:rFonts w:hint="eastAsia"/>
                    </w:rPr>
                    <w:t>废干式过滤棉及漆渣</w:t>
                  </w:r>
                </w:p>
              </w:tc>
              <w:tc>
                <w:tcPr>
                  <w:tcW w:w="506" w:type="dxa"/>
                  <w:vAlign w:val="center"/>
                </w:tcPr>
                <w:p w14:paraId="00B3ECDB">
                  <w:pPr>
                    <w:pStyle w:val="66"/>
                  </w:pPr>
                  <w:r>
                    <w:rPr>
                      <w:rFonts w:hint="eastAsia"/>
                    </w:rPr>
                    <w:t>固</w:t>
                  </w:r>
                </w:p>
              </w:tc>
              <w:tc>
                <w:tcPr>
                  <w:tcW w:w="521" w:type="dxa"/>
                  <w:vAlign w:val="center"/>
                </w:tcPr>
                <w:p w14:paraId="11923C64">
                  <w:pPr>
                    <w:pStyle w:val="66"/>
                  </w:pPr>
                  <w:r>
                    <w:t>毒性</w:t>
                  </w:r>
                </w:p>
              </w:tc>
              <w:tc>
                <w:tcPr>
                  <w:tcW w:w="668" w:type="dxa"/>
                  <w:vAlign w:val="center"/>
                </w:tcPr>
                <w:p w14:paraId="32238FF6">
                  <w:pPr>
                    <w:pStyle w:val="66"/>
                    <w:rPr>
                      <w:rFonts w:hint="default" w:eastAsia="宋体"/>
                      <w:lang w:val="en-US" w:eastAsia="zh-CN"/>
                    </w:rPr>
                  </w:pPr>
                  <w:r>
                    <w:rPr>
                      <w:rFonts w:hint="eastAsia"/>
                    </w:rPr>
                    <w:t>0</w:t>
                  </w:r>
                  <w:r>
                    <w:t>.5</w:t>
                  </w:r>
                  <w:r>
                    <w:rPr>
                      <w:rFonts w:hint="eastAsia"/>
                      <w:lang w:val="en-US" w:eastAsia="zh-CN"/>
                    </w:rPr>
                    <w:t>33</w:t>
                  </w:r>
                </w:p>
              </w:tc>
              <w:tc>
                <w:tcPr>
                  <w:tcW w:w="506" w:type="dxa"/>
                  <w:vAlign w:val="center"/>
                </w:tcPr>
                <w:p w14:paraId="1956A839">
                  <w:pPr>
                    <w:pStyle w:val="66"/>
                  </w:pPr>
                  <w:r>
                    <w:t>袋装</w:t>
                  </w:r>
                </w:p>
              </w:tc>
              <w:tc>
                <w:tcPr>
                  <w:tcW w:w="804" w:type="dxa"/>
                  <w:vMerge w:val="continue"/>
                  <w:vAlign w:val="center"/>
                </w:tcPr>
                <w:p w14:paraId="2C80585B">
                  <w:pPr>
                    <w:pStyle w:val="66"/>
                  </w:pPr>
                </w:p>
              </w:tc>
              <w:tc>
                <w:tcPr>
                  <w:tcW w:w="649" w:type="dxa"/>
                  <w:vAlign w:val="center"/>
                </w:tcPr>
                <w:p w14:paraId="52CA5B62">
                  <w:pPr>
                    <w:pStyle w:val="66"/>
                    <w:rPr>
                      <w:rFonts w:hint="default" w:eastAsia="宋体"/>
                      <w:lang w:val="en-US" w:eastAsia="zh-CN"/>
                    </w:rPr>
                  </w:pPr>
                  <w:r>
                    <w:rPr>
                      <w:rFonts w:hint="eastAsia"/>
                    </w:rPr>
                    <w:t>0</w:t>
                  </w:r>
                  <w:r>
                    <w:t>.5</w:t>
                  </w:r>
                  <w:r>
                    <w:rPr>
                      <w:rFonts w:hint="eastAsia"/>
                      <w:lang w:val="en-US" w:eastAsia="zh-CN"/>
                    </w:rPr>
                    <w:t>33</w:t>
                  </w:r>
                </w:p>
              </w:tc>
              <w:tc>
                <w:tcPr>
                  <w:tcW w:w="554" w:type="dxa"/>
                  <w:vMerge w:val="continue"/>
                  <w:vAlign w:val="center"/>
                </w:tcPr>
                <w:p w14:paraId="3820A943">
                  <w:pPr>
                    <w:pStyle w:val="66"/>
                  </w:pPr>
                </w:p>
              </w:tc>
            </w:tr>
            <w:tr w14:paraId="594A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3702F937">
                  <w:pPr>
                    <w:pStyle w:val="66"/>
                    <w:rPr>
                      <w:rFonts w:hint="eastAsia" w:eastAsia="宋体"/>
                      <w:lang w:val="en-US" w:eastAsia="zh-CN"/>
                    </w:rPr>
                  </w:pPr>
                  <w:r>
                    <w:rPr>
                      <w:rFonts w:hint="eastAsia"/>
                    </w:rPr>
                    <w:t>1</w:t>
                  </w:r>
                  <w:r>
                    <w:rPr>
                      <w:rFonts w:hint="eastAsia"/>
                      <w:lang w:val="en-US" w:eastAsia="zh-CN"/>
                    </w:rPr>
                    <w:t>5</w:t>
                  </w:r>
                </w:p>
              </w:tc>
              <w:tc>
                <w:tcPr>
                  <w:tcW w:w="696" w:type="dxa"/>
                  <w:vAlign w:val="center"/>
                </w:tcPr>
                <w:p w14:paraId="081F852E">
                  <w:pPr>
                    <w:pStyle w:val="66"/>
                  </w:pPr>
                  <w:r>
                    <w:rPr>
                      <w:rFonts w:hint="eastAsia"/>
                    </w:rPr>
                    <w:t>产品生产</w:t>
                  </w:r>
                </w:p>
              </w:tc>
              <w:tc>
                <w:tcPr>
                  <w:tcW w:w="1316" w:type="dxa"/>
                  <w:vAlign w:val="center"/>
                </w:tcPr>
                <w:p w14:paraId="3C44F327">
                  <w:pPr>
                    <w:pStyle w:val="66"/>
                  </w:pPr>
                  <w:r>
                    <w:rPr>
                      <w:rFonts w:hint="eastAsia"/>
                    </w:rPr>
                    <w:t>清洗废液</w:t>
                  </w:r>
                </w:p>
              </w:tc>
              <w:tc>
                <w:tcPr>
                  <w:tcW w:w="365" w:type="dxa"/>
                  <w:vMerge w:val="continue"/>
                  <w:vAlign w:val="center"/>
                </w:tcPr>
                <w:p w14:paraId="3C30F6E9">
                  <w:pPr>
                    <w:pStyle w:val="66"/>
                  </w:pPr>
                </w:p>
              </w:tc>
              <w:tc>
                <w:tcPr>
                  <w:tcW w:w="684" w:type="dxa"/>
                  <w:vAlign w:val="center"/>
                </w:tcPr>
                <w:p w14:paraId="3D7D1705">
                  <w:pPr>
                    <w:pStyle w:val="66"/>
                  </w:pPr>
                  <w:r>
                    <w:rPr>
                      <w:rFonts w:hint="eastAsia"/>
                    </w:rPr>
                    <w:t>9</w:t>
                  </w:r>
                  <w:r>
                    <w:t>00-402-06</w:t>
                  </w:r>
                </w:p>
              </w:tc>
              <w:tc>
                <w:tcPr>
                  <w:tcW w:w="616" w:type="dxa"/>
                  <w:vAlign w:val="center"/>
                </w:tcPr>
                <w:p w14:paraId="02E8F482">
                  <w:pPr>
                    <w:pStyle w:val="66"/>
                  </w:pPr>
                  <w:r>
                    <w:rPr>
                      <w:rFonts w:hint="eastAsia"/>
                    </w:rPr>
                    <w:t>清洗废液</w:t>
                  </w:r>
                </w:p>
              </w:tc>
              <w:tc>
                <w:tcPr>
                  <w:tcW w:w="506" w:type="dxa"/>
                  <w:vAlign w:val="center"/>
                </w:tcPr>
                <w:p w14:paraId="3DF8E2F6">
                  <w:pPr>
                    <w:pStyle w:val="66"/>
                  </w:pPr>
                  <w:r>
                    <w:rPr>
                      <w:rFonts w:hint="eastAsia"/>
                    </w:rPr>
                    <w:t>液</w:t>
                  </w:r>
                </w:p>
              </w:tc>
              <w:tc>
                <w:tcPr>
                  <w:tcW w:w="521" w:type="dxa"/>
                  <w:vAlign w:val="center"/>
                </w:tcPr>
                <w:p w14:paraId="1027D901">
                  <w:pPr>
                    <w:pStyle w:val="66"/>
                  </w:pPr>
                  <w:r>
                    <w:t>毒性</w:t>
                  </w:r>
                </w:p>
              </w:tc>
              <w:tc>
                <w:tcPr>
                  <w:tcW w:w="668" w:type="dxa"/>
                  <w:vAlign w:val="center"/>
                </w:tcPr>
                <w:p w14:paraId="63BCB97A">
                  <w:pPr>
                    <w:pStyle w:val="66"/>
                    <w:rPr>
                      <w:rFonts w:hint="eastAsia" w:eastAsia="宋体"/>
                      <w:lang w:val="en-US" w:eastAsia="zh-CN"/>
                    </w:rPr>
                  </w:pPr>
                  <w:r>
                    <w:rPr>
                      <w:rFonts w:hint="eastAsia"/>
                      <w:lang w:eastAsia="zh-CN"/>
                    </w:rPr>
                    <w:t>0.101</w:t>
                  </w:r>
                </w:p>
              </w:tc>
              <w:tc>
                <w:tcPr>
                  <w:tcW w:w="506" w:type="dxa"/>
                  <w:vAlign w:val="center"/>
                </w:tcPr>
                <w:p w14:paraId="5A246D69">
                  <w:pPr>
                    <w:pStyle w:val="66"/>
                  </w:pPr>
                  <w:r>
                    <w:t>桶装</w:t>
                  </w:r>
                </w:p>
              </w:tc>
              <w:tc>
                <w:tcPr>
                  <w:tcW w:w="804" w:type="dxa"/>
                  <w:vMerge w:val="continue"/>
                  <w:vAlign w:val="center"/>
                </w:tcPr>
                <w:p w14:paraId="42864B28">
                  <w:pPr>
                    <w:pStyle w:val="66"/>
                  </w:pPr>
                </w:p>
              </w:tc>
              <w:tc>
                <w:tcPr>
                  <w:tcW w:w="649" w:type="dxa"/>
                  <w:vAlign w:val="center"/>
                </w:tcPr>
                <w:p w14:paraId="34FE1A98">
                  <w:pPr>
                    <w:pStyle w:val="66"/>
                    <w:rPr>
                      <w:rFonts w:hint="default" w:eastAsia="宋体"/>
                      <w:lang w:val="en-US" w:eastAsia="zh-CN"/>
                    </w:rPr>
                  </w:pPr>
                  <w:r>
                    <w:rPr>
                      <w:rFonts w:hint="eastAsia"/>
                    </w:rPr>
                    <w:t>0</w:t>
                  </w:r>
                  <w:r>
                    <w:rPr>
                      <w:rFonts w:hint="eastAsia"/>
                      <w:lang w:val="en-US" w:eastAsia="zh-CN"/>
                    </w:rPr>
                    <w:t>.101</w:t>
                  </w:r>
                </w:p>
              </w:tc>
              <w:tc>
                <w:tcPr>
                  <w:tcW w:w="554" w:type="dxa"/>
                  <w:vMerge w:val="continue"/>
                  <w:vAlign w:val="center"/>
                </w:tcPr>
                <w:p w14:paraId="134F03A0">
                  <w:pPr>
                    <w:pStyle w:val="66"/>
                  </w:pPr>
                </w:p>
              </w:tc>
            </w:tr>
            <w:tr w14:paraId="3CFE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145D7FC6">
                  <w:pPr>
                    <w:pStyle w:val="66"/>
                    <w:rPr>
                      <w:rFonts w:hint="default" w:eastAsia="宋体"/>
                      <w:lang w:val="en-US" w:eastAsia="zh-CN"/>
                    </w:rPr>
                  </w:pPr>
                  <w:r>
                    <w:rPr>
                      <w:rFonts w:hint="eastAsia"/>
                      <w:lang w:val="en-US" w:eastAsia="zh-CN"/>
                    </w:rPr>
                    <w:t>16</w:t>
                  </w:r>
                </w:p>
              </w:tc>
              <w:tc>
                <w:tcPr>
                  <w:tcW w:w="696" w:type="dxa"/>
                  <w:vAlign w:val="center"/>
                </w:tcPr>
                <w:p w14:paraId="39F962CA">
                  <w:pPr>
                    <w:pStyle w:val="66"/>
                    <w:rPr>
                      <w:rFonts w:hint="default" w:eastAsia="宋体"/>
                      <w:lang w:val="en-US" w:eastAsia="zh-CN"/>
                    </w:rPr>
                  </w:pPr>
                  <w:r>
                    <w:rPr>
                      <w:rFonts w:hint="eastAsia"/>
                      <w:lang w:val="en-US" w:eastAsia="zh-CN"/>
                    </w:rPr>
                    <w:t>废气治理</w:t>
                  </w:r>
                </w:p>
              </w:tc>
              <w:tc>
                <w:tcPr>
                  <w:tcW w:w="1316" w:type="dxa"/>
                  <w:vAlign w:val="center"/>
                </w:tcPr>
                <w:p w14:paraId="31104B6C">
                  <w:pPr>
                    <w:pStyle w:val="66"/>
                    <w:rPr>
                      <w:rFonts w:hint="eastAsia" w:eastAsia="宋体"/>
                      <w:lang w:val="en-US" w:eastAsia="zh-CN"/>
                    </w:rPr>
                  </w:pPr>
                  <w:r>
                    <w:rPr>
                      <w:rFonts w:hint="eastAsia"/>
                      <w:lang w:val="en-US" w:eastAsia="zh-CN"/>
                    </w:rPr>
                    <w:t>喷淋废液及沉渣</w:t>
                  </w:r>
                </w:p>
              </w:tc>
              <w:tc>
                <w:tcPr>
                  <w:tcW w:w="365" w:type="dxa"/>
                  <w:vMerge w:val="continue"/>
                  <w:vAlign w:val="center"/>
                </w:tcPr>
                <w:p w14:paraId="1105DA5D">
                  <w:pPr>
                    <w:pStyle w:val="66"/>
                  </w:pPr>
                </w:p>
              </w:tc>
              <w:tc>
                <w:tcPr>
                  <w:tcW w:w="684" w:type="dxa"/>
                  <w:vAlign w:val="center"/>
                </w:tcPr>
                <w:p w14:paraId="3C6D89D6">
                  <w:pPr>
                    <w:pStyle w:val="66"/>
                    <w:rPr>
                      <w:rFonts w:hint="eastAsia"/>
                    </w:rPr>
                  </w:pPr>
                  <w:r>
                    <w:rPr>
                      <w:rFonts w:hint="eastAsia"/>
                      <w:lang w:val="en-US" w:eastAsia="zh-CN"/>
                    </w:rPr>
                    <w:t>900-252-12</w:t>
                  </w:r>
                </w:p>
              </w:tc>
              <w:tc>
                <w:tcPr>
                  <w:tcW w:w="616" w:type="dxa"/>
                  <w:vAlign w:val="center"/>
                </w:tcPr>
                <w:p w14:paraId="556CD6E7">
                  <w:pPr>
                    <w:pStyle w:val="66"/>
                    <w:rPr>
                      <w:rFonts w:hint="eastAsia"/>
                    </w:rPr>
                  </w:pPr>
                  <w:r>
                    <w:rPr>
                      <w:rFonts w:hint="eastAsia"/>
                      <w:lang w:val="en-US" w:eastAsia="zh-CN"/>
                    </w:rPr>
                    <w:t>喷淋废液及沉渣</w:t>
                  </w:r>
                </w:p>
              </w:tc>
              <w:tc>
                <w:tcPr>
                  <w:tcW w:w="506" w:type="dxa"/>
                  <w:vAlign w:val="center"/>
                </w:tcPr>
                <w:p w14:paraId="5B150979">
                  <w:pPr>
                    <w:pStyle w:val="66"/>
                    <w:rPr>
                      <w:rFonts w:hint="default" w:eastAsia="宋体"/>
                      <w:lang w:val="en-US" w:eastAsia="zh-CN"/>
                    </w:rPr>
                  </w:pPr>
                  <w:r>
                    <w:rPr>
                      <w:rFonts w:hint="eastAsia"/>
                      <w:lang w:val="en-US" w:eastAsia="zh-CN"/>
                    </w:rPr>
                    <w:t>液/固</w:t>
                  </w:r>
                </w:p>
              </w:tc>
              <w:tc>
                <w:tcPr>
                  <w:tcW w:w="521" w:type="dxa"/>
                  <w:vAlign w:val="center"/>
                </w:tcPr>
                <w:p w14:paraId="4A8A7C06">
                  <w:pPr>
                    <w:pStyle w:val="66"/>
                    <w:rPr>
                      <w:rFonts w:hint="eastAsia" w:eastAsia="宋体"/>
                      <w:lang w:val="en-US" w:eastAsia="zh-CN"/>
                    </w:rPr>
                  </w:pPr>
                  <w:r>
                    <w:rPr>
                      <w:rFonts w:hint="eastAsia"/>
                      <w:lang w:val="en-US" w:eastAsia="zh-CN"/>
                    </w:rPr>
                    <w:t>毒性</w:t>
                  </w:r>
                </w:p>
              </w:tc>
              <w:tc>
                <w:tcPr>
                  <w:tcW w:w="668" w:type="dxa"/>
                  <w:vAlign w:val="center"/>
                </w:tcPr>
                <w:p w14:paraId="77D199A8">
                  <w:pPr>
                    <w:pStyle w:val="66"/>
                    <w:rPr>
                      <w:rFonts w:hint="default" w:eastAsia="宋体"/>
                      <w:lang w:val="en-US" w:eastAsia="zh-CN"/>
                    </w:rPr>
                  </w:pPr>
                  <w:r>
                    <w:rPr>
                      <w:rFonts w:hint="eastAsia"/>
                      <w:lang w:val="en-US" w:eastAsia="zh-CN"/>
                    </w:rPr>
                    <w:t>65.066</w:t>
                  </w:r>
                </w:p>
              </w:tc>
              <w:tc>
                <w:tcPr>
                  <w:tcW w:w="506" w:type="dxa"/>
                  <w:vAlign w:val="center"/>
                </w:tcPr>
                <w:p w14:paraId="4EAE4145">
                  <w:pPr>
                    <w:pStyle w:val="66"/>
                    <w:rPr>
                      <w:rFonts w:hint="default" w:eastAsia="宋体"/>
                      <w:lang w:val="en-US" w:eastAsia="zh-CN"/>
                    </w:rPr>
                  </w:pPr>
                  <w:r>
                    <w:rPr>
                      <w:rFonts w:hint="eastAsia"/>
                      <w:lang w:val="en-US" w:eastAsia="zh-CN"/>
                    </w:rPr>
                    <w:t>桶装</w:t>
                  </w:r>
                </w:p>
              </w:tc>
              <w:tc>
                <w:tcPr>
                  <w:tcW w:w="804" w:type="dxa"/>
                  <w:vMerge w:val="continue"/>
                  <w:vAlign w:val="center"/>
                </w:tcPr>
                <w:p w14:paraId="76A041CA">
                  <w:pPr>
                    <w:pStyle w:val="66"/>
                  </w:pPr>
                </w:p>
              </w:tc>
              <w:tc>
                <w:tcPr>
                  <w:tcW w:w="649" w:type="dxa"/>
                  <w:vAlign w:val="center"/>
                </w:tcPr>
                <w:p w14:paraId="02E4F445">
                  <w:pPr>
                    <w:pStyle w:val="66"/>
                    <w:rPr>
                      <w:rFonts w:hint="default" w:eastAsia="宋体"/>
                      <w:lang w:val="en-US" w:eastAsia="zh-CN"/>
                    </w:rPr>
                  </w:pPr>
                  <w:r>
                    <w:rPr>
                      <w:rFonts w:hint="eastAsia"/>
                      <w:lang w:val="en-US" w:eastAsia="zh-CN"/>
                    </w:rPr>
                    <w:t>65.066</w:t>
                  </w:r>
                </w:p>
              </w:tc>
              <w:tc>
                <w:tcPr>
                  <w:tcW w:w="554" w:type="dxa"/>
                  <w:vMerge w:val="continue"/>
                  <w:vAlign w:val="center"/>
                </w:tcPr>
                <w:p w14:paraId="31B302EE">
                  <w:pPr>
                    <w:pStyle w:val="66"/>
                  </w:pPr>
                </w:p>
              </w:tc>
            </w:tr>
            <w:tr w14:paraId="4356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8" w:type="dxa"/>
                  <w:vAlign w:val="center"/>
                </w:tcPr>
                <w:p w14:paraId="272ADCB6">
                  <w:pPr>
                    <w:pStyle w:val="66"/>
                    <w:rPr>
                      <w:rFonts w:hint="default" w:eastAsia="宋体"/>
                      <w:lang w:val="en-US" w:eastAsia="zh-CN"/>
                    </w:rPr>
                  </w:pPr>
                  <w:r>
                    <w:rPr>
                      <w:rFonts w:hint="eastAsia"/>
                      <w:lang w:val="en-US" w:eastAsia="zh-CN"/>
                    </w:rPr>
                    <w:t>17</w:t>
                  </w:r>
                </w:p>
              </w:tc>
              <w:tc>
                <w:tcPr>
                  <w:tcW w:w="696" w:type="dxa"/>
                  <w:vAlign w:val="center"/>
                </w:tcPr>
                <w:p w14:paraId="2FBE21BC">
                  <w:pPr>
                    <w:pStyle w:val="66"/>
                    <w:rPr>
                      <w:rFonts w:hint="default" w:eastAsia="宋体"/>
                      <w:lang w:val="en-US" w:eastAsia="zh-CN"/>
                    </w:rPr>
                  </w:pPr>
                  <w:r>
                    <w:rPr>
                      <w:rFonts w:hint="eastAsia"/>
                      <w:lang w:val="en-US" w:eastAsia="zh-CN"/>
                    </w:rPr>
                    <w:t>废气治理</w:t>
                  </w:r>
                </w:p>
              </w:tc>
              <w:tc>
                <w:tcPr>
                  <w:tcW w:w="1316" w:type="dxa"/>
                  <w:vAlign w:val="center"/>
                </w:tcPr>
                <w:p w14:paraId="764102E8">
                  <w:pPr>
                    <w:pStyle w:val="66"/>
                    <w:rPr>
                      <w:rFonts w:hint="default" w:eastAsia="宋体"/>
                      <w:lang w:val="en-US" w:eastAsia="zh-CN"/>
                    </w:rPr>
                  </w:pPr>
                  <w:r>
                    <w:rPr>
                      <w:rFonts w:hint="eastAsia"/>
                      <w:lang w:val="en-US" w:eastAsia="zh-CN"/>
                    </w:rPr>
                    <w:t>废活性炭</w:t>
                  </w:r>
                </w:p>
              </w:tc>
              <w:tc>
                <w:tcPr>
                  <w:tcW w:w="365" w:type="dxa"/>
                  <w:vMerge w:val="continue"/>
                  <w:vAlign w:val="center"/>
                </w:tcPr>
                <w:p w14:paraId="06B6E831">
                  <w:pPr>
                    <w:pStyle w:val="66"/>
                  </w:pPr>
                </w:p>
              </w:tc>
              <w:tc>
                <w:tcPr>
                  <w:tcW w:w="684" w:type="dxa"/>
                  <w:vAlign w:val="center"/>
                </w:tcPr>
                <w:p w14:paraId="36A3FDB0">
                  <w:pPr>
                    <w:pStyle w:val="66"/>
                    <w:rPr>
                      <w:rFonts w:hint="eastAsia"/>
                    </w:rPr>
                  </w:pPr>
                  <w:r>
                    <w:rPr>
                      <w:rFonts w:hint="eastAsia"/>
                      <w:lang w:val="en-US" w:eastAsia="zh-CN"/>
                    </w:rPr>
                    <w:t>900-039-49</w:t>
                  </w:r>
                </w:p>
              </w:tc>
              <w:tc>
                <w:tcPr>
                  <w:tcW w:w="616" w:type="dxa"/>
                  <w:vAlign w:val="center"/>
                </w:tcPr>
                <w:p w14:paraId="763752A8">
                  <w:pPr>
                    <w:pStyle w:val="66"/>
                    <w:rPr>
                      <w:rFonts w:hint="eastAsia"/>
                    </w:rPr>
                  </w:pPr>
                  <w:r>
                    <w:rPr>
                      <w:rFonts w:hint="eastAsia"/>
                      <w:lang w:val="en-US" w:eastAsia="zh-CN"/>
                    </w:rPr>
                    <w:t>废活性炭</w:t>
                  </w:r>
                </w:p>
              </w:tc>
              <w:tc>
                <w:tcPr>
                  <w:tcW w:w="506" w:type="dxa"/>
                  <w:vAlign w:val="center"/>
                </w:tcPr>
                <w:p w14:paraId="30330462">
                  <w:pPr>
                    <w:pStyle w:val="66"/>
                    <w:rPr>
                      <w:rFonts w:hint="default" w:eastAsia="宋体"/>
                      <w:lang w:val="en-US" w:eastAsia="zh-CN"/>
                    </w:rPr>
                  </w:pPr>
                  <w:r>
                    <w:rPr>
                      <w:rFonts w:hint="eastAsia"/>
                      <w:lang w:val="en-US" w:eastAsia="zh-CN"/>
                    </w:rPr>
                    <w:t>固</w:t>
                  </w:r>
                </w:p>
              </w:tc>
              <w:tc>
                <w:tcPr>
                  <w:tcW w:w="521" w:type="dxa"/>
                  <w:vAlign w:val="center"/>
                </w:tcPr>
                <w:p w14:paraId="431565B0">
                  <w:pPr>
                    <w:pStyle w:val="66"/>
                    <w:rPr>
                      <w:rFonts w:hint="eastAsia" w:eastAsia="宋体"/>
                      <w:lang w:val="en-US" w:eastAsia="zh-CN"/>
                    </w:rPr>
                  </w:pPr>
                  <w:r>
                    <w:rPr>
                      <w:rFonts w:hint="eastAsia"/>
                      <w:lang w:val="en-US" w:eastAsia="zh-CN"/>
                    </w:rPr>
                    <w:t>毒性</w:t>
                  </w:r>
                </w:p>
              </w:tc>
              <w:tc>
                <w:tcPr>
                  <w:tcW w:w="668" w:type="dxa"/>
                  <w:vAlign w:val="center"/>
                </w:tcPr>
                <w:p w14:paraId="6A1D91EE">
                  <w:pPr>
                    <w:pStyle w:val="66"/>
                    <w:rPr>
                      <w:rFonts w:hint="default" w:eastAsia="宋体"/>
                      <w:lang w:val="en-US" w:eastAsia="zh-CN"/>
                    </w:rPr>
                  </w:pPr>
                  <w:r>
                    <w:rPr>
                      <w:rFonts w:hint="eastAsia"/>
                      <w:lang w:val="en-US" w:eastAsia="zh-CN"/>
                    </w:rPr>
                    <w:t>18.26</w:t>
                  </w:r>
                </w:p>
              </w:tc>
              <w:tc>
                <w:tcPr>
                  <w:tcW w:w="506" w:type="dxa"/>
                  <w:vAlign w:val="center"/>
                </w:tcPr>
                <w:p w14:paraId="57622C5B">
                  <w:pPr>
                    <w:pStyle w:val="66"/>
                    <w:rPr>
                      <w:rFonts w:hint="eastAsia" w:eastAsia="宋体"/>
                      <w:lang w:val="en-US" w:eastAsia="zh-CN"/>
                    </w:rPr>
                  </w:pPr>
                  <w:r>
                    <w:rPr>
                      <w:rFonts w:hint="eastAsia"/>
                      <w:lang w:val="en-US" w:eastAsia="zh-CN"/>
                    </w:rPr>
                    <w:t>桶装</w:t>
                  </w:r>
                </w:p>
              </w:tc>
              <w:tc>
                <w:tcPr>
                  <w:tcW w:w="804" w:type="dxa"/>
                  <w:vMerge w:val="continue"/>
                  <w:vAlign w:val="center"/>
                </w:tcPr>
                <w:p w14:paraId="6F1178E0">
                  <w:pPr>
                    <w:pStyle w:val="66"/>
                  </w:pPr>
                </w:p>
              </w:tc>
              <w:tc>
                <w:tcPr>
                  <w:tcW w:w="649" w:type="dxa"/>
                  <w:vAlign w:val="center"/>
                </w:tcPr>
                <w:p w14:paraId="2A7B25D4">
                  <w:pPr>
                    <w:pStyle w:val="66"/>
                    <w:rPr>
                      <w:rFonts w:hint="default" w:eastAsia="宋体"/>
                      <w:lang w:val="en-US" w:eastAsia="zh-CN"/>
                    </w:rPr>
                  </w:pPr>
                  <w:r>
                    <w:rPr>
                      <w:rFonts w:hint="eastAsia"/>
                      <w:lang w:val="en-US" w:eastAsia="zh-CN"/>
                    </w:rPr>
                    <w:t>18.26</w:t>
                  </w:r>
                </w:p>
              </w:tc>
              <w:tc>
                <w:tcPr>
                  <w:tcW w:w="554" w:type="dxa"/>
                  <w:vMerge w:val="continue"/>
                  <w:vAlign w:val="center"/>
                </w:tcPr>
                <w:p w14:paraId="4C35E77C">
                  <w:pPr>
                    <w:pStyle w:val="66"/>
                  </w:pPr>
                </w:p>
              </w:tc>
            </w:tr>
          </w:tbl>
          <w:p w14:paraId="1301739F">
            <w:pPr>
              <w:spacing w:before="277" w:line="221" w:lineRule="auto"/>
              <w:jc w:val="center"/>
              <w:rPr>
                <w:rFonts w:ascii="宋体" w:hAnsi="宋体" w:eastAsia="宋体" w:cs="宋体"/>
                <w:b/>
                <w:bCs/>
                <w:spacing w:val="6"/>
                <w:szCs w:val="21"/>
              </w:rPr>
            </w:pPr>
            <w:r>
              <w:rPr>
                <w:rFonts w:ascii="宋体" w:hAnsi="宋体" w:eastAsia="宋体" w:cs="宋体"/>
                <w:b/>
                <w:bCs/>
                <w:spacing w:val="6"/>
                <w:szCs w:val="21"/>
              </w:rPr>
              <w:t>表</w:t>
            </w:r>
            <w:r>
              <w:rPr>
                <w:rFonts w:ascii="Times New Roman" w:hAnsi="Times New Roman" w:eastAsia="Times New Roman" w:cs="Times New Roman"/>
                <w:b/>
                <w:bCs/>
                <w:spacing w:val="6"/>
                <w:szCs w:val="21"/>
              </w:rPr>
              <w:t>4-2</w:t>
            </w:r>
            <w:r>
              <w:rPr>
                <w:rFonts w:hint="eastAsia" w:ascii="Times New Roman" w:hAnsi="Times New Roman" w:eastAsia="宋体" w:cs="Times New Roman"/>
                <w:b/>
                <w:bCs/>
                <w:spacing w:val="6"/>
                <w:szCs w:val="21"/>
                <w:lang w:val="en-US" w:eastAsia="zh-CN"/>
              </w:rPr>
              <w:t>9</w:t>
            </w:r>
            <w:r>
              <w:rPr>
                <w:rFonts w:ascii="Times New Roman" w:hAnsi="Times New Roman" w:eastAsia="Times New Roman" w:cs="Times New Roman"/>
                <w:b/>
                <w:bCs/>
                <w:spacing w:val="6"/>
                <w:szCs w:val="21"/>
              </w:rPr>
              <w:t xml:space="preserve"> </w:t>
            </w:r>
            <w:r>
              <w:rPr>
                <w:rFonts w:hint="eastAsia" w:ascii="Times New Roman" w:hAnsi="Times New Roman" w:eastAsia="宋体" w:cs="Times New Roman"/>
                <w:b/>
                <w:bCs/>
                <w:spacing w:val="6"/>
                <w:szCs w:val="21"/>
                <w:lang w:eastAsia="zh-CN"/>
              </w:rPr>
              <w:t>项目</w:t>
            </w:r>
            <w:r>
              <w:rPr>
                <w:rFonts w:ascii="宋体" w:hAnsi="宋体" w:eastAsia="宋体" w:cs="宋体"/>
                <w:b/>
                <w:bCs/>
                <w:spacing w:val="6"/>
                <w:szCs w:val="21"/>
              </w:rPr>
              <w:t>危险废物汇总表</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903"/>
              <w:gridCol w:w="808"/>
              <w:gridCol w:w="805"/>
              <w:gridCol w:w="824"/>
              <w:gridCol w:w="596"/>
              <w:gridCol w:w="596"/>
              <w:gridCol w:w="596"/>
              <w:gridCol w:w="596"/>
              <w:gridCol w:w="596"/>
              <w:gridCol w:w="646"/>
              <w:gridCol w:w="416"/>
            </w:tblGrid>
            <w:tr w14:paraId="2C98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613" w:type="dxa"/>
                  <w:vAlign w:val="center"/>
                </w:tcPr>
                <w:p w14:paraId="1586E323">
                  <w:pPr>
                    <w:pStyle w:val="66"/>
                  </w:pPr>
                  <w:r>
                    <w:rPr>
                      <w:rFonts w:hint="eastAsia"/>
                    </w:rPr>
                    <w:t>序号</w:t>
                  </w:r>
                </w:p>
              </w:tc>
              <w:tc>
                <w:tcPr>
                  <w:tcW w:w="927" w:type="dxa"/>
                  <w:vAlign w:val="center"/>
                </w:tcPr>
                <w:p w14:paraId="72C46657">
                  <w:pPr>
                    <w:pStyle w:val="66"/>
                  </w:pPr>
                  <w:r>
                    <w:rPr>
                      <w:rFonts w:hint="eastAsia"/>
                    </w:rPr>
                    <w:t>危险废物名称</w:t>
                  </w:r>
                </w:p>
              </w:tc>
              <w:tc>
                <w:tcPr>
                  <w:tcW w:w="830" w:type="dxa"/>
                  <w:vAlign w:val="center"/>
                </w:tcPr>
                <w:p w14:paraId="73971362">
                  <w:pPr>
                    <w:pStyle w:val="66"/>
                  </w:pPr>
                  <w:r>
                    <w:rPr>
                      <w:rFonts w:hint="eastAsia"/>
                    </w:rPr>
                    <w:t>危险废物类别</w:t>
                  </w:r>
                </w:p>
              </w:tc>
              <w:tc>
                <w:tcPr>
                  <w:tcW w:w="827" w:type="dxa"/>
                  <w:vAlign w:val="center"/>
                </w:tcPr>
                <w:p w14:paraId="05CF9981">
                  <w:pPr>
                    <w:pStyle w:val="66"/>
                  </w:pPr>
                  <w:r>
                    <w:rPr>
                      <w:rFonts w:hint="eastAsia"/>
                    </w:rPr>
                    <w:t>危险废物代码</w:t>
                  </w:r>
                </w:p>
              </w:tc>
              <w:tc>
                <w:tcPr>
                  <w:tcW w:w="846" w:type="dxa"/>
                  <w:vAlign w:val="center"/>
                </w:tcPr>
                <w:p w14:paraId="0840A9EE">
                  <w:pPr>
                    <w:pStyle w:val="66"/>
                  </w:pPr>
                  <w:r>
                    <w:rPr>
                      <w:rFonts w:hint="eastAsia"/>
                    </w:rPr>
                    <w:t>产生量（t/a）</w:t>
                  </w:r>
                </w:p>
              </w:tc>
              <w:tc>
                <w:tcPr>
                  <w:tcW w:w="612" w:type="dxa"/>
                  <w:vAlign w:val="center"/>
                </w:tcPr>
                <w:p w14:paraId="33C3CE8D">
                  <w:pPr>
                    <w:pStyle w:val="66"/>
                  </w:pPr>
                  <w:r>
                    <w:rPr>
                      <w:rFonts w:hint="eastAsia"/>
                    </w:rPr>
                    <w:t>产生工序及装置</w:t>
                  </w:r>
                </w:p>
              </w:tc>
              <w:tc>
                <w:tcPr>
                  <w:tcW w:w="612" w:type="dxa"/>
                  <w:vAlign w:val="center"/>
                </w:tcPr>
                <w:p w14:paraId="79D7CED0">
                  <w:pPr>
                    <w:pStyle w:val="66"/>
                  </w:pPr>
                  <w:r>
                    <w:rPr>
                      <w:rFonts w:hint="eastAsia"/>
                    </w:rPr>
                    <w:t>形态</w:t>
                  </w:r>
                </w:p>
              </w:tc>
              <w:tc>
                <w:tcPr>
                  <w:tcW w:w="612" w:type="dxa"/>
                  <w:vAlign w:val="center"/>
                </w:tcPr>
                <w:p w14:paraId="6725E85D">
                  <w:pPr>
                    <w:pStyle w:val="66"/>
                  </w:pPr>
                  <w:r>
                    <w:rPr>
                      <w:rFonts w:hint="eastAsia"/>
                    </w:rPr>
                    <w:t>主要成分</w:t>
                  </w:r>
                </w:p>
              </w:tc>
              <w:tc>
                <w:tcPr>
                  <w:tcW w:w="612" w:type="dxa"/>
                  <w:vAlign w:val="center"/>
                </w:tcPr>
                <w:p w14:paraId="345019B8">
                  <w:pPr>
                    <w:pStyle w:val="66"/>
                  </w:pPr>
                  <w:r>
                    <w:rPr>
                      <w:rFonts w:hint="eastAsia"/>
                    </w:rPr>
                    <w:t>有害成分</w:t>
                  </w:r>
                </w:p>
              </w:tc>
              <w:tc>
                <w:tcPr>
                  <w:tcW w:w="612" w:type="dxa"/>
                  <w:vAlign w:val="center"/>
                </w:tcPr>
                <w:p w14:paraId="7FF76AD3">
                  <w:pPr>
                    <w:pStyle w:val="66"/>
                  </w:pPr>
                  <w:r>
                    <w:rPr>
                      <w:rFonts w:hint="eastAsia"/>
                    </w:rPr>
                    <w:t>产废周期</w:t>
                  </w:r>
                </w:p>
              </w:tc>
              <w:tc>
                <w:tcPr>
                  <w:tcW w:w="663" w:type="dxa"/>
                  <w:vAlign w:val="center"/>
                </w:tcPr>
                <w:p w14:paraId="51CA2FB1">
                  <w:pPr>
                    <w:pStyle w:val="66"/>
                  </w:pPr>
                  <w:r>
                    <w:rPr>
                      <w:rFonts w:hint="eastAsia"/>
                    </w:rPr>
                    <w:t>危险</w:t>
                  </w:r>
                </w:p>
                <w:p w14:paraId="549469B3">
                  <w:pPr>
                    <w:pStyle w:val="66"/>
                  </w:pPr>
                  <w:r>
                    <w:rPr>
                      <w:rFonts w:hint="eastAsia"/>
                    </w:rPr>
                    <w:t>特性</w:t>
                  </w:r>
                </w:p>
              </w:tc>
              <w:tc>
                <w:tcPr>
                  <w:tcW w:w="427" w:type="dxa"/>
                  <w:vAlign w:val="center"/>
                </w:tcPr>
                <w:p w14:paraId="5CA7CE0B">
                  <w:pPr>
                    <w:pStyle w:val="66"/>
                  </w:pPr>
                  <w:r>
                    <w:rPr>
                      <w:rFonts w:hint="eastAsia"/>
                    </w:rPr>
                    <w:t>污染防治措施</w:t>
                  </w:r>
                </w:p>
              </w:tc>
            </w:tr>
            <w:tr w14:paraId="4C2B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6E2421C1">
                  <w:pPr>
                    <w:pStyle w:val="66"/>
                  </w:pPr>
                  <w:r>
                    <w:t>1</w:t>
                  </w:r>
                </w:p>
              </w:tc>
              <w:tc>
                <w:tcPr>
                  <w:tcW w:w="927" w:type="dxa"/>
                  <w:vAlign w:val="center"/>
                </w:tcPr>
                <w:p w14:paraId="7B2FCA97">
                  <w:pPr>
                    <w:pStyle w:val="66"/>
                  </w:pPr>
                  <w:r>
                    <w:rPr>
                      <w:rFonts w:hint="eastAsia"/>
                    </w:rPr>
                    <w:t>废机油</w:t>
                  </w:r>
                </w:p>
              </w:tc>
              <w:tc>
                <w:tcPr>
                  <w:tcW w:w="830" w:type="dxa"/>
                  <w:vAlign w:val="center"/>
                </w:tcPr>
                <w:p w14:paraId="737C0F31">
                  <w:pPr>
                    <w:pStyle w:val="66"/>
                  </w:pPr>
                  <w:r>
                    <w:rPr>
                      <w:rFonts w:hint="eastAsia"/>
                    </w:rPr>
                    <w:t>HW08</w:t>
                  </w:r>
                </w:p>
              </w:tc>
              <w:tc>
                <w:tcPr>
                  <w:tcW w:w="827" w:type="dxa"/>
                  <w:vAlign w:val="center"/>
                </w:tcPr>
                <w:p w14:paraId="795FD33E">
                  <w:pPr>
                    <w:pStyle w:val="66"/>
                  </w:pPr>
                  <w:r>
                    <w:rPr>
                      <w:rFonts w:hint="eastAsia"/>
                    </w:rPr>
                    <w:t>900-</w:t>
                  </w:r>
                  <w:r>
                    <w:t>249</w:t>
                  </w:r>
                  <w:r>
                    <w:rPr>
                      <w:rFonts w:hint="eastAsia"/>
                    </w:rPr>
                    <w:t>-08</w:t>
                  </w:r>
                </w:p>
              </w:tc>
              <w:tc>
                <w:tcPr>
                  <w:tcW w:w="846" w:type="dxa"/>
                  <w:vAlign w:val="center"/>
                </w:tcPr>
                <w:p w14:paraId="6C37E8E2">
                  <w:pPr>
                    <w:pStyle w:val="66"/>
                  </w:pPr>
                  <w:r>
                    <w:rPr>
                      <w:rFonts w:hint="eastAsia"/>
                    </w:rPr>
                    <w:t>0.02</w:t>
                  </w:r>
                </w:p>
              </w:tc>
              <w:tc>
                <w:tcPr>
                  <w:tcW w:w="612" w:type="dxa"/>
                  <w:vAlign w:val="center"/>
                </w:tcPr>
                <w:p w14:paraId="37EE0D94">
                  <w:pPr>
                    <w:pStyle w:val="66"/>
                  </w:pPr>
                  <w:r>
                    <w:rPr>
                      <w:rFonts w:hint="eastAsia"/>
                    </w:rPr>
                    <w:t>设备维护保养</w:t>
                  </w:r>
                </w:p>
              </w:tc>
              <w:tc>
                <w:tcPr>
                  <w:tcW w:w="612" w:type="dxa"/>
                  <w:vAlign w:val="center"/>
                </w:tcPr>
                <w:p w14:paraId="428BBAC3">
                  <w:pPr>
                    <w:pStyle w:val="66"/>
                  </w:pPr>
                  <w:r>
                    <w:rPr>
                      <w:rFonts w:hint="eastAsia"/>
                    </w:rPr>
                    <w:t>液态</w:t>
                  </w:r>
                </w:p>
              </w:tc>
              <w:tc>
                <w:tcPr>
                  <w:tcW w:w="612" w:type="dxa"/>
                  <w:vAlign w:val="center"/>
                </w:tcPr>
                <w:p w14:paraId="05889612">
                  <w:pPr>
                    <w:pStyle w:val="66"/>
                  </w:pPr>
                  <w:r>
                    <w:rPr>
                      <w:rFonts w:hint="eastAsia"/>
                    </w:rPr>
                    <w:t>废机油</w:t>
                  </w:r>
                </w:p>
              </w:tc>
              <w:tc>
                <w:tcPr>
                  <w:tcW w:w="612" w:type="dxa"/>
                  <w:vAlign w:val="center"/>
                </w:tcPr>
                <w:p w14:paraId="63F1F219">
                  <w:pPr>
                    <w:pStyle w:val="66"/>
                  </w:pPr>
                  <w:r>
                    <w:rPr>
                      <w:rFonts w:hint="eastAsia"/>
                    </w:rPr>
                    <w:t>废机油</w:t>
                  </w:r>
                </w:p>
              </w:tc>
              <w:tc>
                <w:tcPr>
                  <w:tcW w:w="612" w:type="dxa"/>
                  <w:vAlign w:val="center"/>
                </w:tcPr>
                <w:p w14:paraId="53E1A6D0">
                  <w:pPr>
                    <w:pStyle w:val="66"/>
                  </w:pPr>
                  <w:r>
                    <w:rPr>
                      <w:rFonts w:hint="eastAsia"/>
                    </w:rPr>
                    <w:t>每年</w:t>
                  </w:r>
                </w:p>
              </w:tc>
              <w:tc>
                <w:tcPr>
                  <w:tcW w:w="663" w:type="dxa"/>
                  <w:vAlign w:val="center"/>
                </w:tcPr>
                <w:p w14:paraId="12C94B76">
                  <w:pPr>
                    <w:pStyle w:val="66"/>
                  </w:pPr>
                  <w:r>
                    <w:t>毒性</w:t>
                  </w:r>
                </w:p>
              </w:tc>
              <w:tc>
                <w:tcPr>
                  <w:tcW w:w="427" w:type="dxa"/>
                  <w:vMerge w:val="restart"/>
                  <w:vAlign w:val="center"/>
                </w:tcPr>
                <w:p w14:paraId="4F60B5CC">
                  <w:pPr>
                    <w:pStyle w:val="66"/>
                  </w:pPr>
                  <w:r>
                    <w:rPr>
                      <w:rFonts w:hint="eastAsia"/>
                    </w:rPr>
                    <w:t>于危废暂存间密闭暂存</w:t>
                  </w:r>
                </w:p>
              </w:tc>
            </w:tr>
            <w:tr w14:paraId="0288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31901F1F">
                  <w:pPr>
                    <w:pStyle w:val="66"/>
                  </w:pPr>
                  <w:r>
                    <w:t>2</w:t>
                  </w:r>
                </w:p>
              </w:tc>
              <w:tc>
                <w:tcPr>
                  <w:tcW w:w="927" w:type="dxa"/>
                  <w:vAlign w:val="center"/>
                </w:tcPr>
                <w:p w14:paraId="0106A9AE">
                  <w:pPr>
                    <w:pStyle w:val="66"/>
                  </w:pPr>
                  <w:r>
                    <w:rPr>
                      <w:rFonts w:hint="eastAsia"/>
                    </w:rPr>
                    <w:t>危险废包装材料</w:t>
                  </w:r>
                </w:p>
              </w:tc>
              <w:tc>
                <w:tcPr>
                  <w:tcW w:w="830" w:type="dxa"/>
                  <w:vAlign w:val="center"/>
                </w:tcPr>
                <w:p w14:paraId="77A81B46">
                  <w:pPr>
                    <w:pStyle w:val="66"/>
                  </w:pPr>
                  <w:r>
                    <w:t>HW49</w:t>
                  </w:r>
                </w:p>
              </w:tc>
              <w:tc>
                <w:tcPr>
                  <w:tcW w:w="827" w:type="dxa"/>
                  <w:vAlign w:val="center"/>
                </w:tcPr>
                <w:p w14:paraId="072B4CF0">
                  <w:pPr>
                    <w:pStyle w:val="66"/>
                  </w:pPr>
                  <w:r>
                    <w:t>900-041-49</w:t>
                  </w:r>
                </w:p>
              </w:tc>
              <w:tc>
                <w:tcPr>
                  <w:tcW w:w="846" w:type="dxa"/>
                  <w:vAlign w:val="center"/>
                </w:tcPr>
                <w:p w14:paraId="23333F9F">
                  <w:pPr>
                    <w:pStyle w:val="66"/>
                    <w:rPr>
                      <w:rFonts w:hint="eastAsia" w:eastAsia="宋体"/>
                      <w:lang w:eastAsia="zh-CN"/>
                    </w:rPr>
                  </w:pPr>
                  <w:r>
                    <w:rPr>
                      <w:rFonts w:hint="eastAsia"/>
                      <w:lang w:eastAsia="zh-CN"/>
                    </w:rPr>
                    <w:t>0.174</w:t>
                  </w:r>
                </w:p>
              </w:tc>
              <w:tc>
                <w:tcPr>
                  <w:tcW w:w="612" w:type="dxa"/>
                  <w:vAlign w:val="center"/>
                </w:tcPr>
                <w:p w14:paraId="001C8597">
                  <w:pPr>
                    <w:pStyle w:val="66"/>
                  </w:pPr>
                  <w:r>
                    <w:rPr>
                      <w:rFonts w:hint="eastAsia"/>
                    </w:rPr>
                    <w:t>设备维护保养</w:t>
                  </w:r>
                </w:p>
              </w:tc>
              <w:tc>
                <w:tcPr>
                  <w:tcW w:w="612" w:type="dxa"/>
                  <w:vAlign w:val="center"/>
                </w:tcPr>
                <w:p w14:paraId="613DA8A0">
                  <w:pPr>
                    <w:pStyle w:val="66"/>
                  </w:pPr>
                  <w:r>
                    <w:t>固态</w:t>
                  </w:r>
                </w:p>
              </w:tc>
              <w:tc>
                <w:tcPr>
                  <w:tcW w:w="612" w:type="dxa"/>
                  <w:vAlign w:val="center"/>
                </w:tcPr>
                <w:p w14:paraId="157AF9DD">
                  <w:pPr>
                    <w:pStyle w:val="66"/>
                  </w:pPr>
                  <w:r>
                    <w:t>废包装材料</w:t>
                  </w:r>
                </w:p>
              </w:tc>
              <w:tc>
                <w:tcPr>
                  <w:tcW w:w="612" w:type="dxa"/>
                  <w:vAlign w:val="center"/>
                </w:tcPr>
                <w:p w14:paraId="29D05F30">
                  <w:pPr>
                    <w:pStyle w:val="66"/>
                  </w:pPr>
                  <w:r>
                    <w:t>废包装材料</w:t>
                  </w:r>
                </w:p>
              </w:tc>
              <w:tc>
                <w:tcPr>
                  <w:tcW w:w="612" w:type="dxa"/>
                  <w:vAlign w:val="center"/>
                </w:tcPr>
                <w:p w14:paraId="39E08E5A">
                  <w:pPr>
                    <w:pStyle w:val="66"/>
                  </w:pPr>
                  <w:r>
                    <w:t>每月</w:t>
                  </w:r>
                </w:p>
              </w:tc>
              <w:tc>
                <w:tcPr>
                  <w:tcW w:w="663" w:type="dxa"/>
                  <w:vAlign w:val="center"/>
                </w:tcPr>
                <w:p w14:paraId="76C1EB55">
                  <w:pPr>
                    <w:pStyle w:val="66"/>
                  </w:pPr>
                  <w:r>
                    <w:rPr>
                      <w:rFonts w:hint="eastAsia"/>
                    </w:rPr>
                    <w:t>毒性</w:t>
                  </w:r>
                </w:p>
              </w:tc>
              <w:tc>
                <w:tcPr>
                  <w:tcW w:w="427" w:type="dxa"/>
                  <w:vMerge w:val="continue"/>
                  <w:vAlign w:val="center"/>
                </w:tcPr>
                <w:p w14:paraId="086E1784">
                  <w:pPr>
                    <w:pStyle w:val="66"/>
                  </w:pPr>
                </w:p>
              </w:tc>
            </w:tr>
            <w:tr w14:paraId="04D1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54ED9EC6">
                  <w:pPr>
                    <w:pStyle w:val="66"/>
                  </w:pPr>
                  <w:r>
                    <w:t>3</w:t>
                  </w:r>
                </w:p>
              </w:tc>
              <w:tc>
                <w:tcPr>
                  <w:tcW w:w="927" w:type="dxa"/>
                  <w:vAlign w:val="center"/>
                </w:tcPr>
                <w:p w14:paraId="3AF0E76D">
                  <w:pPr>
                    <w:pStyle w:val="66"/>
                  </w:pPr>
                  <w:r>
                    <w:rPr>
                      <w:rFonts w:hint="eastAsia"/>
                    </w:rPr>
                    <w:t>废含油抹布及手套</w:t>
                  </w:r>
                </w:p>
              </w:tc>
              <w:tc>
                <w:tcPr>
                  <w:tcW w:w="830" w:type="dxa"/>
                  <w:vAlign w:val="center"/>
                </w:tcPr>
                <w:p w14:paraId="46EB14BE">
                  <w:pPr>
                    <w:pStyle w:val="66"/>
                  </w:pPr>
                  <w:r>
                    <w:t>HW49</w:t>
                  </w:r>
                </w:p>
              </w:tc>
              <w:tc>
                <w:tcPr>
                  <w:tcW w:w="827" w:type="dxa"/>
                  <w:vAlign w:val="center"/>
                </w:tcPr>
                <w:p w14:paraId="43879630">
                  <w:pPr>
                    <w:pStyle w:val="66"/>
                  </w:pPr>
                  <w:r>
                    <w:t>900-041-49</w:t>
                  </w:r>
                </w:p>
              </w:tc>
              <w:tc>
                <w:tcPr>
                  <w:tcW w:w="846" w:type="dxa"/>
                  <w:vAlign w:val="center"/>
                </w:tcPr>
                <w:p w14:paraId="43998F1F">
                  <w:pPr>
                    <w:pStyle w:val="66"/>
                  </w:pPr>
                  <w:r>
                    <w:rPr>
                      <w:rFonts w:hint="eastAsia"/>
                    </w:rPr>
                    <w:t>0</w:t>
                  </w:r>
                  <w:r>
                    <w:t>.02</w:t>
                  </w:r>
                </w:p>
              </w:tc>
              <w:tc>
                <w:tcPr>
                  <w:tcW w:w="612" w:type="dxa"/>
                  <w:vAlign w:val="center"/>
                </w:tcPr>
                <w:p w14:paraId="75147060">
                  <w:pPr>
                    <w:pStyle w:val="66"/>
                  </w:pPr>
                  <w:r>
                    <w:rPr>
                      <w:rFonts w:hint="eastAsia"/>
                    </w:rPr>
                    <w:t>设备维护保养</w:t>
                  </w:r>
                </w:p>
              </w:tc>
              <w:tc>
                <w:tcPr>
                  <w:tcW w:w="612" w:type="dxa"/>
                  <w:vAlign w:val="center"/>
                </w:tcPr>
                <w:p w14:paraId="2C280418">
                  <w:pPr>
                    <w:pStyle w:val="66"/>
                  </w:pPr>
                  <w:r>
                    <w:rPr>
                      <w:rFonts w:hint="eastAsia"/>
                    </w:rPr>
                    <w:t>固态</w:t>
                  </w:r>
                </w:p>
              </w:tc>
              <w:tc>
                <w:tcPr>
                  <w:tcW w:w="612" w:type="dxa"/>
                  <w:vAlign w:val="center"/>
                </w:tcPr>
                <w:p w14:paraId="1631D1E1">
                  <w:pPr>
                    <w:pStyle w:val="66"/>
                  </w:pPr>
                  <w:r>
                    <w:rPr>
                      <w:rFonts w:hint="eastAsia"/>
                    </w:rPr>
                    <w:t>废含油抹布及手套</w:t>
                  </w:r>
                </w:p>
              </w:tc>
              <w:tc>
                <w:tcPr>
                  <w:tcW w:w="612" w:type="dxa"/>
                  <w:vAlign w:val="center"/>
                </w:tcPr>
                <w:p w14:paraId="104D7151">
                  <w:pPr>
                    <w:pStyle w:val="66"/>
                  </w:pPr>
                  <w:r>
                    <w:rPr>
                      <w:rFonts w:hint="eastAsia"/>
                    </w:rPr>
                    <w:t>废含油抹布及手套</w:t>
                  </w:r>
                </w:p>
              </w:tc>
              <w:tc>
                <w:tcPr>
                  <w:tcW w:w="612" w:type="dxa"/>
                  <w:vAlign w:val="center"/>
                </w:tcPr>
                <w:p w14:paraId="0600FC55">
                  <w:pPr>
                    <w:pStyle w:val="66"/>
                  </w:pPr>
                  <w:r>
                    <w:t>每年</w:t>
                  </w:r>
                </w:p>
              </w:tc>
              <w:tc>
                <w:tcPr>
                  <w:tcW w:w="663" w:type="dxa"/>
                  <w:vAlign w:val="center"/>
                </w:tcPr>
                <w:p w14:paraId="6EDCFC6D">
                  <w:pPr>
                    <w:pStyle w:val="66"/>
                  </w:pPr>
                  <w:r>
                    <w:rPr>
                      <w:rFonts w:hint="eastAsia"/>
                    </w:rPr>
                    <w:t>毒性</w:t>
                  </w:r>
                </w:p>
              </w:tc>
              <w:tc>
                <w:tcPr>
                  <w:tcW w:w="427" w:type="dxa"/>
                  <w:vMerge w:val="continue"/>
                  <w:vAlign w:val="center"/>
                </w:tcPr>
                <w:p w14:paraId="2ECCE09A">
                  <w:pPr>
                    <w:pStyle w:val="66"/>
                  </w:pPr>
                </w:p>
              </w:tc>
            </w:tr>
            <w:tr w14:paraId="4CDD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338D0E46">
                  <w:pPr>
                    <w:pStyle w:val="66"/>
                  </w:pPr>
                  <w:r>
                    <w:rPr>
                      <w:rFonts w:hint="eastAsia"/>
                    </w:rPr>
                    <w:t>4</w:t>
                  </w:r>
                </w:p>
              </w:tc>
              <w:tc>
                <w:tcPr>
                  <w:tcW w:w="927" w:type="dxa"/>
                  <w:vAlign w:val="center"/>
                </w:tcPr>
                <w:p w14:paraId="45697403">
                  <w:pPr>
                    <w:pStyle w:val="66"/>
                  </w:pPr>
                  <w:r>
                    <w:rPr>
                      <w:rFonts w:hint="eastAsia"/>
                    </w:rPr>
                    <w:t>废切削液</w:t>
                  </w:r>
                </w:p>
              </w:tc>
              <w:tc>
                <w:tcPr>
                  <w:tcW w:w="830" w:type="dxa"/>
                  <w:vAlign w:val="center"/>
                </w:tcPr>
                <w:p w14:paraId="79947619">
                  <w:pPr>
                    <w:pStyle w:val="66"/>
                  </w:pPr>
                  <w:r>
                    <w:t>HW09</w:t>
                  </w:r>
                </w:p>
              </w:tc>
              <w:tc>
                <w:tcPr>
                  <w:tcW w:w="827" w:type="dxa"/>
                  <w:vAlign w:val="center"/>
                </w:tcPr>
                <w:p w14:paraId="4F838335">
                  <w:pPr>
                    <w:pStyle w:val="66"/>
                  </w:pPr>
                  <w:r>
                    <w:t>900-006-09</w:t>
                  </w:r>
                </w:p>
              </w:tc>
              <w:tc>
                <w:tcPr>
                  <w:tcW w:w="846" w:type="dxa"/>
                  <w:vAlign w:val="center"/>
                </w:tcPr>
                <w:p w14:paraId="034D7847">
                  <w:pPr>
                    <w:pStyle w:val="66"/>
                  </w:pPr>
                  <w:r>
                    <w:rPr>
                      <w:rFonts w:hint="eastAsia"/>
                    </w:rPr>
                    <w:t>2</w:t>
                  </w:r>
                </w:p>
              </w:tc>
              <w:tc>
                <w:tcPr>
                  <w:tcW w:w="612" w:type="dxa"/>
                  <w:vAlign w:val="center"/>
                </w:tcPr>
                <w:p w14:paraId="4E0BDE1C">
                  <w:pPr>
                    <w:pStyle w:val="66"/>
                  </w:pPr>
                  <w:r>
                    <w:rPr>
                      <w:rFonts w:hint="eastAsia"/>
                    </w:rPr>
                    <w:t>产品生产</w:t>
                  </w:r>
                </w:p>
              </w:tc>
              <w:tc>
                <w:tcPr>
                  <w:tcW w:w="612" w:type="dxa"/>
                  <w:vAlign w:val="center"/>
                </w:tcPr>
                <w:p w14:paraId="3854B95B">
                  <w:pPr>
                    <w:pStyle w:val="66"/>
                  </w:pPr>
                  <w:r>
                    <w:rPr>
                      <w:rFonts w:hint="eastAsia"/>
                    </w:rPr>
                    <w:t>液态</w:t>
                  </w:r>
                </w:p>
              </w:tc>
              <w:tc>
                <w:tcPr>
                  <w:tcW w:w="612" w:type="dxa"/>
                  <w:vAlign w:val="center"/>
                </w:tcPr>
                <w:p w14:paraId="2557B918">
                  <w:pPr>
                    <w:pStyle w:val="66"/>
                  </w:pPr>
                  <w:r>
                    <w:rPr>
                      <w:rFonts w:hint="eastAsia"/>
                    </w:rPr>
                    <w:t>废切削液</w:t>
                  </w:r>
                </w:p>
              </w:tc>
              <w:tc>
                <w:tcPr>
                  <w:tcW w:w="612" w:type="dxa"/>
                  <w:vAlign w:val="center"/>
                </w:tcPr>
                <w:p w14:paraId="316489D0">
                  <w:pPr>
                    <w:pStyle w:val="66"/>
                  </w:pPr>
                  <w:r>
                    <w:rPr>
                      <w:rFonts w:hint="eastAsia"/>
                    </w:rPr>
                    <w:t>废切削液</w:t>
                  </w:r>
                </w:p>
              </w:tc>
              <w:tc>
                <w:tcPr>
                  <w:tcW w:w="612" w:type="dxa"/>
                  <w:vAlign w:val="center"/>
                </w:tcPr>
                <w:p w14:paraId="7907BDF6">
                  <w:pPr>
                    <w:pStyle w:val="66"/>
                  </w:pPr>
                  <w:r>
                    <w:t>每月</w:t>
                  </w:r>
                </w:p>
              </w:tc>
              <w:tc>
                <w:tcPr>
                  <w:tcW w:w="663" w:type="dxa"/>
                  <w:vAlign w:val="center"/>
                </w:tcPr>
                <w:p w14:paraId="390F788F">
                  <w:pPr>
                    <w:pStyle w:val="66"/>
                  </w:pPr>
                  <w:r>
                    <w:rPr>
                      <w:rFonts w:hint="eastAsia"/>
                    </w:rPr>
                    <w:t>毒性</w:t>
                  </w:r>
                </w:p>
              </w:tc>
              <w:tc>
                <w:tcPr>
                  <w:tcW w:w="427" w:type="dxa"/>
                  <w:vMerge w:val="continue"/>
                  <w:vAlign w:val="center"/>
                </w:tcPr>
                <w:p w14:paraId="2190D8E6">
                  <w:pPr>
                    <w:pStyle w:val="66"/>
                  </w:pPr>
                </w:p>
              </w:tc>
            </w:tr>
            <w:tr w14:paraId="024C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0E3D325F">
                  <w:pPr>
                    <w:pStyle w:val="66"/>
                  </w:pPr>
                  <w:r>
                    <w:rPr>
                      <w:rFonts w:hint="eastAsia"/>
                    </w:rPr>
                    <w:t>5</w:t>
                  </w:r>
                </w:p>
              </w:tc>
              <w:tc>
                <w:tcPr>
                  <w:tcW w:w="927" w:type="dxa"/>
                  <w:vAlign w:val="center"/>
                </w:tcPr>
                <w:p w14:paraId="5CC210EB">
                  <w:pPr>
                    <w:pStyle w:val="66"/>
                  </w:pPr>
                  <w:r>
                    <w:rPr>
                      <w:rFonts w:hint="eastAsia"/>
                    </w:rPr>
                    <w:t>废切削液包装桶</w:t>
                  </w:r>
                </w:p>
              </w:tc>
              <w:tc>
                <w:tcPr>
                  <w:tcW w:w="830" w:type="dxa"/>
                  <w:vAlign w:val="center"/>
                </w:tcPr>
                <w:p w14:paraId="1C10003C">
                  <w:pPr>
                    <w:pStyle w:val="66"/>
                  </w:pPr>
                  <w:r>
                    <w:rPr>
                      <w:rFonts w:hint="eastAsia"/>
                    </w:rPr>
                    <w:t>H</w:t>
                  </w:r>
                  <w:r>
                    <w:t>W49</w:t>
                  </w:r>
                </w:p>
              </w:tc>
              <w:tc>
                <w:tcPr>
                  <w:tcW w:w="827" w:type="dxa"/>
                  <w:vAlign w:val="center"/>
                </w:tcPr>
                <w:p w14:paraId="2CE5B0C0">
                  <w:pPr>
                    <w:pStyle w:val="66"/>
                  </w:pPr>
                  <w:r>
                    <w:rPr>
                      <w:rFonts w:hint="eastAsia"/>
                    </w:rPr>
                    <w:t>9</w:t>
                  </w:r>
                  <w:r>
                    <w:t>00-041-49</w:t>
                  </w:r>
                </w:p>
              </w:tc>
              <w:tc>
                <w:tcPr>
                  <w:tcW w:w="846" w:type="dxa"/>
                  <w:vAlign w:val="center"/>
                </w:tcPr>
                <w:p w14:paraId="02BA7D03">
                  <w:pPr>
                    <w:pStyle w:val="66"/>
                  </w:pPr>
                  <w:r>
                    <w:rPr>
                      <w:rFonts w:hint="eastAsia"/>
                    </w:rPr>
                    <w:t>0</w:t>
                  </w:r>
                  <w:r>
                    <w:t>.04</w:t>
                  </w:r>
                </w:p>
              </w:tc>
              <w:tc>
                <w:tcPr>
                  <w:tcW w:w="612" w:type="dxa"/>
                  <w:vAlign w:val="center"/>
                </w:tcPr>
                <w:p w14:paraId="475A859A">
                  <w:pPr>
                    <w:pStyle w:val="66"/>
                  </w:pPr>
                  <w:r>
                    <w:rPr>
                      <w:rFonts w:hint="eastAsia"/>
                    </w:rPr>
                    <w:t>产品生产</w:t>
                  </w:r>
                </w:p>
              </w:tc>
              <w:tc>
                <w:tcPr>
                  <w:tcW w:w="612" w:type="dxa"/>
                  <w:vAlign w:val="center"/>
                </w:tcPr>
                <w:p w14:paraId="76C4308C">
                  <w:pPr>
                    <w:pStyle w:val="66"/>
                  </w:pPr>
                  <w:r>
                    <w:rPr>
                      <w:rFonts w:hint="eastAsia"/>
                    </w:rPr>
                    <w:t>固态</w:t>
                  </w:r>
                </w:p>
              </w:tc>
              <w:tc>
                <w:tcPr>
                  <w:tcW w:w="612" w:type="dxa"/>
                  <w:vAlign w:val="center"/>
                </w:tcPr>
                <w:p w14:paraId="5F876644">
                  <w:pPr>
                    <w:pStyle w:val="66"/>
                  </w:pPr>
                  <w:r>
                    <w:rPr>
                      <w:rFonts w:hint="eastAsia"/>
                    </w:rPr>
                    <w:t>废切削液包装桶</w:t>
                  </w:r>
                </w:p>
              </w:tc>
              <w:tc>
                <w:tcPr>
                  <w:tcW w:w="612" w:type="dxa"/>
                  <w:vAlign w:val="center"/>
                </w:tcPr>
                <w:p w14:paraId="686B1ED5">
                  <w:pPr>
                    <w:pStyle w:val="66"/>
                  </w:pPr>
                  <w:r>
                    <w:rPr>
                      <w:rFonts w:hint="eastAsia"/>
                    </w:rPr>
                    <w:t>废切削液包装桶</w:t>
                  </w:r>
                </w:p>
              </w:tc>
              <w:tc>
                <w:tcPr>
                  <w:tcW w:w="612" w:type="dxa"/>
                  <w:vAlign w:val="center"/>
                </w:tcPr>
                <w:p w14:paraId="708AD34D">
                  <w:pPr>
                    <w:pStyle w:val="66"/>
                  </w:pPr>
                  <w:r>
                    <w:rPr>
                      <w:rFonts w:hint="eastAsia"/>
                    </w:rPr>
                    <w:t>3个月</w:t>
                  </w:r>
                </w:p>
              </w:tc>
              <w:tc>
                <w:tcPr>
                  <w:tcW w:w="663" w:type="dxa"/>
                  <w:vAlign w:val="center"/>
                </w:tcPr>
                <w:p w14:paraId="18D92FD4">
                  <w:pPr>
                    <w:pStyle w:val="66"/>
                  </w:pPr>
                  <w:r>
                    <w:rPr>
                      <w:rFonts w:hint="eastAsia"/>
                    </w:rPr>
                    <w:t>毒性</w:t>
                  </w:r>
                </w:p>
              </w:tc>
              <w:tc>
                <w:tcPr>
                  <w:tcW w:w="427" w:type="dxa"/>
                  <w:vMerge w:val="continue"/>
                  <w:vAlign w:val="center"/>
                </w:tcPr>
                <w:p w14:paraId="5F0C9F6C">
                  <w:pPr>
                    <w:pStyle w:val="66"/>
                  </w:pPr>
                </w:p>
              </w:tc>
            </w:tr>
            <w:tr w14:paraId="2820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03738DA1">
                  <w:pPr>
                    <w:pStyle w:val="66"/>
                  </w:pPr>
                  <w:r>
                    <w:rPr>
                      <w:rFonts w:hint="eastAsia"/>
                    </w:rPr>
                    <w:t>6</w:t>
                  </w:r>
                </w:p>
              </w:tc>
              <w:tc>
                <w:tcPr>
                  <w:tcW w:w="927" w:type="dxa"/>
                  <w:vAlign w:val="center"/>
                </w:tcPr>
                <w:p w14:paraId="030D0074">
                  <w:pPr>
                    <w:pStyle w:val="66"/>
                  </w:pPr>
                  <w:r>
                    <w:rPr>
                      <w:rFonts w:hint="eastAsia"/>
                    </w:rPr>
                    <w:t>废金属边角料</w:t>
                  </w:r>
                </w:p>
              </w:tc>
              <w:tc>
                <w:tcPr>
                  <w:tcW w:w="830" w:type="dxa"/>
                  <w:vAlign w:val="center"/>
                </w:tcPr>
                <w:p w14:paraId="24D72700">
                  <w:pPr>
                    <w:pStyle w:val="66"/>
                  </w:pPr>
                  <w:r>
                    <w:rPr>
                      <w:rFonts w:hint="eastAsia"/>
                    </w:rPr>
                    <w:t>H</w:t>
                  </w:r>
                  <w:r>
                    <w:t>W08</w:t>
                  </w:r>
                </w:p>
              </w:tc>
              <w:tc>
                <w:tcPr>
                  <w:tcW w:w="827" w:type="dxa"/>
                  <w:vAlign w:val="center"/>
                </w:tcPr>
                <w:p w14:paraId="6D000211">
                  <w:pPr>
                    <w:pStyle w:val="66"/>
                  </w:pPr>
                  <w:r>
                    <w:rPr>
                      <w:rFonts w:hint="eastAsia"/>
                    </w:rPr>
                    <w:t>9</w:t>
                  </w:r>
                  <w:r>
                    <w:t>00-200-08</w:t>
                  </w:r>
                </w:p>
              </w:tc>
              <w:tc>
                <w:tcPr>
                  <w:tcW w:w="846" w:type="dxa"/>
                  <w:vAlign w:val="center"/>
                </w:tcPr>
                <w:p w14:paraId="345C3991">
                  <w:pPr>
                    <w:pStyle w:val="66"/>
                  </w:pPr>
                  <w:r>
                    <w:rPr>
                      <w:rFonts w:hint="eastAsia"/>
                    </w:rPr>
                    <w:t>2</w:t>
                  </w:r>
                  <w:r>
                    <w:t>.0</w:t>
                  </w:r>
                </w:p>
              </w:tc>
              <w:tc>
                <w:tcPr>
                  <w:tcW w:w="612" w:type="dxa"/>
                  <w:vAlign w:val="center"/>
                </w:tcPr>
                <w:p w14:paraId="51193F06">
                  <w:pPr>
                    <w:pStyle w:val="66"/>
                  </w:pPr>
                  <w:r>
                    <w:rPr>
                      <w:rFonts w:hint="eastAsia"/>
                    </w:rPr>
                    <w:t>产品生产</w:t>
                  </w:r>
                </w:p>
              </w:tc>
              <w:tc>
                <w:tcPr>
                  <w:tcW w:w="612" w:type="dxa"/>
                  <w:vAlign w:val="center"/>
                </w:tcPr>
                <w:p w14:paraId="5093B0BB">
                  <w:pPr>
                    <w:pStyle w:val="66"/>
                  </w:pPr>
                  <w:r>
                    <w:rPr>
                      <w:rFonts w:hint="eastAsia"/>
                    </w:rPr>
                    <w:t>固体</w:t>
                  </w:r>
                </w:p>
              </w:tc>
              <w:tc>
                <w:tcPr>
                  <w:tcW w:w="612" w:type="dxa"/>
                  <w:vAlign w:val="center"/>
                </w:tcPr>
                <w:p w14:paraId="4CEFD0D2">
                  <w:pPr>
                    <w:pStyle w:val="66"/>
                  </w:pPr>
                  <w:r>
                    <w:rPr>
                      <w:rFonts w:hint="eastAsia"/>
                    </w:rPr>
                    <w:t>废金属边角料</w:t>
                  </w:r>
                </w:p>
              </w:tc>
              <w:tc>
                <w:tcPr>
                  <w:tcW w:w="612" w:type="dxa"/>
                  <w:vAlign w:val="center"/>
                </w:tcPr>
                <w:p w14:paraId="272AEECB">
                  <w:pPr>
                    <w:pStyle w:val="66"/>
                  </w:pPr>
                  <w:r>
                    <w:rPr>
                      <w:rFonts w:hint="eastAsia"/>
                    </w:rPr>
                    <w:t>废金属边角料</w:t>
                  </w:r>
                </w:p>
              </w:tc>
              <w:tc>
                <w:tcPr>
                  <w:tcW w:w="612" w:type="dxa"/>
                  <w:vAlign w:val="center"/>
                </w:tcPr>
                <w:p w14:paraId="3517A7CE">
                  <w:pPr>
                    <w:pStyle w:val="66"/>
                  </w:pPr>
                  <w:r>
                    <w:rPr>
                      <w:rFonts w:hint="eastAsia"/>
                    </w:rPr>
                    <w:t>每月</w:t>
                  </w:r>
                </w:p>
              </w:tc>
              <w:tc>
                <w:tcPr>
                  <w:tcW w:w="663" w:type="dxa"/>
                  <w:vAlign w:val="center"/>
                </w:tcPr>
                <w:p w14:paraId="678D5D4E">
                  <w:pPr>
                    <w:pStyle w:val="66"/>
                  </w:pPr>
                  <w:r>
                    <w:rPr>
                      <w:rFonts w:hint="eastAsia"/>
                    </w:rPr>
                    <w:t>毒性</w:t>
                  </w:r>
                </w:p>
              </w:tc>
              <w:tc>
                <w:tcPr>
                  <w:tcW w:w="427" w:type="dxa"/>
                  <w:vMerge w:val="continue"/>
                  <w:vAlign w:val="center"/>
                </w:tcPr>
                <w:p w14:paraId="35416083">
                  <w:pPr>
                    <w:pStyle w:val="66"/>
                  </w:pPr>
                </w:p>
              </w:tc>
            </w:tr>
            <w:tr w14:paraId="3214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4978C27D">
                  <w:pPr>
                    <w:pStyle w:val="66"/>
                    <w:rPr>
                      <w:rFonts w:hint="eastAsia" w:eastAsia="宋体"/>
                      <w:lang w:val="en-US" w:eastAsia="zh-CN"/>
                    </w:rPr>
                  </w:pPr>
                  <w:r>
                    <w:rPr>
                      <w:rFonts w:hint="eastAsia"/>
                      <w:lang w:val="en-US" w:eastAsia="zh-CN"/>
                    </w:rPr>
                    <w:t>7</w:t>
                  </w:r>
                </w:p>
              </w:tc>
              <w:tc>
                <w:tcPr>
                  <w:tcW w:w="927" w:type="dxa"/>
                  <w:vAlign w:val="center"/>
                </w:tcPr>
                <w:p w14:paraId="38CA044F">
                  <w:pPr>
                    <w:pStyle w:val="66"/>
                  </w:pPr>
                  <w:r>
                    <w:rPr>
                      <w:rFonts w:hint="eastAsia"/>
                    </w:rPr>
                    <w:t>含漆抹布及手套</w:t>
                  </w:r>
                </w:p>
              </w:tc>
              <w:tc>
                <w:tcPr>
                  <w:tcW w:w="830" w:type="dxa"/>
                  <w:vAlign w:val="center"/>
                </w:tcPr>
                <w:p w14:paraId="39142ECE">
                  <w:pPr>
                    <w:pStyle w:val="66"/>
                  </w:pPr>
                  <w:r>
                    <w:rPr>
                      <w:rFonts w:hint="eastAsia"/>
                    </w:rPr>
                    <w:t>H</w:t>
                  </w:r>
                  <w:r>
                    <w:t>W49</w:t>
                  </w:r>
                </w:p>
              </w:tc>
              <w:tc>
                <w:tcPr>
                  <w:tcW w:w="827" w:type="dxa"/>
                  <w:vAlign w:val="center"/>
                </w:tcPr>
                <w:p w14:paraId="56546216">
                  <w:pPr>
                    <w:pStyle w:val="66"/>
                  </w:pPr>
                  <w:r>
                    <w:rPr>
                      <w:rFonts w:hint="eastAsia"/>
                    </w:rPr>
                    <w:t>9</w:t>
                  </w:r>
                  <w:r>
                    <w:t>00-041-49</w:t>
                  </w:r>
                </w:p>
              </w:tc>
              <w:tc>
                <w:tcPr>
                  <w:tcW w:w="846" w:type="dxa"/>
                  <w:vAlign w:val="center"/>
                </w:tcPr>
                <w:p w14:paraId="7E43CA3E">
                  <w:pPr>
                    <w:pStyle w:val="66"/>
                  </w:pPr>
                  <w:r>
                    <w:rPr>
                      <w:rFonts w:hint="eastAsia"/>
                    </w:rPr>
                    <w:t>0</w:t>
                  </w:r>
                  <w:r>
                    <w:t>.02</w:t>
                  </w:r>
                </w:p>
              </w:tc>
              <w:tc>
                <w:tcPr>
                  <w:tcW w:w="612" w:type="dxa"/>
                  <w:vAlign w:val="center"/>
                </w:tcPr>
                <w:p w14:paraId="09B2AE14">
                  <w:pPr>
                    <w:pStyle w:val="66"/>
                  </w:pPr>
                  <w:r>
                    <w:rPr>
                      <w:rFonts w:hint="eastAsia"/>
                    </w:rPr>
                    <w:t>设备维修</w:t>
                  </w:r>
                </w:p>
              </w:tc>
              <w:tc>
                <w:tcPr>
                  <w:tcW w:w="612" w:type="dxa"/>
                  <w:vAlign w:val="center"/>
                </w:tcPr>
                <w:p w14:paraId="26CCEAFE">
                  <w:pPr>
                    <w:pStyle w:val="66"/>
                  </w:pPr>
                  <w:r>
                    <w:rPr>
                      <w:rFonts w:hint="eastAsia"/>
                    </w:rPr>
                    <w:t>固态</w:t>
                  </w:r>
                </w:p>
              </w:tc>
              <w:tc>
                <w:tcPr>
                  <w:tcW w:w="612" w:type="dxa"/>
                  <w:vAlign w:val="center"/>
                </w:tcPr>
                <w:p w14:paraId="1E5FCED1">
                  <w:pPr>
                    <w:pStyle w:val="66"/>
                  </w:pPr>
                  <w:r>
                    <w:rPr>
                      <w:rFonts w:hint="eastAsia"/>
                    </w:rPr>
                    <w:t>含漆抹布及手套</w:t>
                  </w:r>
                </w:p>
              </w:tc>
              <w:tc>
                <w:tcPr>
                  <w:tcW w:w="612" w:type="dxa"/>
                  <w:vAlign w:val="center"/>
                </w:tcPr>
                <w:p w14:paraId="5C8DF8C6">
                  <w:pPr>
                    <w:pStyle w:val="66"/>
                  </w:pPr>
                  <w:r>
                    <w:rPr>
                      <w:rFonts w:hint="eastAsia"/>
                    </w:rPr>
                    <w:t>含漆抹布及手套</w:t>
                  </w:r>
                </w:p>
              </w:tc>
              <w:tc>
                <w:tcPr>
                  <w:tcW w:w="612" w:type="dxa"/>
                  <w:vAlign w:val="center"/>
                </w:tcPr>
                <w:p w14:paraId="4D8D9D65">
                  <w:pPr>
                    <w:pStyle w:val="66"/>
                  </w:pPr>
                  <w:r>
                    <w:t>每年</w:t>
                  </w:r>
                </w:p>
              </w:tc>
              <w:tc>
                <w:tcPr>
                  <w:tcW w:w="663" w:type="dxa"/>
                  <w:vAlign w:val="center"/>
                </w:tcPr>
                <w:p w14:paraId="4CDC00E2">
                  <w:pPr>
                    <w:pStyle w:val="66"/>
                  </w:pPr>
                  <w:r>
                    <w:rPr>
                      <w:rFonts w:hint="eastAsia"/>
                    </w:rPr>
                    <w:t>毒性</w:t>
                  </w:r>
                </w:p>
              </w:tc>
              <w:tc>
                <w:tcPr>
                  <w:tcW w:w="427" w:type="dxa"/>
                  <w:vMerge w:val="continue"/>
                  <w:vAlign w:val="center"/>
                </w:tcPr>
                <w:p w14:paraId="2F1ACC19">
                  <w:pPr>
                    <w:pStyle w:val="66"/>
                  </w:pPr>
                </w:p>
              </w:tc>
            </w:tr>
            <w:tr w14:paraId="1C47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70437F84">
                  <w:pPr>
                    <w:pStyle w:val="66"/>
                    <w:rPr>
                      <w:rFonts w:hint="eastAsia" w:eastAsia="宋体"/>
                      <w:lang w:val="en-US" w:eastAsia="zh-CN"/>
                    </w:rPr>
                  </w:pPr>
                  <w:r>
                    <w:rPr>
                      <w:rFonts w:hint="eastAsia"/>
                      <w:lang w:val="en-US" w:eastAsia="zh-CN"/>
                    </w:rPr>
                    <w:t>8</w:t>
                  </w:r>
                </w:p>
              </w:tc>
              <w:tc>
                <w:tcPr>
                  <w:tcW w:w="927" w:type="dxa"/>
                  <w:vAlign w:val="center"/>
                </w:tcPr>
                <w:p w14:paraId="687FEEC0">
                  <w:pPr>
                    <w:pStyle w:val="66"/>
                    <w:rPr>
                      <w:rFonts w:hint="default" w:eastAsia="宋体"/>
                      <w:lang w:val="en-US" w:eastAsia="zh-CN"/>
                    </w:rPr>
                  </w:pPr>
                  <w:r>
                    <w:rPr>
                      <w:rFonts w:hint="eastAsia"/>
                    </w:rPr>
                    <w:t>废干式过滤棉</w:t>
                  </w:r>
                  <w:r>
                    <w:rPr>
                      <w:rFonts w:hint="eastAsia"/>
                      <w:lang w:val="en-US" w:eastAsia="zh-CN"/>
                    </w:rPr>
                    <w:t>及漆渣</w:t>
                  </w:r>
                </w:p>
              </w:tc>
              <w:tc>
                <w:tcPr>
                  <w:tcW w:w="830" w:type="dxa"/>
                  <w:vAlign w:val="center"/>
                </w:tcPr>
                <w:p w14:paraId="0EF72913">
                  <w:pPr>
                    <w:pStyle w:val="66"/>
                  </w:pPr>
                  <w:r>
                    <w:rPr>
                      <w:rFonts w:hint="eastAsia"/>
                    </w:rPr>
                    <w:t>H</w:t>
                  </w:r>
                  <w:r>
                    <w:t>W49</w:t>
                  </w:r>
                </w:p>
              </w:tc>
              <w:tc>
                <w:tcPr>
                  <w:tcW w:w="827" w:type="dxa"/>
                  <w:vAlign w:val="center"/>
                </w:tcPr>
                <w:p w14:paraId="3AEF71E7">
                  <w:pPr>
                    <w:pStyle w:val="66"/>
                  </w:pPr>
                  <w:r>
                    <w:rPr>
                      <w:rFonts w:hint="eastAsia"/>
                    </w:rPr>
                    <w:t>9</w:t>
                  </w:r>
                  <w:r>
                    <w:t>00-041-49</w:t>
                  </w:r>
                </w:p>
              </w:tc>
              <w:tc>
                <w:tcPr>
                  <w:tcW w:w="846" w:type="dxa"/>
                  <w:vAlign w:val="center"/>
                </w:tcPr>
                <w:p w14:paraId="0EF18702">
                  <w:pPr>
                    <w:pStyle w:val="66"/>
                    <w:rPr>
                      <w:rFonts w:hint="default" w:eastAsia="宋体"/>
                      <w:lang w:val="en-US" w:eastAsia="zh-CN"/>
                    </w:rPr>
                  </w:pPr>
                  <w:r>
                    <w:rPr>
                      <w:rFonts w:hint="eastAsia"/>
                    </w:rPr>
                    <w:t>0</w:t>
                  </w:r>
                  <w:r>
                    <w:t>.5</w:t>
                  </w:r>
                  <w:r>
                    <w:rPr>
                      <w:rFonts w:hint="eastAsia"/>
                      <w:lang w:val="en-US" w:eastAsia="zh-CN"/>
                    </w:rPr>
                    <w:t>33</w:t>
                  </w:r>
                </w:p>
              </w:tc>
              <w:tc>
                <w:tcPr>
                  <w:tcW w:w="612" w:type="dxa"/>
                  <w:vAlign w:val="center"/>
                </w:tcPr>
                <w:p w14:paraId="62D51444">
                  <w:pPr>
                    <w:pStyle w:val="66"/>
                  </w:pPr>
                  <w:r>
                    <w:rPr>
                      <w:rFonts w:hint="eastAsia"/>
                    </w:rPr>
                    <w:t>废气处理</w:t>
                  </w:r>
                </w:p>
              </w:tc>
              <w:tc>
                <w:tcPr>
                  <w:tcW w:w="612" w:type="dxa"/>
                  <w:vAlign w:val="center"/>
                </w:tcPr>
                <w:p w14:paraId="23776BEB">
                  <w:pPr>
                    <w:pStyle w:val="66"/>
                  </w:pPr>
                  <w:r>
                    <w:rPr>
                      <w:rFonts w:hint="eastAsia"/>
                    </w:rPr>
                    <w:t>固态</w:t>
                  </w:r>
                </w:p>
              </w:tc>
              <w:tc>
                <w:tcPr>
                  <w:tcW w:w="612" w:type="dxa"/>
                  <w:vAlign w:val="center"/>
                </w:tcPr>
                <w:p w14:paraId="3773C979">
                  <w:pPr>
                    <w:pStyle w:val="66"/>
                    <w:rPr>
                      <w:rFonts w:hint="default" w:eastAsia="宋体"/>
                      <w:lang w:val="en-US" w:eastAsia="zh-CN"/>
                    </w:rPr>
                  </w:pPr>
                  <w:r>
                    <w:rPr>
                      <w:rFonts w:hint="eastAsia"/>
                    </w:rPr>
                    <w:t>废干式过滤棉</w:t>
                  </w:r>
                  <w:r>
                    <w:rPr>
                      <w:rFonts w:hint="eastAsia"/>
                      <w:lang w:val="en-US" w:eastAsia="zh-CN"/>
                    </w:rPr>
                    <w:t>及漆渣</w:t>
                  </w:r>
                </w:p>
              </w:tc>
              <w:tc>
                <w:tcPr>
                  <w:tcW w:w="612" w:type="dxa"/>
                  <w:vAlign w:val="center"/>
                </w:tcPr>
                <w:p w14:paraId="7004FC26">
                  <w:pPr>
                    <w:pStyle w:val="66"/>
                    <w:rPr>
                      <w:rFonts w:hint="default" w:eastAsia="宋体"/>
                      <w:lang w:val="en-US" w:eastAsia="zh-CN"/>
                    </w:rPr>
                  </w:pPr>
                  <w:r>
                    <w:rPr>
                      <w:rFonts w:hint="eastAsia"/>
                    </w:rPr>
                    <w:t>废干式过滤棉</w:t>
                  </w:r>
                  <w:r>
                    <w:rPr>
                      <w:rFonts w:hint="eastAsia"/>
                      <w:lang w:val="en-US" w:eastAsia="zh-CN"/>
                    </w:rPr>
                    <w:t>及漆渣</w:t>
                  </w:r>
                </w:p>
              </w:tc>
              <w:tc>
                <w:tcPr>
                  <w:tcW w:w="612" w:type="dxa"/>
                  <w:vAlign w:val="center"/>
                </w:tcPr>
                <w:p w14:paraId="0A4A2BCE">
                  <w:pPr>
                    <w:pStyle w:val="66"/>
                  </w:pPr>
                  <w:r>
                    <w:rPr>
                      <w:rFonts w:hint="eastAsia"/>
                    </w:rPr>
                    <w:t>每月</w:t>
                  </w:r>
                </w:p>
              </w:tc>
              <w:tc>
                <w:tcPr>
                  <w:tcW w:w="663" w:type="dxa"/>
                  <w:vAlign w:val="center"/>
                </w:tcPr>
                <w:p w14:paraId="5A7F23D3">
                  <w:pPr>
                    <w:pStyle w:val="66"/>
                  </w:pPr>
                  <w:r>
                    <w:rPr>
                      <w:rFonts w:hint="eastAsia"/>
                    </w:rPr>
                    <w:t>毒性</w:t>
                  </w:r>
                </w:p>
              </w:tc>
              <w:tc>
                <w:tcPr>
                  <w:tcW w:w="427" w:type="dxa"/>
                  <w:vMerge w:val="continue"/>
                  <w:vAlign w:val="center"/>
                </w:tcPr>
                <w:p w14:paraId="5A8E3303">
                  <w:pPr>
                    <w:pStyle w:val="66"/>
                  </w:pPr>
                </w:p>
              </w:tc>
            </w:tr>
            <w:tr w14:paraId="1292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47AEE383">
                  <w:pPr>
                    <w:pStyle w:val="66"/>
                    <w:rPr>
                      <w:rFonts w:hint="eastAsia" w:eastAsia="宋体"/>
                      <w:lang w:val="en-US" w:eastAsia="zh-CN"/>
                    </w:rPr>
                  </w:pPr>
                  <w:r>
                    <w:rPr>
                      <w:rFonts w:hint="eastAsia"/>
                      <w:lang w:val="en-US" w:eastAsia="zh-CN"/>
                    </w:rPr>
                    <w:t>9</w:t>
                  </w:r>
                </w:p>
              </w:tc>
              <w:tc>
                <w:tcPr>
                  <w:tcW w:w="927" w:type="dxa"/>
                  <w:vAlign w:val="center"/>
                </w:tcPr>
                <w:p w14:paraId="1B5AEE89">
                  <w:pPr>
                    <w:pStyle w:val="66"/>
                  </w:pPr>
                  <w:r>
                    <w:rPr>
                      <w:rFonts w:hint="eastAsia"/>
                    </w:rPr>
                    <w:t>清洗废液</w:t>
                  </w:r>
                </w:p>
              </w:tc>
              <w:tc>
                <w:tcPr>
                  <w:tcW w:w="830" w:type="dxa"/>
                  <w:vAlign w:val="center"/>
                </w:tcPr>
                <w:p w14:paraId="0A7DBE5C">
                  <w:pPr>
                    <w:pStyle w:val="66"/>
                  </w:pPr>
                  <w:r>
                    <w:rPr>
                      <w:rFonts w:hint="eastAsia"/>
                    </w:rPr>
                    <w:t>H</w:t>
                  </w:r>
                  <w:r>
                    <w:t>W06</w:t>
                  </w:r>
                </w:p>
              </w:tc>
              <w:tc>
                <w:tcPr>
                  <w:tcW w:w="827" w:type="dxa"/>
                  <w:vAlign w:val="center"/>
                </w:tcPr>
                <w:p w14:paraId="14FC98EE">
                  <w:pPr>
                    <w:pStyle w:val="66"/>
                  </w:pPr>
                  <w:r>
                    <w:rPr>
                      <w:rFonts w:hint="eastAsia"/>
                    </w:rPr>
                    <w:t>9</w:t>
                  </w:r>
                  <w:r>
                    <w:t>00-402-06</w:t>
                  </w:r>
                </w:p>
              </w:tc>
              <w:tc>
                <w:tcPr>
                  <w:tcW w:w="846" w:type="dxa"/>
                  <w:vAlign w:val="center"/>
                </w:tcPr>
                <w:p w14:paraId="39839D35">
                  <w:pPr>
                    <w:pStyle w:val="66"/>
                    <w:rPr>
                      <w:rFonts w:hint="eastAsia" w:eastAsia="宋体"/>
                      <w:lang w:val="en-US" w:eastAsia="zh-CN"/>
                    </w:rPr>
                  </w:pPr>
                  <w:r>
                    <w:rPr>
                      <w:rFonts w:hint="eastAsia"/>
                      <w:lang w:eastAsia="zh-CN"/>
                    </w:rPr>
                    <w:t>0.101</w:t>
                  </w:r>
                </w:p>
              </w:tc>
              <w:tc>
                <w:tcPr>
                  <w:tcW w:w="612" w:type="dxa"/>
                  <w:vAlign w:val="center"/>
                </w:tcPr>
                <w:p w14:paraId="0932BD52">
                  <w:pPr>
                    <w:pStyle w:val="66"/>
                  </w:pPr>
                  <w:r>
                    <w:rPr>
                      <w:rFonts w:hint="eastAsia"/>
                    </w:rPr>
                    <w:t>产品生产</w:t>
                  </w:r>
                </w:p>
              </w:tc>
              <w:tc>
                <w:tcPr>
                  <w:tcW w:w="612" w:type="dxa"/>
                  <w:vAlign w:val="center"/>
                </w:tcPr>
                <w:p w14:paraId="7A9595B4">
                  <w:pPr>
                    <w:pStyle w:val="66"/>
                  </w:pPr>
                  <w:r>
                    <w:rPr>
                      <w:rFonts w:hint="eastAsia"/>
                    </w:rPr>
                    <w:t>液态</w:t>
                  </w:r>
                </w:p>
              </w:tc>
              <w:tc>
                <w:tcPr>
                  <w:tcW w:w="612" w:type="dxa"/>
                  <w:vAlign w:val="center"/>
                </w:tcPr>
                <w:p w14:paraId="579D0CF4">
                  <w:pPr>
                    <w:pStyle w:val="66"/>
                  </w:pPr>
                  <w:r>
                    <w:rPr>
                      <w:rFonts w:hint="eastAsia"/>
                    </w:rPr>
                    <w:t>清洗废液</w:t>
                  </w:r>
                </w:p>
              </w:tc>
              <w:tc>
                <w:tcPr>
                  <w:tcW w:w="612" w:type="dxa"/>
                  <w:vAlign w:val="center"/>
                </w:tcPr>
                <w:p w14:paraId="3F06E281">
                  <w:pPr>
                    <w:pStyle w:val="66"/>
                  </w:pPr>
                  <w:r>
                    <w:rPr>
                      <w:rFonts w:hint="eastAsia"/>
                    </w:rPr>
                    <w:t>清洗废液</w:t>
                  </w:r>
                </w:p>
              </w:tc>
              <w:tc>
                <w:tcPr>
                  <w:tcW w:w="612" w:type="dxa"/>
                  <w:vAlign w:val="center"/>
                </w:tcPr>
                <w:p w14:paraId="062C3DFE">
                  <w:pPr>
                    <w:pStyle w:val="66"/>
                  </w:pPr>
                  <w:r>
                    <w:rPr>
                      <w:rFonts w:hint="eastAsia"/>
                    </w:rPr>
                    <w:t>每月</w:t>
                  </w:r>
                </w:p>
              </w:tc>
              <w:tc>
                <w:tcPr>
                  <w:tcW w:w="663" w:type="dxa"/>
                  <w:vAlign w:val="center"/>
                </w:tcPr>
                <w:p w14:paraId="6A52E58E">
                  <w:pPr>
                    <w:pStyle w:val="66"/>
                  </w:pPr>
                  <w:r>
                    <w:rPr>
                      <w:rFonts w:hint="eastAsia"/>
                    </w:rPr>
                    <w:t>毒性</w:t>
                  </w:r>
                </w:p>
              </w:tc>
              <w:tc>
                <w:tcPr>
                  <w:tcW w:w="427" w:type="dxa"/>
                  <w:vMerge w:val="continue"/>
                  <w:vAlign w:val="center"/>
                </w:tcPr>
                <w:p w14:paraId="093D5FD7">
                  <w:pPr>
                    <w:pStyle w:val="66"/>
                  </w:pPr>
                </w:p>
              </w:tc>
            </w:tr>
            <w:tr w14:paraId="2E15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6CEE8C89">
                  <w:pPr>
                    <w:pStyle w:val="66"/>
                    <w:rPr>
                      <w:rFonts w:hint="default"/>
                      <w:lang w:val="en-US" w:eastAsia="zh-CN"/>
                    </w:rPr>
                  </w:pPr>
                  <w:r>
                    <w:rPr>
                      <w:rFonts w:hint="eastAsia"/>
                      <w:lang w:val="en-US" w:eastAsia="zh-CN"/>
                    </w:rPr>
                    <w:t>10</w:t>
                  </w:r>
                </w:p>
              </w:tc>
              <w:tc>
                <w:tcPr>
                  <w:tcW w:w="927" w:type="dxa"/>
                  <w:vAlign w:val="center"/>
                </w:tcPr>
                <w:p w14:paraId="19C1FA2F">
                  <w:pPr>
                    <w:pStyle w:val="66"/>
                    <w:rPr>
                      <w:rFonts w:hint="default" w:eastAsia="宋体"/>
                      <w:lang w:val="en-US" w:eastAsia="zh-CN"/>
                    </w:rPr>
                  </w:pPr>
                  <w:r>
                    <w:rPr>
                      <w:rFonts w:hint="eastAsia"/>
                      <w:lang w:val="en-US" w:eastAsia="zh-CN"/>
                    </w:rPr>
                    <w:t>喷淋废液及沉渣</w:t>
                  </w:r>
                </w:p>
              </w:tc>
              <w:tc>
                <w:tcPr>
                  <w:tcW w:w="830" w:type="dxa"/>
                  <w:vAlign w:val="center"/>
                </w:tcPr>
                <w:p w14:paraId="4D7B7FA9">
                  <w:pPr>
                    <w:pStyle w:val="66"/>
                    <w:rPr>
                      <w:rFonts w:hint="default" w:eastAsia="宋体"/>
                      <w:lang w:val="en-US" w:eastAsia="zh-CN"/>
                    </w:rPr>
                  </w:pPr>
                  <w:r>
                    <w:rPr>
                      <w:rFonts w:hint="eastAsia"/>
                      <w:lang w:val="en-US" w:eastAsia="zh-CN"/>
                    </w:rPr>
                    <w:t>HW12</w:t>
                  </w:r>
                </w:p>
              </w:tc>
              <w:tc>
                <w:tcPr>
                  <w:tcW w:w="827" w:type="dxa"/>
                  <w:vAlign w:val="center"/>
                </w:tcPr>
                <w:p w14:paraId="1D46D2C0">
                  <w:pPr>
                    <w:pStyle w:val="66"/>
                    <w:rPr>
                      <w:rFonts w:hint="default" w:eastAsia="宋体"/>
                      <w:lang w:val="en-US" w:eastAsia="zh-CN"/>
                    </w:rPr>
                  </w:pPr>
                  <w:r>
                    <w:rPr>
                      <w:rFonts w:hint="eastAsia"/>
                      <w:lang w:val="en-US" w:eastAsia="zh-CN"/>
                    </w:rPr>
                    <w:t>900-252-12</w:t>
                  </w:r>
                </w:p>
              </w:tc>
              <w:tc>
                <w:tcPr>
                  <w:tcW w:w="846" w:type="dxa"/>
                  <w:vAlign w:val="center"/>
                </w:tcPr>
                <w:p w14:paraId="6B1BD5DC">
                  <w:pPr>
                    <w:pStyle w:val="66"/>
                    <w:rPr>
                      <w:rFonts w:hint="default" w:eastAsia="宋体"/>
                      <w:lang w:val="en-US" w:eastAsia="zh-CN"/>
                    </w:rPr>
                  </w:pPr>
                  <w:r>
                    <w:rPr>
                      <w:rFonts w:hint="eastAsia"/>
                      <w:lang w:val="en-US" w:eastAsia="zh-CN"/>
                    </w:rPr>
                    <w:t>65.066</w:t>
                  </w:r>
                </w:p>
              </w:tc>
              <w:tc>
                <w:tcPr>
                  <w:tcW w:w="612" w:type="dxa"/>
                  <w:vAlign w:val="center"/>
                </w:tcPr>
                <w:p w14:paraId="37E7A742">
                  <w:pPr>
                    <w:pStyle w:val="66"/>
                    <w:rPr>
                      <w:rFonts w:hint="default" w:eastAsia="宋体"/>
                      <w:lang w:val="en-US" w:eastAsia="zh-CN"/>
                    </w:rPr>
                  </w:pPr>
                  <w:r>
                    <w:rPr>
                      <w:rFonts w:hint="eastAsia"/>
                      <w:lang w:val="en-US" w:eastAsia="zh-CN"/>
                    </w:rPr>
                    <w:t>废气治理</w:t>
                  </w:r>
                </w:p>
              </w:tc>
              <w:tc>
                <w:tcPr>
                  <w:tcW w:w="612" w:type="dxa"/>
                  <w:vAlign w:val="center"/>
                </w:tcPr>
                <w:p w14:paraId="39F1FE82">
                  <w:pPr>
                    <w:pStyle w:val="66"/>
                    <w:rPr>
                      <w:rFonts w:hint="default" w:eastAsia="宋体"/>
                      <w:lang w:val="en-US" w:eastAsia="zh-CN"/>
                    </w:rPr>
                  </w:pPr>
                  <w:r>
                    <w:rPr>
                      <w:rFonts w:hint="eastAsia"/>
                      <w:lang w:val="en-US" w:eastAsia="zh-CN"/>
                    </w:rPr>
                    <w:t>液/固</w:t>
                  </w:r>
                </w:p>
              </w:tc>
              <w:tc>
                <w:tcPr>
                  <w:tcW w:w="612" w:type="dxa"/>
                  <w:vAlign w:val="center"/>
                </w:tcPr>
                <w:p w14:paraId="55B9E806">
                  <w:pPr>
                    <w:pStyle w:val="66"/>
                    <w:rPr>
                      <w:rFonts w:hint="eastAsia"/>
                    </w:rPr>
                  </w:pPr>
                  <w:r>
                    <w:rPr>
                      <w:rFonts w:hint="eastAsia"/>
                      <w:lang w:val="en-US" w:eastAsia="zh-CN"/>
                    </w:rPr>
                    <w:t>喷淋废液及沉</w:t>
                  </w:r>
                </w:p>
              </w:tc>
              <w:tc>
                <w:tcPr>
                  <w:tcW w:w="612" w:type="dxa"/>
                  <w:vAlign w:val="center"/>
                </w:tcPr>
                <w:p w14:paraId="5548F285">
                  <w:pPr>
                    <w:pStyle w:val="66"/>
                    <w:rPr>
                      <w:rFonts w:hint="eastAsia"/>
                    </w:rPr>
                  </w:pPr>
                  <w:r>
                    <w:rPr>
                      <w:rFonts w:hint="eastAsia"/>
                      <w:lang w:val="en-US" w:eastAsia="zh-CN"/>
                    </w:rPr>
                    <w:t>喷淋废液及沉</w:t>
                  </w:r>
                </w:p>
              </w:tc>
              <w:tc>
                <w:tcPr>
                  <w:tcW w:w="612" w:type="dxa"/>
                  <w:vAlign w:val="center"/>
                </w:tcPr>
                <w:p w14:paraId="1D88EA61">
                  <w:pPr>
                    <w:pStyle w:val="66"/>
                    <w:rPr>
                      <w:rFonts w:hint="eastAsia" w:eastAsia="宋体"/>
                      <w:lang w:val="en-US" w:eastAsia="zh-CN"/>
                    </w:rPr>
                  </w:pPr>
                  <w:r>
                    <w:rPr>
                      <w:rFonts w:hint="eastAsia"/>
                      <w:lang w:val="en-US" w:eastAsia="zh-CN"/>
                    </w:rPr>
                    <w:t>每月</w:t>
                  </w:r>
                </w:p>
              </w:tc>
              <w:tc>
                <w:tcPr>
                  <w:tcW w:w="663" w:type="dxa"/>
                  <w:vAlign w:val="center"/>
                </w:tcPr>
                <w:p w14:paraId="30E5AAA7">
                  <w:pPr>
                    <w:pStyle w:val="66"/>
                    <w:rPr>
                      <w:rFonts w:hint="eastAsia" w:eastAsia="宋体"/>
                      <w:lang w:val="en-US" w:eastAsia="zh-CN"/>
                    </w:rPr>
                  </w:pPr>
                  <w:r>
                    <w:rPr>
                      <w:rFonts w:hint="eastAsia"/>
                      <w:lang w:val="en-US" w:eastAsia="zh-CN"/>
                    </w:rPr>
                    <w:t>毒性</w:t>
                  </w:r>
                </w:p>
              </w:tc>
              <w:tc>
                <w:tcPr>
                  <w:tcW w:w="427" w:type="dxa"/>
                  <w:vMerge w:val="continue"/>
                  <w:vAlign w:val="center"/>
                </w:tcPr>
                <w:p w14:paraId="6200D958">
                  <w:pPr>
                    <w:pStyle w:val="66"/>
                  </w:pPr>
                </w:p>
              </w:tc>
            </w:tr>
            <w:tr w14:paraId="6AD4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3" w:type="dxa"/>
                  <w:vAlign w:val="center"/>
                </w:tcPr>
                <w:p w14:paraId="158FC5CF">
                  <w:pPr>
                    <w:pStyle w:val="66"/>
                    <w:rPr>
                      <w:rFonts w:hint="default"/>
                      <w:lang w:val="en-US" w:eastAsia="zh-CN"/>
                    </w:rPr>
                  </w:pPr>
                  <w:r>
                    <w:rPr>
                      <w:rFonts w:hint="eastAsia"/>
                      <w:lang w:val="en-US" w:eastAsia="zh-CN"/>
                    </w:rPr>
                    <w:t>11</w:t>
                  </w:r>
                </w:p>
              </w:tc>
              <w:tc>
                <w:tcPr>
                  <w:tcW w:w="927" w:type="dxa"/>
                  <w:vAlign w:val="center"/>
                </w:tcPr>
                <w:p w14:paraId="141DAC29">
                  <w:pPr>
                    <w:pStyle w:val="66"/>
                    <w:rPr>
                      <w:rFonts w:hint="default" w:eastAsia="宋体"/>
                      <w:lang w:val="en-US" w:eastAsia="zh-CN"/>
                    </w:rPr>
                  </w:pPr>
                  <w:r>
                    <w:rPr>
                      <w:rFonts w:hint="eastAsia"/>
                      <w:lang w:val="en-US" w:eastAsia="zh-CN"/>
                    </w:rPr>
                    <w:t>废活性炭</w:t>
                  </w:r>
                </w:p>
              </w:tc>
              <w:tc>
                <w:tcPr>
                  <w:tcW w:w="830" w:type="dxa"/>
                  <w:vAlign w:val="center"/>
                </w:tcPr>
                <w:p w14:paraId="7D4F37EC">
                  <w:pPr>
                    <w:pStyle w:val="66"/>
                    <w:rPr>
                      <w:rFonts w:hint="default" w:eastAsia="宋体"/>
                      <w:lang w:val="en-US" w:eastAsia="zh-CN"/>
                    </w:rPr>
                  </w:pPr>
                  <w:r>
                    <w:rPr>
                      <w:rFonts w:hint="eastAsia"/>
                      <w:lang w:val="en-US" w:eastAsia="zh-CN"/>
                    </w:rPr>
                    <w:t>HW49</w:t>
                  </w:r>
                </w:p>
              </w:tc>
              <w:tc>
                <w:tcPr>
                  <w:tcW w:w="827" w:type="dxa"/>
                  <w:vAlign w:val="center"/>
                </w:tcPr>
                <w:p w14:paraId="7D2BD768">
                  <w:pPr>
                    <w:pStyle w:val="66"/>
                    <w:rPr>
                      <w:rFonts w:hint="default" w:eastAsia="宋体"/>
                      <w:lang w:val="en-US" w:eastAsia="zh-CN"/>
                    </w:rPr>
                  </w:pPr>
                  <w:r>
                    <w:rPr>
                      <w:rFonts w:hint="eastAsia"/>
                      <w:lang w:val="en-US" w:eastAsia="zh-CN"/>
                    </w:rPr>
                    <w:t>900-039-49</w:t>
                  </w:r>
                </w:p>
              </w:tc>
              <w:tc>
                <w:tcPr>
                  <w:tcW w:w="846" w:type="dxa"/>
                  <w:vAlign w:val="center"/>
                </w:tcPr>
                <w:p w14:paraId="61F1287C">
                  <w:pPr>
                    <w:pStyle w:val="66"/>
                    <w:rPr>
                      <w:rFonts w:hint="default" w:eastAsia="宋体"/>
                      <w:lang w:val="en-US" w:eastAsia="zh-CN"/>
                    </w:rPr>
                  </w:pPr>
                  <w:r>
                    <w:rPr>
                      <w:rFonts w:hint="eastAsia"/>
                      <w:color w:val="000000" w:themeColor="text1"/>
                      <w:lang w:val="en-US" w:eastAsia="zh-CN"/>
                      <w14:textFill>
                        <w14:solidFill>
                          <w14:schemeClr w14:val="tx1"/>
                        </w14:solidFill>
                      </w14:textFill>
                    </w:rPr>
                    <w:t>18.26</w:t>
                  </w:r>
                </w:p>
              </w:tc>
              <w:tc>
                <w:tcPr>
                  <w:tcW w:w="612" w:type="dxa"/>
                  <w:vAlign w:val="center"/>
                </w:tcPr>
                <w:p w14:paraId="1217BE5E">
                  <w:pPr>
                    <w:pStyle w:val="66"/>
                    <w:rPr>
                      <w:rFonts w:hint="default" w:eastAsia="宋体"/>
                      <w:lang w:val="en-US" w:eastAsia="zh-CN"/>
                    </w:rPr>
                  </w:pPr>
                  <w:r>
                    <w:rPr>
                      <w:rFonts w:hint="eastAsia"/>
                      <w:lang w:val="en-US" w:eastAsia="zh-CN"/>
                    </w:rPr>
                    <w:t>废气治理</w:t>
                  </w:r>
                </w:p>
              </w:tc>
              <w:tc>
                <w:tcPr>
                  <w:tcW w:w="612" w:type="dxa"/>
                  <w:vAlign w:val="center"/>
                </w:tcPr>
                <w:p w14:paraId="1E951768">
                  <w:pPr>
                    <w:pStyle w:val="66"/>
                    <w:rPr>
                      <w:rFonts w:hint="eastAsia" w:eastAsia="宋体"/>
                      <w:lang w:val="en-US" w:eastAsia="zh-CN"/>
                    </w:rPr>
                  </w:pPr>
                  <w:r>
                    <w:rPr>
                      <w:rFonts w:hint="eastAsia"/>
                      <w:lang w:val="en-US" w:eastAsia="zh-CN"/>
                    </w:rPr>
                    <w:t>固态</w:t>
                  </w:r>
                </w:p>
              </w:tc>
              <w:tc>
                <w:tcPr>
                  <w:tcW w:w="612" w:type="dxa"/>
                  <w:vAlign w:val="center"/>
                </w:tcPr>
                <w:p w14:paraId="46416539">
                  <w:pPr>
                    <w:pStyle w:val="66"/>
                    <w:rPr>
                      <w:rFonts w:hint="default" w:eastAsia="宋体"/>
                      <w:lang w:val="en-US" w:eastAsia="zh-CN"/>
                    </w:rPr>
                  </w:pPr>
                  <w:r>
                    <w:rPr>
                      <w:rFonts w:hint="eastAsia"/>
                      <w:lang w:val="en-US" w:eastAsia="zh-CN"/>
                    </w:rPr>
                    <w:t>废活性炭</w:t>
                  </w:r>
                </w:p>
              </w:tc>
              <w:tc>
                <w:tcPr>
                  <w:tcW w:w="612" w:type="dxa"/>
                  <w:vAlign w:val="center"/>
                </w:tcPr>
                <w:p w14:paraId="3EA464C6">
                  <w:pPr>
                    <w:pStyle w:val="66"/>
                    <w:rPr>
                      <w:rFonts w:hint="default" w:eastAsia="宋体"/>
                      <w:lang w:val="en-US" w:eastAsia="zh-CN"/>
                    </w:rPr>
                  </w:pPr>
                  <w:r>
                    <w:rPr>
                      <w:rFonts w:hint="eastAsia"/>
                      <w:lang w:val="en-US" w:eastAsia="zh-CN"/>
                    </w:rPr>
                    <w:t>废活性炭</w:t>
                  </w:r>
                </w:p>
              </w:tc>
              <w:tc>
                <w:tcPr>
                  <w:tcW w:w="612" w:type="dxa"/>
                  <w:vAlign w:val="center"/>
                </w:tcPr>
                <w:p w14:paraId="0F3EFDAC">
                  <w:pPr>
                    <w:pStyle w:val="66"/>
                    <w:rPr>
                      <w:rFonts w:hint="eastAsia" w:eastAsia="宋体"/>
                      <w:lang w:val="en-US" w:eastAsia="zh-CN"/>
                    </w:rPr>
                  </w:pPr>
                  <w:r>
                    <w:rPr>
                      <w:rFonts w:hint="eastAsia"/>
                      <w:lang w:val="en-US" w:eastAsia="zh-CN"/>
                    </w:rPr>
                    <w:t>每月</w:t>
                  </w:r>
                </w:p>
              </w:tc>
              <w:tc>
                <w:tcPr>
                  <w:tcW w:w="663" w:type="dxa"/>
                  <w:vAlign w:val="center"/>
                </w:tcPr>
                <w:p w14:paraId="1073B606">
                  <w:pPr>
                    <w:pStyle w:val="66"/>
                    <w:rPr>
                      <w:rFonts w:hint="eastAsia" w:eastAsia="宋体"/>
                      <w:lang w:val="en-US" w:eastAsia="zh-CN"/>
                    </w:rPr>
                  </w:pPr>
                  <w:r>
                    <w:rPr>
                      <w:rFonts w:hint="eastAsia"/>
                      <w:lang w:val="en-US" w:eastAsia="zh-CN"/>
                    </w:rPr>
                    <w:t>毒性</w:t>
                  </w:r>
                </w:p>
              </w:tc>
              <w:tc>
                <w:tcPr>
                  <w:tcW w:w="427" w:type="dxa"/>
                  <w:vMerge w:val="continue"/>
                  <w:vAlign w:val="center"/>
                </w:tcPr>
                <w:p w14:paraId="36D1E1D0">
                  <w:pPr>
                    <w:pStyle w:val="66"/>
                  </w:pPr>
                </w:p>
              </w:tc>
            </w:tr>
          </w:tbl>
          <w:p w14:paraId="77CED70C">
            <w:pPr>
              <w:spacing w:before="277" w:line="221" w:lineRule="auto"/>
              <w:rPr>
                <w:rFonts w:ascii="宋体" w:hAnsi="宋体" w:eastAsia="宋体" w:cs="宋体"/>
                <w:szCs w:val="21"/>
              </w:rPr>
            </w:pPr>
          </w:p>
          <w:p w14:paraId="120B4A6F">
            <w:pPr>
              <w:spacing w:before="277" w:line="221" w:lineRule="auto"/>
              <w:jc w:val="center"/>
              <w:rPr>
                <w:rFonts w:ascii="Times New Roman" w:hAnsi="Times New Roman" w:eastAsia="宋体" w:cs="Times New Roman"/>
                <w:b/>
                <w:bCs/>
                <w:spacing w:val="6"/>
                <w:szCs w:val="21"/>
              </w:rPr>
            </w:pPr>
            <w:r>
              <w:rPr>
                <w:rFonts w:ascii="Times New Roman" w:hAnsi="Times New Roman" w:eastAsia="宋体" w:cs="Times New Roman"/>
                <w:b/>
                <w:bCs/>
                <w:spacing w:val="6"/>
                <w:szCs w:val="21"/>
              </w:rPr>
              <w:t>表4-</w:t>
            </w:r>
            <w:r>
              <w:rPr>
                <w:rFonts w:hint="eastAsia" w:ascii="Times New Roman" w:hAnsi="Times New Roman" w:eastAsia="宋体" w:cs="Times New Roman"/>
                <w:b/>
                <w:bCs/>
                <w:spacing w:val="6"/>
                <w:szCs w:val="21"/>
                <w:lang w:val="en-US" w:eastAsia="zh-CN"/>
              </w:rPr>
              <w:t>30</w:t>
            </w:r>
            <w:r>
              <w:rPr>
                <w:rFonts w:ascii="Times New Roman" w:hAnsi="Times New Roman" w:eastAsia="宋体" w:cs="Times New Roman"/>
                <w:b/>
                <w:bCs/>
                <w:spacing w:val="6"/>
                <w:szCs w:val="21"/>
              </w:rPr>
              <w:t xml:space="preserve"> </w:t>
            </w:r>
            <w:r>
              <w:rPr>
                <w:rFonts w:hint="eastAsia" w:ascii="Times New Roman" w:hAnsi="Times New Roman" w:eastAsia="宋体" w:cs="Times New Roman"/>
                <w:b/>
                <w:bCs/>
                <w:spacing w:val="6"/>
                <w:szCs w:val="21"/>
                <w:lang w:eastAsia="zh-CN"/>
              </w:rPr>
              <w:t>项目</w:t>
            </w:r>
            <w:r>
              <w:rPr>
                <w:rFonts w:ascii="Times New Roman" w:hAnsi="Times New Roman" w:eastAsia="宋体" w:cs="Times New Roman"/>
                <w:b/>
                <w:bCs/>
                <w:spacing w:val="6"/>
                <w:szCs w:val="21"/>
              </w:rPr>
              <w:t>危险废物贮存场所基本情况表</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988"/>
              <w:gridCol w:w="988"/>
              <w:gridCol w:w="794"/>
              <w:gridCol w:w="656"/>
              <w:gridCol w:w="656"/>
              <w:gridCol w:w="911"/>
              <w:gridCol w:w="911"/>
              <w:gridCol w:w="742"/>
              <w:gridCol w:w="857"/>
            </w:tblGrid>
            <w:tr w14:paraId="7B66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3FADE3E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015" w:type="dxa"/>
                  <w:vAlign w:val="center"/>
                </w:tcPr>
                <w:p w14:paraId="0D0BE3B7">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贮存场所名称</w:t>
                  </w:r>
                </w:p>
              </w:tc>
              <w:tc>
                <w:tcPr>
                  <w:tcW w:w="1015" w:type="dxa"/>
                  <w:vAlign w:val="center"/>
                </w:tcPr>
                <w:p w14:paraId="1C2BA71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危险废物名称</w:t>
                  </w:r>
                </w:p>
              </w:tc>
              <w:tc>
                <w:tcPr>
                  <w:tcW w:w="815" w:type="dxa"/>
                  <w:vAlign w:val="center"/>
                </w:tcPr>
                <w:p w14:paraId="51B50AD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危险废物类别</w:t>
                  </w:r>
                </w:p>
              </w:tc>
              <w:tc>
                <w:tcPr>
                  <w:tcW w:w="674" w:type="dxa"/>
                  <w:vAlign w:val="center"/>
                </w:tcPr>
                <w:p w14:paraId="296EE2B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危险废物代码</w:t>
                  </w:r>
                </w:p>
              </w:tc>
              <w:tc>
                <w:tcPr>
                  <w:tcW w:w="674" w:type="dxa"/>
                  <w:vAlign w:val="center"/>
                </w:tcPr>
                <w:p w14:paraId="1DFCF1F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位置</w:t>
                  </w:r>
                </w:p>
              </w:tc>
              <w:tc>
                <w:tcPr>
                  <w:tcW w:w="936" w:type="dxa"/>
                  <w:vAlign w:val="center"/>
                </w:tcPr>
                <w:p w14:paraId="0BDC000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占地面积</w:t>
                  </w:r>
                </w:p>
              </w:tc>
              <w:tc>
                <w:tcPr>
                  <w:tcW w:w="936" w:type="dxa"/>
                  <w:vAlign w:val="center"/>
                </w:tcPr>
                <w:p w14:paraId="11FAD2B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贮存方式</w:t>
                  </w:r>
                </w:p>
              </w:tc>
              <w:tc>
                <w:tcPr>
                  <w:tcW w:w="762" w:type="dxa"/>
                  <w:vAlign w:val="center"/>
                </w:tcPr>
                <w:p w14:paraId="5E72376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贮存</w:t>
                  </w:r>
                </w:p>
                <w:p w14:paraId="5EC364F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能力</w:t>
                  </w:r>
                </w:p>
              </w:tc>
              <w:tc>
                <w:tcPr>
                  <w:tcW w:w="880" w:type="dxa"/>
                  <w:vAlign w:val="center"/>
                </w:tcPr>
                <w:p w14:paraId="09056B0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贮存</w:t>
                  </w:r>
                </w:p>
                <w:p w14:paraId="2FE83C8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周期</w:t>
                  </w:r>
                </w:p>
              </w:tc>
            </w:tr>
            <w:tr w14:paraId="1026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26FB8EFA">
                  <w:pPr>
                    <w:pStyle w:val="66"/>
                    <w:rPr>
                      <w:color w:val="000000" w:themeColor="text1"/>
                      <w14:textFill>
                        <w14:solidFill>
                          <w14:schemeClr w14:val="tx1"/>
                        </w14:solidFill>
                      </w14:textFill>
                    </w:rPr>
                  </w:pPr>
                  <w:r>
                    <w:rPr>
                      <w:color w:val="000000" w:themeColor="text1"/>
                      <w14:textFill>
                        <w14:solidFill>
                          <w14:schemeClr w14:val="tx1"/>
                        </w14:solidFill>
                      </w14:textFill>
                    </w:rPr>
                    <w:t>1</w:t>
                  </w:r>
                </w:p>
              </w:tc>
              <w:tc>
                <w:tcPr>
                  <w:tcW w:w="1015" w:type="dxa"/>
                  <w:vMerge w:val="restart"/>
                  <w:vAlign w:val="center"/>
                </w:tcPr>
                <w:p w14:paraId="1BA8C8FE">
                  <w:pPr>
                    <w:pStyle w:val="66"/>
                    <w:rPr>
                      <w:color w:val="000000" w:themeColor="text1"/>
                      <w14:textFill>
                        <w14:solidFill>
                          <w14:schemeClr w14:val="tx1"/>
                        </w14:solidFill>
                      </w14:textFill>
                    </w:rPr>
                  </w:pPr>
                  <w:r>
                    <w:rPr>
                      <w:color w:val="000000" w:themeColor="text1"/>
                      <w14:textFill>
                        <w14:solidFill>
                          <w14:schemeClr w14:val="tx1"/>
                        </w14:solidFill>
                      </w14:textFill>
                    </w:rPr>
                    <w:t>危废暂存间</w:t>
                  </w:r>
                </w:p>
              </w:tc>
              <w:tc>
                <w:tcPr>
                  <w:tcW w:w="1015" w:type="dxa"/>
                  <w:vAlign w:val="center"/>
                </w:tcPr>
                <w:p w14:paraId="3533664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废机油</w:t>
                  </w:r>
                </w:p>
              </w:tc>
              <w:tc>
                <w:tcPr>
                  <w:tcW w:w="815" w:type="dxa"/>
                  <w:vAlign w:val="center"/>
                </w:tcPr>
                <w:p w14:paraId="0FE79FD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HW08</w:t>
                  </w:r>
                </w:p>
              </w:tc>
              <w:tc>
                <w:tcPr>
                  <w:tcW w:w="674" w:type="dxa"/>
                  <w:vAlign w:val="center"/>
                </w:tcPr>
                <w:p w14:paraId="43ECB49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900-2</w:t>
                  </w:r>
                  <w:r>
                    <w:rPr>
                      <w:color w:val="000000" w:themeColor="text1"/>
                      <w14:textFill>
                        <w14:solidFill>
                          <w14:schemeClr w14:val="tx1"/>
                        </w14:solidFill>
                      </w14:textFill>
                    </w:rPr>
                    <w:t>49-</w:t>
                  </w:r>
                  <w:r>
                    <w:rPr>
                      <w:rFonts w:hint="eastAsia"/>
                      <w:color w:val="000000" w:themeColor="text1"/>
                      <w14:textFill>
                        <w14:solidFill>
                          <w14:schemeClr w14:val="tx1"/>
                        </w14:solidFill>
                      </w14:textFill>
                    </w:rPr>
                    <w:t>-08</w:t>
                  </w:r>
                </w:p>
              </w:tc>
              <w:tc>
                <w:tcPr>
                  <w:tcW w:w="674" w:type="dxa"/>
                  <w:vMerge w:val="restart"/>
                  <w:vAlign w:val="center"/>
                </w:tcPr>
                <w:p w14:paraId="6AD9778C">
                  <w:pPr>
                    <w:pStyle w:val="66"/>
                    <w:rPr>
                      <w:color w:val="000000" w:themeColor="text1"/>
                      <w14:textFill>
                        <w14:solidFill>
                          <w14:schemeClr w14:val="tx1"/>
                        </w14:solidFill>
                      </w14:textFill>
                    </w:rPr>
                  </w:pPr>
                  <w:r>
                    <w:rPr>
                      <w:color w:val="000000" w:themeColor="text1"/>
                      <w14:textFill>
                        <w14:solidFill>
                          <w14:schemeClr w14:val="tx1"/>
                        </w14:solidFill>
                      </w14:textFill>
                    </w:rPr>
                    <w:t>厂房</w:t>
                  </w:r>
                  <w:r>
                    <w:rPr>
                      <w:rFonts w:hint="eastAsia"/>
                      <w:color w:val="000000" w:themeColor="text1"/>
                      <w14:textFill>
                        <w14:solidFill>
                          <w14:schemeClr w14:val="tx1"/>
                        </w14:solidFill>
                      </w14:textFill>
                    </w:rPr>
                    <w:t>东北</w:t>
                  </w:r>
                </w:p>
              </w:tc>
              <w:tc>
                <w:tcPr>
                  <w:tcW w:w="936" w:type="dxa"/>
                  <w:vAlign w:val="center"/>
                </w:tcPr>
                <w:p w14:paraId="33CC1C83">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936" w:type="dxa"/>
                  <w:vAlign w:val="center"/>
                </w:tcPr>
                <w:p w14:paraId="386EA1B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桶装</w:t>
                  </w:r>
                </w:p>
              </w:tc>
              <w:tc>
                <w:tcPr>
                  <w:tcW w:w="762" w:type="dxa"/>
                  <w:vAlign w:val="center"/>
                </w:tcPr>
                <w:p w14:paraId="073F8277">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0.2</w:t>
                  </w:r>
                </w:p>
              </w:tc>
              <w:tc>
                <w:tcPr>
                  <w:tcW w:w="880" w:type="dxa"/>
                  <w:vAlign w:val="center"/>
                </w:tcPr>
                <w:p w14:paraId="2A7CC88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每年</w:t>
                  </w:r>
                </w:p>
              </w:tc>
            </w:tr>
            <w:tr w14:paraId="3231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35085176">
                  <w:pPr>
                    <w:pStyle w:val="66"/>
                    <w:rPr>
                      <w:color w:val="000000" w:themeColor="text1"/>
                      <w14:textFill>
                        <w14:solidFill>
                          <w14:schemeClr w14:val="tx1"/>
                        </w14:solidFill>
                      </w14:textFill>
                    </w:rPr>
                  </w:pPr>
                  <w:r>
                    <w:rPr>
                      <w:color w:val="000000" w:themeColor="text1"/>
                      <w14:textFill>
                        <w14:solidFill>
                          <w14:schemeClr w14:val="tx1"/>
                        </w14:solidFill>
                      </w14:textFill>
                    </w:rPr>
                    <w:t>2</w:t>
                  </w:r>
                </w:p>
              </w:tc>
              <w:tc>
                <w:tcPr>
                  <w:tcW w:w="1015" w:type="dxa"/>
                  <w:vMerge w:val="continue"/>
                  <w:vAlign w:val="center"/>
                </w:tcPr>
                <w:p w14:paraId="1B29E0F4">
                  <w:pPr>
                    <w:pStyle w:val="66"/>
                    <w:rPr>
                      <w:color w:val="000000" w:themeColor="text1"/>
                      <w14:textFill>
                        <w14:solidFill>
                          <w14:schemeClr w14:val="tx1"/>
                        </w14:solidFill>
                      </w14:textFill>
                    </w:rPr>
                  </w:pPr>
                </w:p>
              </w:tc>
              <w:tc>
                <w:tcPr>
                  <w:tcW w:w="1015" w:type="dxa"/>
                  <w:vAlign w:val="center"/>
                </w:tcPr>
                <w:p w14:paraId="30A7B64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危险废包装材料</w:t>
                  </w:r>
                </w:p>
              </w:tc>
              <w:tc>
                <w:tcPr>
                  <w:tcW w:w="815" w:type="dxa"/>
                  <w:vAlign w:val="center"/>
                </w:tcPr>
                <w:p w14:paraId="2D078546">
                  <w:pPr>
                    <w:pStyle w:val="66"/>
                    <w:rPr>
                      <w:color w:val="000000" w:themeColor="text1"/>
                      <w14:textFill>
                        <w14:solidFill>
                          <w14:schemeClr w14:val="tx1"/>
                        </w14:solidFill>
                      </w14:textFill>
                    </w:rPr>
                  </w:pPr>
                  <w:r>
                    <w:rPr>
                      <w:color w:val="000000" w:themeColor="text1"/>
                      <w14:textFill>
                        <w14:solidFill>
                          <w14:schemeClr w14:val="tx1"/>
                        </w14:solidFill>
                      </w14:textFill>
                    </w:rPr>
                    <w:t>HW49</w:t>
                  </w:r>
                </w:p>
              </w:tc>
              <w:tc>
                <w:tcPr>
                  <w:tcW w:w="674" w:type="dxa"/>
                  <w:vAlign w:val="center"/>
                </w:tcPr>
                <w:p w14:paraId="1490A7F9">
                  <w:pPr>
                    <w:pStyle w:val="66"/>
                    <w:rPr>
                      <w:color w:val="000000" w:themeColor="text1"/>
                      <w14:textFill>
                        <w14:solidFill>
                          <w14:schemeClr w14:val="tx1"/>
                        </w14:solidFill>
                      </w14:textFill>
                    </w:rPr>
                  </w:pPr>
                  <w:r>
                    <w:rPr>
                      <w:color w:val="000000" w:themeColor="text1"/>
                      <w14:textFill>
                        <w14:solidFill>
                          <w14:schemeClr w14:val="tx1"/>
                        </w14:solidFill>
                      </w14:textFill>
                    </w:rPr>
                    <w:t>900-041-49</w:t>
                  </w:r>
                </w:p>
              </w:tc>
              <w:tc>
                <w:tcPr>
                  <w:tcW w:w="674" w:type="dxa"/>
                  <w:vMerge w:val="continue"/>
                  <w:vAlign w:val="center"/>
                </w:tcPr>
                <w:p w14:paraId="0C88B142">
                  <w:pPr>
                    <w:pStyle w:val="66"/>
                    <w:rPr>
                      <w:color w:val="000000" w:themeColor="text1"/>
                      <w14:textFill>
                        <w14:solidFill>
                          <w14:schemeClr w14:val="tx1"/>
                        </w14:solidFill>
                      </w14:textFill>
                    </w:rPr>
                  </w:pPr>
                </w:p>
              </w:tc>
              <w:tc>
                <w:tcPr>
                  <w:tcW w:w="936" w:type="dxa"/>
                  <w:vAlign w:val="center"/>
                </w:tcPr>
                <w:p w14:paraId="7304F47C">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936" w:type="dxa"/>
                  <w:vAlign w:val="center"/>
                </w:tcPr>
                <w:p w14:paraId="20242C24">
                  <w:pPr>
                    <w:pStyle w:val="66"/>
                    <w:rPr>
                      <w:color w:val="000000" w:themeColor="text1"/>
                      <w14:textFill>
                        <w14:solidFill>
                          <w14:schemeClr w14:val="tx1"/>
                        </w14:solidFill>
                      </w14:textFill>
                    </w:rPr>
                  </w:pPr>
                  <w:r>
                    <w:rPr>
                      <w:color w:val="000000" w:themeColor="text1"/>
                      <w14:textFill>
                        <w14:solidFill>
                          <w14:schemeClr w14:val="tx1"/>
                        </w14:solidFill>
                      </w14:textFill>
                    </w:rPr>
                    <w:t>袋装</w:t>
                  </w:r>
                </w:p>
              </w:tc>
              <w:tc>
                <w:tcPr>
                  <w:tcW w:w="762" w:type="dxa"/>
                  <w:vAlign w:val="center"/>
                </w:tcPr>
                <w:p w14:paraId="26BE148E">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0.2</w:t>
                  </w:r>
                </w:p>
              </w:tc>
              <w:tc>
                <w:tcPr>
                  <w:tcW w:w="880" w:type="dxa"/>
                  <w:vAlign w:val="center"/>
                </w:tcPr>
                <w:p w14:paraId="65275D4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每月</w:t>
                  </w:r>
                </w:p>
              </w:tc>
            </w:tr>
            <w:tr w14:paraId="2B58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30FC9260">
                  <w:pPr>
                    <w:pStyle w:val="66"/>
                    <w:rPr>
                      <w:color w:val="000000" w:themeColor="text1"/>
                      <w14:textFill>
                        <w14:solidFill>
                          <w14:schemeClr w14:val="tx1"/>
                        </w14:solidFill>
                      </w14:textFill>
                    </w:rPr>
                  </w:pPr>
                  <w:r>
                    <w:rPr>
                      <w:color w:val="000000" w:themeColor="text1"/>
                      <w14:textFill>
                        <w14:solidFill>
                          <w14:schemeClr w14:val="tx1"/>
                        </w14:solidFill>
                      </w14:textFill>
                    </w:rPr>
                    <w:t>3</w:t>
                  </w:r>
                </w:p>
              </w:tc>
              <w:tc>
                <w:tcPr>
                  <w:tcW w:w="1015" w:type="dxa"/>
                  <w:vMerge w:val="continue"/>
                  <w:vAlign w:val="center"/>
                </w:tcPr>
                <w:p w14:paraId="648838A0">
                  <w:pPr>
                    <w:pStyle w:val="66"/>
                    <w:rPr>
                      <w:color w:val="000000" w:themeColor="text1"/>
                      <w14:textFill>
                        <w14:solidFill>
                          <w14:schemeClr w14:val="tx1"/>
                        </w14:solidFill>
                      </w14:textFill>
                    </w:rPr>
                  </w:pPr>
                </w:p>
              </w:tc>
              <w:tc>
                <w:tcPr>
                  <w:tcW w:w="1015" w:type="dxa"/>
                  <w:vAlign w:val="center"/>
                </w:tcPr>
                <w:p w14:paraId="58F14477">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废含油抹布及手套</w:t>
                  </w:r>
                </w:p>
              </w:tc>
              <w:tc>
                <w:tcPr>
                  <w:tcW w:w="815" w:type="dxa"/>
                  <w:vAlign w:val="center"/>
                </w:tcPr>
                <w:p w14:paraId="3ADC6A1D">
                  <w:pPr>
                    <w:pStyle w:val="66"/>
                    <w:rPr>
                      <w:color w:val="000000" w:themeColor="text1"/>
                      <w14:textFill>
                        <w14:solidFill>
                          <w14:schemeClr w14:val="tx1"/>
                        </w14:solidFill>
                      </w14:textFill>
                    </w:rPr>
                  </w:pPr>
                  <w:r>
                    <w:rPr>
                      <w:color w:val="000000" w:themeColor="text1"/>
                      <w14:textFill>
                        <w14:solidFill>
                          <w14:schemeClr w14:val="tx1"/>
                        </w14:solidFill>
                      </w14:textFill>
                    </w:rPr>
                    <w:t>HW49</w:t>
                  </w:r>
                </w:p>
              </w:tc>
              <w:tc>
                <w:tcPr>
                  <w:tcW w:w="674" w:type="dxa"/>
                  <w:vAlign w:val="center"/>
                </w:tcPr>
                <w:p w14:paraId="34DFAF0E">
                  <w:pPr>
                    <w:pStyle w:val="66"/>
                    <w:rPr>
                      <w:color w:val="000000" w:themeColor="text1"/>
                      <w14:textFill>
                        <w14:solidFill>
                          <w14:schemeClr w14:val="tx1"/>
                        </w14:solidFill>
                      </w14:textFill>
                    </w:rPr>
                  </w:pPr>
                  <w:r>
                    <w:rPr>
                      <w:color w:val="000000" w:themeColor="text1"/>
                      <w14:textFill>
                        <w14:solidFill>
                          <w14:schemeClr w14:val="tx1"/>
                        </w14:solidFill>
                      </w14:textFill>
                    </w:rPr>
                    <w:t>900-041-49</w:t>
                  </w:r>
                </w:p>
              </w:tc>
              <w:tc>
                <w:tcPr>
                  <w:tcW w:w="674" w:type="dxa"/>
                  <w:vMerge w:val="continue"/>
                  <w:vAlign w:val="center"/>
                </w:tcPr>
                <w:p w14:paraId="044B81BC">
                  <w:pPr>
                    <w:pStyle w:val="66"/>
                    <w:rPr>
                      <w:color w:val="000000" w:themeColor="text1"/>
                      <w14:textFill>
                        <w14:solidFill>
                          <w14:schemeClr w14:val="tx1"/>
                        </w14:solidFill>
                      </w14:textFill>
                    </w:rPr>
                  </w:pPr>
                </w:p>
              </w:tc>
              <w:tc>
                <w:tcPr>
                  <w:tcW w:w="936" w:type="dxa"/>
                  <w:vAlign w:val="center"/>
                </w:tcPr>
                <w:p w14:paraId="5FBCAE03">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936" w:type="dxa"/>
                  <w:vAlign w:val="center"/>
                </w:tcPr>
                <w:p w14:paraId="646C831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袋装</w:t>
                  </w:r>
                </w:p>
              </w:tc>
              <w:tc>
                <w:tcPr>
                  <w:tcW w:w="762" w:type="dxa"/>
                  <w:vAlign w:val="center"/>
                </w:tcPr>
                <w:p w14:paraId="31ED75E0">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0.05</w:t>
                  </w:r>
                </w:p>
              </w:tc>
              <w:tc>
                <w:tcPr>
                  <w:tcW w:w="880" w:type="dxa"/>
                  <w:vAlign w:val="center"/>
                </w:tcPr>
                <w:p w14:paraId="7DCFE38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每年</w:t>
                  </w:r>
                </w:p>
              </w:tc>
            </w:tr>
            <w:tr w14:paraId="631D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4EB8F65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015" w:type="dxa"/>
                  <w:vMerge w:val="continue"/>
                  <w:vAlign w:val="center"/>
                </w:tcPr>
                <w:p w14:paraId="28CFEA2F">
                  <w:pPr>
                    <w:pStyle w:val="66"/>
                    <w:rPr>
                      <w:color w:val="000000" w:themeColor="text1"/>
                      <w14:textFill>
                        <w14:solidFill>
                          <w14:schemeClr w14:val="tx1"/>
                        </w14:solidFill>
                      </w14:textFill>
                    </w:rPr>
                  </w:pPr>
                </w:p>
              </w:tc>
              <w:tc>
                <w:tcPr>
                  <w:tcW w:w="1015" w:type="dxa"/>
                  <w:vAlign w:val="center"/>
                </w:tcPr>
                <w:p w14:paraId="4B57E0D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废切削液</w:t>
                  </w:r>
                </w:p>
              </w:tc>
              <w:tc>
                <w:tcPr>
                  <w:tcW w:w="815" w:type="dxa"/>
                  <w:vAlign w:val="center"/>
                </w:tcPr>
                <w:p w14:paraId="05599B2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H</w:t>
                  </w:r>
                  <w:r>
                    <w:rPr>
                      <w:color w:val="000000" w:themeColor="text1"/>
                      <w14:textFill>
                        <w14:solidFill>
                          <w14:schemeClr w14:val="tx1"/>
                        </w14:solidFill>
                      </w14:textFill>
                    </w:rPr>
                    <w:t>W09</w:t>
                  </w:r>
                </w:p>
              </w:tc>
              <w:tc>
                <w:tcPr>
                  <w:tcW w:w="674" w:type="dxa"/>
                  <w:vAlign w:val="center"/>
                </w:tcPr>
                <w:p w14:paraId="59A21B75">
                  <w:pPr>
                    <w:pStyle w:val="66"/>
                    <w:rPr>
                      <w:color w:val="000000" w:themeColor="text1"/>
                      <w14:textFill>
                        <w14:solidFill>
                          <w14:schemeClr w14:val="tx1"/>
                        </w14:solidFill>
                      </w14:textFill>
                    </w:rPr>
                  </w:pPr>
                  <w:r>
                    <w:rPr>
                      <w:color w:val="000000" w:themeColor="text1"/>
                      <w14:textFill>
                        <w14:solidFill>
                          <w14:schemeClr w14:val="tx1"/>
                        </w14:solidFill>
                      </w14:textFill>
                    </w:rPr>
                    <w:t>900-006-09</w:t>
                  </w:r>
                </w:p>
              </w:tc>
              <w:tc>
                <w:tcPr>
                  <w:tcW w:w="674" w:type="dxa"/>
                  <w:vMerge w:val="continue"/>
                  <w:vAlign w:val="center"/>
                </w:tcPr>
                <w:p w14:paraId="3B042DBF">
                  <w:pPr>
                    <w:pStyle w:val="66"/>
                    <w:rPr>
                      <w:color w:val="000000" w:themeColor="text1"/>
                      <w14:textFill>
                        <w14:solidFill>
                          <w14:schemeClr w14:val="tx1"/>
                        </w14:solidFill>
                      </w14:textFill>
                    </w:rPr>
                  </w:pPr>
                </w:p>
              </w:tc>
              <w:tc>
                <w:tcPr>
                  <w:tcW w:w="936" w:type="dxa"/>
                  <w:vAlign w:val="center"/>
                </w:tcPr>
                <w:p w14:paraId="2A5BD4DA">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936" w:type="dxa"/>
                  <w:vAlign w:val="center"/>
                </w:tcPr>
                <w:p w14:paraId="2001683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桶装</w:t>
                  </w:r>
                </w:p>
              </w:tc>
              <w:tc>
                <w:tcPr>
                  <w:tcW w:w="762" w:type="dxa"/>
                  <w:vAlign w:val="center"/>
                </w:tcPr>
                <w:p w14:paraId="7107E895">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0.5</w:t>
                  </w:r>
                </w:p>
              </w:tc>
              <w:tc>
                <w:tcPr>
                  <w:tcW w:w="880" w:type="dxa"/>
                  <w:vAlign w:val="center"/>
                </w:tcPr>
                <w:p w14:paraId="57729DD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每月</w:t>
                  </w:r>
                </w:p>
              </w:tc>
            </w:tr>
            <w:tr w14:paraId="7A39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7DB072E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015" w:type="dxa"/>
                  <w:vMerge w:val="continue"/>
                  <w:vAlign w:val="center"/>
                </w:tcPr>
                <w:p w14:paraId="7534B3D3">
                  <w:pPr>
                    <w:pStyle w:val="66"/>
                    <w:rPr>
                      <w:color w:val="000000" w:themeColor="text1"/>
                      <w14:textFill>
                        <w14:solidFill>
                          <w14:schemeClr w14:val="tx1"/>
                        </w14:solidFill>
                      </w14:textFill>
                    </w:rPr>
                  </w:pPr>
                </w:p>
              </w:tc>
              <w:tc>
                <w:tcPr>
                  <w:tcW w:w="1015" w:type="dxa"/>
                  <w:vAlign w:val="center"/>
                </w:tcPr>
                <w:p w14:paraId="01E3909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废切削液包装桶</w:t>
                  </w:r>
                </w:p>
              </w:tc>
              <w:tc>
                <w:tcPr>
                  <w:tcW w:w="815" w:type="dxa"/>
                  <w:vAlign w:val="center"/>
                </w:tcPr>
                <w:p w14:paraId="122E390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H</w:t>
                  </w:r>
                  <w:r>
                    <w:rPr>
                      <w:color w:val="000000" w:themeColor="text1"/>
                      <w14:textFill>
                        <w14:solidFill>
                          <w14:schemeClr w14:val="tx1"/>
                        </w14:solidFill>
                      </w14:textFill>
                    </w:rPr>
                    <w:t>W49</w:t>
                  </w:r>
                </w:p>
              </w:tc>
              <w:tc>
                <w:tcPr>
                  <w:tcW w:w="674" w:type="dxa"/>
                  <w:vAlign w:val="center"/>
                </w:tcPr>
                <w:p w14:paraId="124EDBC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color w:val="000000" w:themeColor="text1"/>
                      <w14:textFill>
                        <w14:solidFill>
                          <w14:schemeClr w14:val="tx1"/>
                        </w14:solidFill>
                      </w14:textFill>
                    </w:rPr>
                    <w:t>00-041-49</w:t>
                  </w:r>
                </w:p>
              </w:tc>
              <w:tc>
                <w:tcPr>
                  <w:tcW w:w="674" w:type="dxa"/>
                  <w:vMerge w:val="continue"/>
                  <w:vAlign w:val="center"/>
                </w:tcPr>
                <w:p w14:paraId="7651182F">
                  <w:pPr>
                    <w:pStyle w:val="66"/>
                    <w:rPr>
                      <w:color w:val="000000" w:themeColor="text1"/>
                      <w14:textFill>
                        <w14:solidFill>
                          <w14:schemeClr w14:val="tx1"/>
                        </w14:solidFill>
                      </w14:textFill>
                    </w:rPr>
                  </w:pPr>
                </w:p>
              </w:tc>
              <w:tc>
                <w:tcPr>
                  <w:tcW w:w="936" w:type="dxa"/>
                  <w:vAlign w:val="center"/>
                </w:tcPr>
                <w:p w14:paraId="2019AF33">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936" w:type="dxa"/>
                  <w:vAlign w:val="center"/>
                </w:tcPr>
                <w:p w14:paraId="1462EF34">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袋装</w:t>
                  </w:r>
                </w:p>
              </w:tc>
              <w:tc>
                <w:tcPr>
                  <w:tcW w:w="762" w:type="dxa"/>
                  <w:vAlign w:val="center"/>
                </w:tcPr>
                <w:p w14:paraId="327F4FCB">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0.2</w:t>
                  </w:r>
                </w:p>
              </w:tc>
              <w:tc>
                <w:tcPr>
                  <w:tcW w:w="880" w:type="dxa"/>
                  <w:vAlign w:val="center"/>
                </w:tcPr>
                <w:p w14:paraId="5924F78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3个月</w:t>
                  </w:r>
                </w:p>
              </w:tc>
            </w:tr>
            <w:tr w14:paraId="0EFD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7AC604D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1015" w:type="dxa"/>
                  <w:vMerge w:val="continue"/>
                  <w:vAlign w:val="center"/>
                </w:tcPr>
                <w:p w14:paraId="19B51AAE">
                  <w:pPr>
                    <w:pStyle w:val="66"/>
                    <w:rPr>
                      <w:color w:val="000000" w:themeColor="text1"/>
                      <w14:textFill>
                        <w14:solidFill>
                          <w14:schemeClr w14:val="tx1"/>
                        </w14:solidFill>
                      </w14:textFill>
                    </w:rPr>
                  </w:pPr>
                </w:p>
              </w:tc>
              <w:tc>
                <w:tcPr>
                  <w:tcW w:w="1015" w:type="dxa"/>
                  <w:vAlign w:val="center"/>
                </w:tcPr>
                <w:p w14:paraId="53CD45E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废金属边角料</w:t>
                  </w:r>
                </w:p>
              </w:tc>
              <w:tc>
                <w:tcPr>
                  <w:tcW w:w="815" w:type="dxa"/>
                  <w:vAlign w:val="center"/>
                </w:tcPr>
                <w:p w14:paraId="04FE72D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H</w:t>
                  </w:r>
                  <w:r>
                    <w:rPr>
                      <w:color w:val="000000" w:themeColor="text1"/>
                      <w14:textFill>
                        <w14:solidFill>
                          <w14:schemeClr w14:val="tx1"/>
                        </w14:solidFill>
                      </w14:textFill>
                    </w:rPr>
                    <w:t>W08</w:t>
                  </w:r>
                </w:p>
              </w:tc>
              <w:tc>
                <w:tcPr>
                  <w:tcW w:w="674" w:type="dxa"/>
                  <w:vAlign w:val="center"/>
                </w:tcPr>
                <w:p w14:paraId="3088CBD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color w:val="000000" w:themeColor="text1"/>
                      <w14:textFill>
                        <w14:solidFill>
                          <w14:schemeClr w14:val="tx1"/>
                        </w14:solidFill>
                      </w14:textFill>
                    </w:rPr>
                    <w:t>00-200-08</w:t>
                  </w:r>
                </w:p>
              </w:tc>
              <w:tc>
                <w:tcPr>
                  <w:tcW w:w="674" w:type="dxa"/>
                  <w:vMerge w:val="continue"/>
                  <w:vAlign w:val="center"/>
                </w:tcPr>
                <w:p w14:paraId="0AFFFABA">
                  <w:pPr>
                    <w:pStyle w:val="66"/>
                    <w:rPr>
                      <w:color w:val="000000" w:themeColor="text1"/>
                      <w14:textFill>
                        <w14:solidFill>
                          <w14:schemeClr w14:val="tx1"/>
                        </w14:solidFill>
                      </w14:textFill>
                    </w:rPr>
                  </w:pPr>
                </w:p>
              </w:tc>
              <w:tc>
                <w:tcPr>
                  <w:tcW w:w="936" w:type="dxa"/>
                  <w:vAlign w:val="center"/>
                </w:tcPr>
                <w:p w14:paraId="19427755">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936" w:type="dxa"/>
                  <w:vAlign w:val="center"/>
                </w:tcPr>
                <w:p w14:paraId="25E8AF7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袋装</w:t>
                  </w:r>
                </w:p>
              </w:tc>
              <w:tc>
                <w:tcPr>
                  <w:tcW w:w="762" w:type="dxa"/>
                  <w:vAlign w:val="center"/>
                </w:tcPr>
                <w:p w14:paraId="6AA0AC9D">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0.5</w:t>
                  </w:r>
                </w:p>
              </w:tc>
              <w:tc>
                <w:tcPr>
                  <w:tcW w:w="880" w:type="dxa"/>
                  <w:vAlign w:val="center"/>
                </w:tcPr>
                <w:p w14:paraId="310B065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每月</w:t>
                  </w:r>
                </w:p>
              </w:tc>
            </w:tr>
            <w:tr w14:paraId="3E9E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75F550C6">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p>
              </w:tc>
              <w:tc>
                <w:tcPr>
                  <w:tcW w:w="1015" w:type="dxa"/>
                  <w:vMerge w:val="continue"/>
                  <w:vAlign w:val="center"/>
                </w:tcPr>
                <w:p w14:paraId="5F28A487">
                  <w:pPr>
                    <w:pStyle w:val="66"/>
                    <w:rPr>
                      <w:color w:val="000000" w:themeColor="text1"/>
                      <w14:textFill>
                        <w14:solidFill>
                          <w14:schemeClr w14:val="tx1"/>
                        </w14:solidFill>
                      </w14:textFill>
                    </w:rPr>
                  </w:pPr>
                </w:p>
              </w:tc>
              <w:tc>
                <w:tcPr>
                  <w:tcW w:w="1015" w:type="dxa"/>
                  <w:vAlign w:val="center"/>
                </w:tcPr>
                <w:p w14:paraId="353CBEC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含漆抹布及手套</w:t>
                  </w:r>
                </w:p>
              </w:tc>
              <w:tc>
                <w:tcPr>
                  <w:tcW w:w="815" w:type="dxa"/>
                  <w:vAlign w:val="center"/>
                </w:tcPr>
                <w:p w14:paraId="766F120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H</w:t>
                  </w:r>
                  <w:r>
                    <w:rPr>
                      <w:color w:val="000000" w:themeColor="text1"/>
                      <w14:textFill>
                        <w14:solidFill>
                          <w14:schemeClr w14:val="tx1"/>
                        </w14:solidFill>
                      </w14:textFill>
                    </w:rPr>
                    <w:t>W49</w:t>
                  </w:r>
                </w:p>
              </w:tc>
              <w:tc>
                <w:tcPr>
                  <w:tcW w:w="674" w:type="dxa"/>
                  <w:vAlign w:val="center"/>
                </w:tcPr>
                <w:p w14:paraId="1E12C86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color w:val="000000" w:themeColor="text1"/>
                      <w14:textFill>
                        <w14:solidFill>
                          <w14:schemeClr w14:val="tx1"/>
                        </w14:solidFill>
                      </w14:textFill>
                    </w:rPr>
                    <w:t>00-041-49</w:t>
                  </w:r>
                </w:p>
              </w:tc>
              <w:tc>
                <w:tcPr>
                  <w:tcW w:w="674" w:type="dxa"/>
                  <w:vMerge w:val="continue"/>
                  <w:vAlign w:val="center"/>
                </w:tcPr>
                <w:p w14:paraId="519E934C">
                  <w:pPr>
                    <w:pStyle w:val="66"/>
                    <w:rPr>
                      <w:color w:val="000000" w:themeColor="text1"/>
                      <w14:textFill>
                        <w14:solidFill>
                          <w14:schemeClr w14:val="tx1"/>
                        </w14:solidFill>
                      </w14:textFill>
                    </w:rPr>
                  </w:pPr>
                </w:p>
              </w:tc>
              <w:tc>
                <w:tcPr>
                  <w:tcW w:w="936" w:type="dxa"/>
                  <w:vAlign w:val="center"/>
                </w:tcPr>
                <w:p w14:paraId="4B85A4D3">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936" w:type="dxa"/>
                  <w:vAlign w:val="center"/>
                </w:tcPr>
                <w:p w14:paraId="611100C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袋装</w:t>
                  </w:r>
                </w:p>
              </w:tc>
              <w:tc>
                <w:tcPr>
                  <w:tcW w:w="762" w:type="dxa"/>
                  <w:vAlign w:val="center"/>
                </w:tcPr>
                <w:p w14:paraId="6458A39E">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0.1</w:t>
                  </w:r>
                </w:p>
              </w:tc>
              <w:tc>
                <w:tcPr>
                  <w:tcW w:w="880" w:type="dxa"/>
                  <w:vAlign w:val="center"/>
                </w:tcPr>
                <w:p w14:paraId="3789DAD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每年</w:t>
                  </w:r>
                </w:p>
              </w:tc>
            </w:tr>
            <w:tr w14:paraId="7BB1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275879C5">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p>
              </w:tc>
              <w:tc>
                <w:tcPr>
                  <w:tcW w:w="1015" w:type="dxa"/>
                  <w:vMerge w:val="continue"/>
                  <w:vAlign w:val="center"/>
                </w:tcPr>
                <w:p w14:paraId="084447E5">
                  <w:pPr>
                    <w:pStyle w:val="66"/>
                    <w:rPr>
                      <w:color w:val="000000" w:themeColor="text1"/>
                      <w14:textFill>
                        <w14:solidFill>
                          <w14:schemeClr w14:val="tx1"/>
                        </w14:solidFill>
                      </w14:textFill>
                    </w:rPr>
                  </w:pPr>
                </w:p>
              </w:tc>
              <w:tc>
                <w:tcPr>
                  <w:tcW w:w="1015" w:type="dxa"/>
                  <w:vAlign w:val="center"/>
                </w:tcPr>
                <w:p w14:paraId="3E86E10D">
                  <w:pPr>
                    <w:pStyle w:val="66"/>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废干式过滤棉</w:t>
                  </w:r>
                  <w:r>
                    <w:rPr>
                      <w:rFonts w:hint="eastAsia"/>
                      <w:color w:val="000000" w:themeColor="text1"/>
                      <w:lang w:val="en-US" w:eastAsia="zh-CN"/>
                      <w14:textFill>
                        <w14:solidFill>
                          <w14:schemeClr w14:val="tx1"/>
                        </w14:solidFill>
                      </w14:textFill>
                    </w:rPr>
                    <w:t>及漆渣</w:t>
                  </w:r>
                </w:p>
              </w:tc>
              <w:tc>
                <w:tcPr>
                  <w:tcW w:w="815" w:type="dxa"/>
                  <w:vAlign w:val="center"/>
                </w:tcPr>
                <w:p w14:paraId="577486C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H</w:t>
                  </w:r>
                  <w:r>
                    <w:rPr>
                      <w:color w:val="000000" w:themeColor="text1"/>
                      <w14:textFill>
                        <w14:solidFill>
                          <w14:schemeClr w14:val="tx1"/>
                        </w14:solidFill>
                      </w14:textFill>
                    </w:rPr>
                    <w:t>W49</w:t>
                  </w:r>
                </w:p>
              </w:tc>
              <w:tc>
                <w:tcPr>
                  <w:tcW w:w="674" w:type="dxa"/>
                  <w:vAlign w:val="center"/>
                </w:tcPr>
                <w:p w14:paraId="2C63CFC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color w:val="000000" w:themeColor="text1"/>
                      <w14:textFill>
                        <w14:solidFill>
                          <w14:schemeClr w14:val="tx1"/>
                        </w14:solidFill>
                      </w14:textFill>
                    </w:rPr>
                    <w:t>00-041-49</w:t>
                  </w:r>
                </w:p>
              </w:tc>
              <w:tc>
                <w:tcPr>
                  <w:tcW w:w="674" w:type="dxa"/>
                  <w:vMerge w:val="continue"/>
                  <w:vAlign w:val="center"/>
                </w:tcPr>
                <w:p w14:paraId="0C2690FC">
                  <w:pPr>
                    <w:pStyle w:val="66"/>
                    <w:rPr>
                      <w:color w:val="000000" w:themeColor="text1"/>
                      <w14:textFill>
                        <w14:solidFill>
                          <w14:schemeClr w14:val="tx1"/>
                        </w14:solidFill>
                      </w14:textFill>
                    </w:rPr>
                  </w:pPr>
                </w:p>
              </w:tc>
              <w:tc>
                <w:tcPr>
                  <w:tcW w:w="936" w:type="dxa"/>
                  <w:vAlign w:val="center"/>
                </w:tcPr>
                <w:p w14:paraId="3E94D3E9">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936" w:type="dxa"/>
                  <w:vAlign w:val="center"/>
                </w:tcPr>
                <w:p w14:paraId="6E926C9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袋装</w:t>
                  </w:r>
                </w:p>
              </w:tc>
              <w:tc>
                <w:tcPr>
                  <w:tcW w:w="762" w:type="dxa"/>
                  <w:vAlign w:val="center"/>
                </w:tcPr>
                <w:p w14:paraId="025D63C8">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0.2</w:t>
                  </w:r>
                </w:p>
              </w:tc>
              <w:tc>
                <w:tcPr>
                  <w:tcW w:w="880" w:type="dxa"/>
                  <w:vAlign w:val="center"/>
                </w:tcPr>
                <w:p w14:paraId="53C9B1A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每月</w:t>
                  </w:r>
                </w:p>
              </w:tc>
            </w:tr>
            <w:tr w14:paraId="6889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311A426F">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p>
              </w:tc>
              <w:tc>
                <w:tcPr>
                  <w:tcW w:w="1015" w:type="dxa"/>
                  <w:vMerge w:val="continue"/>
                  <w:vAlign w:val="center"/>
                </w:tcPr>
                <w:p w14:paraId="57737663">
                  <w:pPr>
                    <w:pStyle w:val="66"/>
                    <w:rPr>
                      <w:color w:val="000000" w:themeColor="text1"/>
                      <w14:textFill>
                        <w14:solidFill>
                          <w14:schemeClr w14:val="tx1"/>
                        </w14:solidFill>
                      </w14:textFill>
                    </w:rPr>
                  </w:pPr>
                </w:p>
              </w:tc>
              <w:tc>
                <w:tcPr>
                  <w:tcW w:w="1015" w:type="dxa"/>
                  <w:vAlign w:val="center"/>
                </w:tcPr>
                <w:p w14:paraId="03919A8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清洗废液</w:t>
                  </w:r>
                </w:p>
              </w:tc>
              <w:tc>
                <w:tcPr>
                  <w:tcW w:w="815" w:type="dxa"/>
                  <w:vAlign w:val="center"/>
                </w:tcPr>
                <w:p w14:paraId="03E29387">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H</w:t>
                  </w:r>
                  <w:r>
                    <w:rPr>
                      <w:color w:val="000000" w:themeColor="text1"/>
                      <w14:textFill>
                        <w14:solidFill>
                          <w14:schemeClr w14:val="tx1"/>
                        </w14:solidFill>
                      </w14:textFill>
                    </w:rPr>
                    <w:t>W06</w:t>
                  </w:r>
                </w:p>
              </w:tc>
              <w:tc>
                <w:tcPr>
                  <w:tcW w:w="674" w:type="dxa"/>
                  <w:vAlign w:val="center"/>
                </w:tcPr>
                <w:p w14:paraId="26424B0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color w:val="000000" w:themeColor="text1"/>
                      <w14:textFill>
                        <w14:solidFill>
                          <w14:schemeClr w14:val="tx1"/>
                        </w14:solidFill>
                      </w14:textFill>
                    </w:rPr>
                    <w:t>00-402-06</w:t>
                  </w:r>
                </w:p>
              </w:tc>
              <w:tc>
                <w:tcPr>
                  <w:tcW w:w="674" w:type="dxa"/>
                  <w:vMerge w:val="continue"/>
                  <w:vAlign w:val="center"/>
                </w:tcPr>
                <w:p w14:paraId="58453318">
                  <w:pPr>
                    <w:pStyle w:val="66"/>
                    <w:rPr>
                      <w:color w:val="000000" w:themeColor="text1"/>
                      <w14:textFill>
                        <w14:solidFill>
                          <w14:schemeClr w14:val="tx1"/>
                        </w14:solidFill>
                      </w14:textFill>
                    </w:rPr>
                  </w:pPr>
                </w:p>
              </w:tc>
              <w:tc>
                <w:tcPr>
                  <w:tcW w:w="936" w:type="dxa"/>
                  <w:vAlign w:val="center"/>
                </w:tcPr>
                <w:p w14:paraId="71C5FA9B">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936" w:type="dxa"/>
                  <w:vAlign w:val="center"/>
                </w:tcPr>
                <w:p w14:paraId="532BF2C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桶装</w:t>
                  </w:r>
                </w:p>
              </w:tc>
              <w:tc>
                <w:tcPr>
                  <w:tcW w:w="762" w:type="dxa"/>
                  <w:vAlign w:val="center"/>
                </w:tcPr>
                <w:p w14:paraId="580EDB9F">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0.2</w:t>
                  </w:r>
                </w:p>
              </w:tc>
              <w:tc>
                <w:tcPr>
                  <w:tcW w:w="880" w:type="dxa"/>
                  <w:vAlign w:val="center"/>
                </w:tcPr>
                <w:p w14:paraId="4D0C363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每月</w:t>
                  </w:r>
                </w:p>
              </w:tc>
            </w:tr>
            <w:tr w14:paraId="78A9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5CE97EDF">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p>
              </w:tc>
              <w:tc>
                <w:tcPr>
                  <w:tcW w:w="1015" w:type="dxa"/>
                  <w:vMerge w:val="continue"/>
                  <w:vAlign w:val="center"/>
                </w:tcPr>
                <w:p w14:paraId="19E7746B">
                  <w:pPr>
                    <w:pStyle w:val="66"/>
                    <w:rPr>
                      <w:color w:val="000000" w:themeColor="text1"/>
                      <w14:textFill>
                        <w14:solidFill>
                          <w14:schemeClr w14:val="tx1"/>
                        </w14:solidFill>
                      </w14:textFill>
                    </w:rPr>
                  </w:pPr>
                </w:p>
              </w:tc>
              <w:tc>
                <w:tcPr>
                  <w:tcW w:w="1015" w:type="dxa"/>
                  <w:vAlign w:val="center"/>
                </w:tcPr>
                <w:p w14:paraId="4642A0CB">
                  <w:pPr>
                    <w:pStyle w:val="66"/>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喷淋废液及沉渣</w:t>
                  </w:r>
                </w:p>
              </w:tc>
              <w:tc>
                <w:tcPr>
                  <w:tcW w:w="815" w:type="dxa"/>
                  <w:vAlign w:val="center"/>
                </w:tcPr>
                <w:p w14:paraId="6B811296">
                  <w:pPr>
                    <w:pStyle w:val="66"/>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HW12</w:t>
                  </w:r>
                </w:p>
              </w:tc>
              <w:tc>
                <w:tcPr>
                  <w:tcW w:w="674" w:type="dxa"/>
                  <w:vAlign w:val="center"/>
                </w:tcPr>
                <w:p w14:paraId="4183373C">
                  <w:pPr>
                    <w:pStyle w:val="66"/>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900-252-12</w:t>
                  </w:r>
                </w:p>
              </w:tc>
              <w:tc>
                <w:tcPr>
                  <w:tcW w:w="674" w:type="dxa"/>
                  <w:vMerge w:val="continue"/>
                  <w:vAlign w:val="center"/>
                </w:tcPr>
                <w:p w14:paraId="2AE1F8B1">
                  <w:pPr>
                    <w:pStyle w:val="66"/>
                    <w:rPr>
                      <w:color w:val="000000" w:themeColor="text1"/>
                      <w14:textFill>
                        <w14:solidFill>
                          <w14:schemeClr w14:val="tx1"/>
                        </w14:solidFill>
                      </w14:textFill>
                    </w:rPr>
                  </w:pPr>
                </w:p>
              </w:tc>
              <w:tc>
                <w:tcPr>
                  <w:tcW w:w="936" w:type="dxa"/>
                  <w:vAlign w:val="center"/>
                </w:tcPr>
                <w:p w14:paraId="0C85817A">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p>
              </w:tc>
              <w:tc>
                <w:tcPr>
                  <w:tcW w:w="936" w:type="dxa"/>
                  <w:vAlign w:val="center"/>
                </w:tcPr>
                <w:p w14:paraId="396EEF39">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桶装</w:t>
                  </w:r>
                </w:p>
              </w:tc>
              <w:tc>
                <w:tcPr>
                  <w:tcW w:w="762" w:type="dxa"/>
                  <w:vAlign w:val="center"/>
                </w:tcPr>
                <w:p w14:paraId="65DD3DC3">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p>
              </w:tc>
              <w:tc>
                <w:tcPr>
                  <w:tcW w:w="880" w:type="dxa"/>
                  <w:vAlign w:val="center"/>
                </w:tcPr>
                <w:p w14:paraId="0E31AD62">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每月</w:t>
                  </w:r>
                </w:p>
              </w:tc>
            </w:tr>
            <w:tr w14:paraId="403C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6" w:type="dxa"/>
                  <w:vAlign w:val="center"/>
                </w:tcPr>
                <w:p w14:paraId="30101B62">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w:t>
                  </w:r>
                </w:p>
              </w:tc>
              <w:tc>
                <w:tcPr>
                  <w:tcW w:w="1015" w:type="dxa"/>
                  <w:vMerge w:val="continue"/>
                  <w:vAlign w:val="center"/>
                </w:tcPr>
                <w:p w14:paraId="25447EFF">
                  <w:pPr>
                    <w:pStyle w:val="66"/>
                    <w:rPr>
                      <w:color w:val="000000" w:themeColor="text1"/>
                      <w14:textFill>
                        <w14:solidFill>
                          <w14:schemeClr w14:val="tx1"/>
                        </w14:solidFill>
                      </w14:textFill>
                    </w:rPr>
                  </w:pPr>
                </w:p>
              </w:tc>
              <w:tc>
                <w:tcPr>
                  <w:tcW w:w="1015" w:type="dxa"/>
                  <w:vAlign w:val="center"/>
                </w:tcPr>
                <w:p w14:paraId="786A1595">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废活性炭</w:t>
                  </w:r>
                </w:p>
              </w:tc>
              <w:tc>
                <w:tcPr>
                  <w:tcW w:w="815" w:type="dxa"/>
                  <w:vAlign w:val="center"/>
                </w:tcPr>
                <w:p w14:paraId="3D297977">
                  <w:pPr>
                    <w:pStyle w:val="66"/>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HW49</w:t>
                  </w:r>
                </w:p>
              </w:tc>
              <w:tc>
                <w:tcPr>
                  <w:tcW w:w="674" w:type="dxa"/>
                  <w:vAlign w:val="center"/>
                </w:tcPr>
                <w:p w14:paraId="21B7A867">
                  <w:pPr>
                    <w:pStyle w:val="66"/>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900-039-49</w:t>
                  </w:r>
                </w:p>
              </w:tc>
              <w:tc>
                <w:tcPr>
                  <w:tcW w:w="674" w:type="dxa"/>
                  <w:vMerge w:val="continue"/>
                  <w:vAlign w:val="center"/>
                </w:tcPr>
                <w:p w14:paraId="6229EF5E">
                  <w:pPr>
                    <w:pStyle w:val="66"/>
                    <w:rPr>
                      <w:color w:val="000000" w:themeColor="text1"/>
                      <w14:textFill>
                        <w14:solidFill>
                          <w14:schemeClr w14:val="tx1"/>
                        </w14:solidFill>
                      </w14:textFill>
                    </w:rPr>
                  </w:pPr>
                </w:p>
              </w:tc>
              <w:tc>
                <w:tcPr>
                  <w:tcW w:w="936" w:type="dxa"/>
                  <w:vAlign w:val="center"/>
                </w:tcPr>
                <w:p w14:paraId="02B2FAB1">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936" w:type="dxa"/>
                  <w:vAlign w:val="center"/>
                </w:tcPr>
                <w:p w14:paraId="3B09081D">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袋装</w:t>
                  </w:r>
                </w:p>
              </w:tc>
              <w:tc>
                <w:tcPr>
                  <w:tcW w:w="762" w:type="dxa"/>
                  <w:vAlign w:val="center"/>
                </w:tcPr>
                <w:p w14:paraId="63A97BBD">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880" w:type="dxa"/>
                  <w:vAlign w:val="center"/>
                </w:tcPr>
                <w:p w14:paraId="7F0BD11C">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每月</w:t>
                  </w:r>
                </w:p>
              </w:tc>
            </w:tr>
          </w:tbl>
          <w:p w14:paraId="1939C39D"/>
          <w:p w14:paraId="75A6026C">
            <w:pPr>
              <w:jc w:val="center"/>
              <w:rPr>
                <w:b/>
              </w:rPr>
            </w:pPr>
          </w:p>
          <w:p w14:paraId="7CB7E3BD">
            <w:pPr>
              <w:spacing w:line="360" w:lineRule="auto"/>
              <w:rPr>
                <w:b/>
                <w:sz w:val="24"/>
              </w:rPr>
            </w:pPr>
            <w:r>
              <w:rPr>
                <w:b/>
                <w:sz w:val="24"/>
              </w:rPr>
              <w:t>五、地下水</w:t>
            </w:r>
          </w:p>
          <w:p w14:paraId="35A8C944">
            <w:pPr>
              <w:spacing w:line="360" w:lineRule="auto"/>
              <w:ind w:firstLine="480" w:firstLineChars="200"/>
              <w:rPr>
                <w:sz w:val="24"/>
              </w:rPr>
            </w:pPr>
            <w:r>
              <w:rPr>
                <w:rFonts w:hint="eastAsia"/>
                <w:sz w:val="24"/>
              </w:rPr>
              <w:t>本</w:t>
            </w:r>
            <w:r>
              <w:rPr>
                <w:rFonts w:hint="eastAsia"/>
                <w:sz w:val="24"/>
                <w:lang w:eastAsia="zh-CN"/>
              </w:rPr>
              <w:t>项目</w:t>
            </w:r>
            <w:r>
              <w:rPr>
                <w:rFonts w:hint="eastAsia"/>
                <w:sz w:val="24"/>
              </w:rPr>
              <w:t>位于广东省韶关市乐昌市乐昌产业转移工业园内，根据现场勘探，本</w:t>
            </w:r>
            <w:r>
              <w:rPr>
                <w:rFonts w:hint="eastAsia"/>
                <w:sz w:val="24"/>
                <w:lang w:eastAsia="zh-CN"/>
              </w:rPr>
              <w:t>项目</w:t>
            </w:r>
            <w:r>
              <w:rPr>
                <w:rFonts w:hint="eastAsia"/>
                <w:sz w:val="24"/>
              </w:rPr>
              <w:t>生产车间已建成，内部地面已硬化。生活废水由三级化粪池处理，本</w:t>
            </w:r>
            <w:r>
              <w:rPr>
                <w:rFonts w:hint="eastAsia"/>
                <w:sz w:val="24"/>
                <w:lang w:eastAsia="zh-CN"/>
              </w:rPr>
              <w:t>项目</w:t>
            </w:r>
            <w:r>
              <w:rPr>
                <w:rFonts w:hint="eastAsia"/>
                <w:sz w:val="24"/>
              </w:rPr>
              <w:t>可能存在的地下水污染源主要为原辅材料的渗漏、生活垃圾、一般工业固体废物、危险废物贮存期间产生渗滤液下渗。</w:t>
            </w:r>
          </w:p>
          <w:p w14:paraId="273DF612">
            <w:pPr>
              <w:spacing w:line="360" w:lineRule="auto"/>
              <w:ind w:firstLine="480" w:firstLineChars="200"/>
              <w:rPr>
                <w:sz w:val="24"/>
              </w:rPr>
            </w:pPr>
            <w:r>
              <w:rPr>
                <w:sz w:val="24"/>
              </w:rPr>
              <w:t>防控措施：</w:t>
            </w:r>
          </w:p>
          <w:p w14:paraId="0F15C524">
            <w:pPr>
              <w:spacing w:line="360" w:lineRule="auto"/>
              <w:ind w:firstLine="480" w:firstLineChars="200"/>
              <w:rPr>
                <w:sz w:val="24"/>
              </w:rPr>
            </w:pPr>
            <w:r>
              <w:rPr>
                <w:rFonts w:hint="eastAsia"/>
                <w:sz w:val="24"/>
              </w:rPr>
              <w:t>厂房内的原辅材料储存区、一般工业固体废物贮存区、危险废物贮存间等区域进行地面硬底</w:t>
            </w:r>
            <w:r>
              <w:rPr>
                <w:rFonts w:ascii="Times New Roman" w:hAnsi="Times New Roman" w:cs="Times New Roman"/>
                <w:sz w:val="24"/>
              </w:rPr>
              <w:t>化处理，落实有效的防雨、防渗漏、防溢流措施；同时应满足《一般工业固体废物贮存 和填埋污染控制标准》（GB18599-2020）、《危险废物贮存污染控制标准》</w:t>
            </w:r>
            <w:r>
              <w:rPr>
                <w:rFonts w:hint="eastAsia" w:ascii="Times New Roman" w:hAnsi="Times New Roman" w:cs="Times New Roman"/>
                <w:sz w:val="24"/>
                <w:lang w:eastAsia="zh-CN"/>
              </w:rPr>
              <w:t>（</w:t>
            </w:r>
            <w:r>
              <w:rPr>
                <w:rFonts w:ascii="Times New Roman" w:hAnsi="Times New Roman" w:cs="Times New Roman"/>
                <w:sz w:val="24"/>
              </w:rPr>
              <w:t>GB18597-2023</w:t>
            </w:r>
            <w:r>
              <w:rPr>
                <w:rFonts w:hint="eastAsia" w:ascii="Times New Roman" w:hAnsi="Times New Roman" w:cs="Times New Roman"/>
                <w:sz w:val="24"/>
                <w:lang w:eastAsia="zh-CN"/>
              </w:rPr>
              <w:t>）</w:t>
            </w:r>
            <w:r>
              <w:rPr>
                <w:rFonts w:ascii="Times New Roman" w:hAnsi="Times New Roman" w:cs="Times New Roman"/>
                <w:sz w:val="24"/>
              </w:rPr>
              <w:t>的要求，其中防渗层为至少 1m 厚粘土层</w:t>
            </w:r>
            <w:r>
              <w:rPr>
                <w:rFonts w:hint="eastAsia" w:ascii="Times New Roman" w:hAnsi="Times New Roman" w:cs="Times New Roman"/>
                <w:sz w:val="24"/>
                <w:lang w:eastAsia="zh-CN"/>
              </w:rPr>
              <w:t>（</w:t>
            </w:r>
            <w:r>
              <w:rPr>
                <w:rFonts w:ascii="Times New Roman" w:hAnsi="Times New Roman" w:cs="Times New Roman"/>
                <w:sz w:val="24"/>
              </w:rPr>
              <w:t>渗透系数≤10-7cm/s</w:t>
            </w:r>
            <w:r>
              <w:rPr>
                <w:rFonts w:hint="eastAsia" w:ascii="Times New Roman" w:hAnsi="Times New Roman" w:cs="Times New Roman"/>
                <w:sz w:val="24"/>
                <w:lang w:eastAsia="zh-CN"/>
              </w:rPr>
              <w:t>）</w:t>
            </w:r>
            <w:r>
              <w:rPr>
                <w:rFonts w:ascii="Times New Roman" w:hAnsi="Times New Roman" w:cs="Times New Roman"/>
                <w:sz w:val="24"/>
              </w:rPr>
              <w:t xml:space="preserve"> 。或 2mm 厚高密度聚乙烯，或至少 2mm 厚的其它人工材料</w:t>
            </w:r>
            <w:r>
              <w:rPr>
                <w:rFonts w:hint="eastAsia" w:ascii="Times New Roman" w:hAnsi="Times New Roman" w:cs="Times New Roman"/>
                <w:sz w:val="24"/>
                <w:lang w:eastAsia="zh-CN"/>
              </w:rPr>
              <w:t>（</w:t>
            </w:r>
            <w:r>
              <w:rPr>
                <w:rFonts w:ascii="Times New Roman" w:hAnsi="Times New Roman" w:cs="Times New Roman"/>
                <w:sz w:val="24"/>
              </w:rPr>
              <w:t>渗透系数≤10-10cm/s</w:t>
            </w:r>
            <w:r>
              <w:rPr>
                <w:rFonts w:hint="eastAsia" w:ascii="Times New Roman" w:hAnsi="Times New Roman" w:cs="Times New Roman"/>
                <w:sz w:val="24"/>
                <w:lang w:eastAsia="zh-CN"/>
              </w:rPr>
              <w:t>）</w:t>
            </w:r>
            <w:r>
              <w:rPr>
                <w:rFonts w:ascii="Times New Roman" w:hAnsi="Times New Roman" w:cs="Times New Roman"/>
                <w:sz w:val="24"/>
              </w:rPr>
              <w:t>。危硷废物贮存场所四周设置围堰，防止物料外泄，四周墙壁用砖砌再用水泥硬化防渗、同时日</w:t>
            </w:r>
            <w:r>
              <w:rPr>
                <w:rFonts w:hint="eastAsia"/>
                <w:sz w:val="24"/>
              </w:rPr>
              <w:t>常运行加强对原辅材料、固体废物出入储存的管理。</w:t>
            </w:r>
          </w:p>
          <w:p w14:paraId="5138BD2F">
            <w:pPr>
              <w:spacing w:line="360" w:lineRule="auto"/>
              <w:ind w:firstLine="480" w:firstLineChars="200"/>
              <w:rPr>
                <w:sz w:val="24"/>
              </w:rPr>
            </w:pPr>
            <w:r>
              <w:rPr>
                <w:rFonts w:hint="eastAsia"/>
                <w:sz w:val="24"/>
              </w:rPr>
              <w:t>本</w:t>
            </w:r>
            <w:r>
              <w:rPr>
                <w:rFonts w:hint="eastAsia"/>
                <w:sz w:val="24"/>
                <w:lang w:eastAsia="zh-CN"/>
              </w:rPr>
              <w:t>项目</w:t>
            </w:r>
            <w:r>
              <w:rPr>
                <w:rFonts w:hint="eastAsia"/>
                <w:sz w:val="24"/>
              </w:rPr>
              <w:t>不涉及地下水开采，不会影响当地地下水水位，不会产生地面沉降、岩溶塌陷等 不良水文地质灾害；通过加强生产运行管理，做好防渗漏工作，在正常运行况下，不会对地下水环境质量造成显著的不利影响。</w:t>
            </w:r>
          </w:p>
          <w:p w14:paraId="08BE9C61">
            <w:pPr>
              <w:spacing w:line="360" w:lineRule="auto"/>
              <w:rPr>
                <w:b/>
                <w:sz w:val="24"/>
              </w:rPr>
            </w:pPr>
            <w:r>
              <w:rPr>
                <w:b/>
                <w:sz w:val="24"/>
              </w:rPr>
              <w:t>六、土壤</w:t>
            </w:r>
          </w:p>
          <w:p w14:paraId="1381E2B9">
            <w:pPr>
              <w:spacing w:line="360" w:lineRule="auto"/>
              <w:ind w:firstLine="480" w:firstLineChars="200"/>
              <w:rPr>
                <w:rFonts w:ascii="Times New Roman" w:hAnsi="Times New Roman" w:cs="Times New Roman"/>
                <w:sz w:val="24"/>
              </w:rPr>
            </w:pPr>
            <w:r>
              <w:rPr>
                <w:rFonts w:hint="eastAsia"/>
                <w:sz w:val="24"/>
              </w:rPr>
              <w:t>本</w:t>
            </w:r>
            <w:r>
              <w:rPr>
                <w:rFonts w:hint="eastAsia"/>
                <w:sz w:val="24"/>
                <w:lang w:eastAsia="zh-CN"/>
              </w:rPr>
              <w:t>项目</w:t>
            </w:r>
            <w:r>
              <w:rPr>
                <w:rFonts w:hint="eastAsia"/>
                <w:sz w:val="24"/>
              </w:rPr>
              <w:t>对土壤可能产生影响的途径主要为大气沉降、地面渗透等。本</w:t>
            </w:r>
            <w:r>
              <w:rPr>
                <w:rFonts w:hint="eastAsia"/>
                <w:sz w:val="24"/>
                <w:lang w:eastAsia="zh-CN"/>
              </w:rPr>
              <w:t>项目</w:t>
            </w:r>
            <w:r>
              <w:rPr>
                <w:rFonts w:hint="eastAsia"/>
                <w:sz w:val="24"/>
              </w:rPr>
              <w:t>在运营过程中，</w:t>
            </w:r>
            <w:r>
              <w:rPr>
                <w:rFonts w:hint="eastAsia"/>
                <w:sz w:val="24"/>
                <w:lang w:eastAsia="zh-CN"/>
              </w:rPr>
              <w:t>项目</w:t>
            </w:r>
            <w:r>
              <w:rPr>
                <w:rFonts w:hint="eastAsia"/>
                <w:sz w:val="24"/>
              </w:rPr>
              <w:t>内部需做好地面硬化防渗处理。</w:t>
            </w:r>
            <w:r>
              <w:rPr>
                <w:rFonts w:hint="eastAsia"/>
                <w:sz w:val="24"/>
                <w:lang w:eastAsia="zh-CN"/>
              </w:rPr>
              <w:t>项目</w:t>
            </w:r>
            <w:r>
              <w:rPr>
                <w:rFonts w:hint="eastAsia"/>
                <w:sz w:val="24"/>
              </w:rPr>
              <w:t>生活污水经三级化粪池处理后通过</w:t>
            </w:r>
            <w:r>
              <w:rPr>
                <w:rFonts w:ascii="Times New Roman" w:hAnsi="Times New Roman" w:cs="Times New Roman"/>
                <w:sz w:val="24"/>
              </w:rPr>
              <w:t>管网排入厂区污水处理厂处理。</w:t>
            </w:r>
            <w:r>
              <w:rPr>
                <w:rFonts w:hint="eastAsia" w:ascii="Times New Roman" w:hAnsi="Times New Roman" w:cs="Times New Roman"/>
                <w:sz w:val="24"/>
                <w:lang w:eastAsia="zh-CN"/>
              </w:rPr>
              <w:t>项目</w:t>
            </w:r>
            <w:r>
              <w:rPr>
                <w:rFonts w:ascii="Times New Roman" w:hAnsi="Times New Roman" w:cs="Times New Roman"/>
                <w:sz w:val="24"/>
              </w:rPr>
              <w:t>内部做好管道的相应防渗措施，可避免污水发生“跑、冒、滴、漏 ”现象，造成垂直下渗，污染土壤环境。有机废气通过集气管引至相应处理装置处理，最后经 15m 高的排气筒排放；大气沉降对周边土壤的影响极其有限，通过大气沉降对周边土壤造成的影响不大。</w:t>
            </w:r>
          </w:p>
          <w:p w14:paraId="78E3907F">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本</w:t>
            </w:r>
            <w:r>
              <w:rPr>
                <w:rFonts w:hint="eastAsia" w:ascii="Times New Roman" w:hAnsi="Times New Roman" w:cs="Times New Roman"/>
                <w:sz w:val="24"/>
                <w:lang w:eastAsia="zh-CN"/>
              </w:rPr>
              <w:t>项目</w:t>
            </w:r>
            <w:r>
              <w:rPr>
                <w:rFonts w:ascii="Times New Roman" w:hAnsi="Times New Roman" w:cs="Times New Roman"/>
                <w:sz w:val="24"/>
              </w:rPr>
              <w:t>在运营过程中，为防止对土壤的污染，应采取如下措施：</w:t>
            </w:r>
          </w:p>
          <w:p w14:paraId="4D2B484E">
            <w:pPr>
              <w:tabs>
                <w:tab w:val="left" w:pos="2000"/>
              </w:tabs>
              <w:spacing w:line="360" w:lineRule="auto"/>
              <w:ind w:firstLine="480" w:firstLineChars="200"/>
              <w:rPr>
                <w:sz w:val="24"/>
              </w:rPr>
            </w:pPr>
            <w:r>
              <w:rPr>
                <w:rFonts w:hint="eastAsia" w:ascii="宋体" w:hAnsi="宋体" w:eastAsia="宋体" w:cs="宋体"/>
                <w:sz w:val="24"/>
              </w:rPr>
              <w:t>①</w:t>
            </w:r>
            <w:r>
              <w:rPr>
                <w:rFonts w:ascii="Times New Roman" w:hAnsi="Times New Roman" w:cs="Times New Roman"/>
                <w:sz w:val="24"/>
              </w:rPr>
              <w:t>危险废物严格按要求进行处理处置，严禁随意倾倒、丢弃，建设单位及时联系危废单位回收，在危废处理单位未回收期间，应集中收集，专人管理，集中贮存，各类危险废物按性质不同分类进行贮存。危废暂存处应满足《危险废物贮存污染控制标准》（GB18597-2023），贮存场所要防风、防雨、防晒，并设计建造径流疏导系统、泄漏液体收集装置，避开化学</w:t>
            </w:r>
            <w:r>
              <w:rPr>
                <w:rFonts w:hint="eastAsia"/>
                <w:sz w:val="24"/>
              </w:rPr>
              <w:t>品仓库，基础必须防渗。</w:t>
            </w:r>
          </w:p>
          <w:p w14:paraId="1081AF08">
            <w:pPr>
              <w:tabs>
                <w:tab w:val="left" w:pos="2000"/>
              </w:tabs>
              <w:spacing w:line="360" w:lineRule="auto"/>
              <w:ind w:firstLine="480" w:firstLineChars="200"/>
              <w:rPr>
                <w:sz w:val="24"/>
              </w:rPr>
            </w:pPr>
            <w:r>
              <w:rPr>
                <w:rFonts w:hint="eastAsia"/>
                <w:sz w:val="24"/>
              </w:rPr>
              <w:t>②一旦发生生产废水等泄漏事故，项目应及时通知有关部门并采取必要的安全措施，减少事故损失，防止事故蔓延、扩大。</w:t>
            </w:r>
          </w:p>
          <w:p w14:paraId="5A247F73">
            <w:pPr>
              <w:tabs>
                <w:tab w:val="left" w:pos="2000"/>
              </w:tabs>
              <w:spacing w:line="360" w:lineRule="auto"/>
              <w:ind w:firstLine="480" w:firstLineChars="200"/>
              <w:rPr>
                <w:sz w:val="24"/>
              </w:rPr>
            </w:pPr>
            <w:r>
              <w:rPr>
                <w:rFonts w:hint="eastAsia"/>
                <w:sz w:val="24"/>
              </w:rPr>
              <w:t>③工作区域地面作硬底化处理。</w:t>
            </w:r>
          </w:p>
          <w:p w14:paraId="453A4BCC">
            <w:pPr>
              <w:tabs>
                <w:tab w:val="left" w:pos="2000"/>
              </w:tabs>
              <w:spacing w:line="360" w:lineRule="auto"/>
              <w:ind w:firstLine="480" w:firstLineChars="200"/>
              <w:rPr>
                <w:sz w:val="24"/>
              </w:rPr>
            </w:pPr>
            <w:r>
              <w:rPr>
                <w:rFonts w:hint="eastAsia"/>
                <w:sz w:val="24"/>
              </w:rPr>
              <w:t>④加强生产管理，减少废气的有组织和无组织排放，以减少废气污染物通过大气沉降落在地面，污染土壤。建设单位必须确保废气收集系统和净化装置的正常运行，并达到本评价所要求的治理效果，定期检查废气收集装置、净化装置、排气筒；若废气收集系统和净化装置发生故障或效率降低时，建设单位必须及时修复，在未修复前必须根据故障情况采取限产或停产措施。</w:t>
            </w:r>
          </w:p>
          <w:p w14:paraId="687AB5F6">
            <w:pPr>
              <w:tabs>
                <w:tab w:val="left" w:pos="2000"/>
              </w:tabs>
              <w:spacing w:line="360" w:lineRule="auto"/>
              <w:ind w:firstLine="480" w:firstLineChars="200"/>
              <w:rPr>
                <w:sz w:val="24"/>
              </w:rPr>
            </w:pPr>
            <w:r>
              <w:rPr>
                <w:rFonts w:hint="eastAsia"/>
                <w:sz w:val="24"/>
              </w:rPr>
              <w:t>综上所述，建设单位在落实上述措施的情况下，几乎不会对周围的土壤环境造成影响。</w:t>
            </w:r>
          </w:p>
          <w:p w14:paraId="46A38AF0">
            <w:pPr>
              <w:tabs>
                <w:tab w:val="left" w:pos="2000"/>
              </w:tabs>
              <w:spacing w:line="360" w:lineRule="auto"/>
              <w:jc w:val="left"/>
              <w:rPr>
                <w:b/>
                <w:sz w:val="24"/>
              </w:rPr>
            </w:pPr>
            <w:r>
              <w:rPr>
                <w:b/>
                <w:sz w:val="24"/>
              </w:rPr>
              <w:t>七、生态</w:t>
            </w:r>
          </w:p>
          <w:p w14:paraId="0B15FA99">
            <w:pPr>
              <w:tabs>
                <w:tab w:val="left" w:pos="2000"/>
              </w:tabs>
              <w:spacing w:line="360" w:lineRule="auto"/>
              <w:ind w:firstLine="480" w:firstLineChars="200"/>
              <w:jc w:val="left"/>
              <w:rPr>
                <w:b/>
              </w:rPr>
            </w:pPr>
            <w:r>
              <w:rPr>
                <w:rFonts w:hint="eastAsia"/>
                <w:sz w:val="24"/>
              </w:rPr>
              <w:t>本</w:t>
            </w:r>
            <w:r>
              <w:rPr>
                <w:rFonts w:hint="eastAsia"/>
                <w:sz w:val="24"/>
                <w:lang w:eastAsia="zh-CN"/>
              </w:rPr>
              <w:t>项目</w:t>
            </w:r>
            <w:r>
              <w:rPr>
                <w:rFonts w:hint="eastAsia"/>
                <w:sz w:val="24"/>
              </w:rPr>
              <w:t>位于广东省韶关市乐昌市乐昌产业转移工业园内，</w:t>
            </w:r>
            <w:r>
              <w:rPr>
                <w:rFonts w:hint="eastAsia"/>
                <w:sz w:val="24"/>
                <w:lang w:eastAsia="zh-CN"/>
              </w:rPr>
              <w:t>项目</w:t>
            </w:r>
            <w:r>
              <w:rPr>
                <w:rFonts w:hint="eastAsia"/>
                <w:sz w:val="24"/>
              </w:rPr>
              <w:t>用地在工业园内，不含生态环境保护目标。不会对周边生态环境造成明显影响</w:t>
            </w:r>
            <w:r>
              <w:rPr>
                <w:rFonts w:hint="eastAsia"/>
                <w:b/>
              </w:rPr>
              <w:t>。</w:t>
            </w:r>
          </w:p>
          <w:p w14:paraId="653B7827">
            <w:pPr>
              <w:tabs>
                <w:tab w:val="left" w:pos="2000"/>
              </w:tabs>
              <w:spacing w:line="360" w:lineRule="auto"/>
              <w:jc w:val="left"/>
              <w:rPr>
                <w:b/>
                <w:sz w:val="24"/>
              </w:rPr>
            </w:pPr>
            <w:r>
              <w:rPr>
                <w:b/>
                <w:sz w:val="24"/>
              </w:rPr>
              <w:t>八、环境风险</w:t>
            </w:r>
          </w:p>
          <w:p w14:paraId="30DFA6CB">
            <w:pPr>
              <w:spacing w:line="360" w:lineRule="auto"/>
              <w:ind w:firstLine="480" w:firstLineChars="200"/>
              <w:rPr>
                <w:rFonts w:ascii="Times New Roman" w:hAnsi="Times New Roman" w:eastAsia="宋体" w:cs="Times New Roman"/>
                <w:b/>
                <w:sz w:val="24"/>
              </w:rPr>
            </w:pPr>
            <w:r>
              <w:rPr>
                <w:rFonts w:hint="eastAsia" w:ascii="Times New Roman" w:hAnsi="Times New Roman" w:eastAsia="宋体" w:cs="Times New Roman"/>
                <w:sz w:val="24"/>
              </w:rPr>
              <w:t>根据《建设项目环境风险评价技术导则》（HJ169-2018），危险物质数量与临界量比值Q的计算公式如下：</w:t>
            </w:r>
          </w:p>
          <w:p w14:paraId="0F0E844E">
            <w:pPr>
              <w:tabs>
                <w:tab w:val="left" w:pos="2000"/>
              </w:tabs>
              <w:spacing w:line="360" w:lineRule="auto"/>
              <w:jc w:val="center"/>
              <w:rPr>
                <w:rFonts w:ascii="Times New Roman" w:hAnsi="Times New Roman" w:eastAsia="宋体" w:cs="Times New Roman"/>
                <w:b/>
                <w:sz w:val="24"/>
              </w:rPr>
            </w:pPr>
            <w:r>
              <w:rPr>
                <w:rFonts w:hint="eastAsia" w:ascii="Times New Roman" w:hAnsi="Times New Roman" w:eastAsia="宋体" w:cs="Times New Roman"/>
                <w:b/>
                <w:sz w:val="24"/>
              </w:rPr>
              <w:object>
                <v:shape id="_x0000_i1027" o:spt="75" type="#_x0000_t75" style="height:36pt;width:144pt;" o:ole="t" filled="f" o:preferrelative="t" stroked="f" coordsize="21600,21600">
                  <v:path/>
                  <v:fill on="f" focussize="0,0"/>
                  <v:stroke on="f" joinstyle="miter"/>
                  <v:imagedata r:id="rId25" o:title=""/>
                  <o:lock v:ext="edit" aspectratio="t"/>
                  <w10:wrap type="none"/>
                  <w10:anchorlock/>
                </v:shape>
                <o:OLEObject Type="Embed" ProgID="Equation.3" ShapeID="_x0000_i1027" DrawAspect="Content" ObjectID="_1468075727" r:id="rId24">
                  <o:LockedField>false</o:LockedField>
                </o:OLEObject>
              </w:object>
            </w:r>
          </w:p>
          <w:p w14:paraId="3AF64D8C">
            <w:pPr>
              <w:spacing w:line="360" w:lineRule="auto"/>
              <w:ind w:firstLine="480" w:firstLineChars="200"/>
              <w:rPr>
                <w:rFonts w:ascii="Times New Roman" w:hAnsi="Times New Roman" w:eastAsia="宋体" w:cs="Times New Roman"/>
                <w:b/>
                <w:sz w:val="24"/>
              </w:rPr>
            </w:pPr>
            <w:r>
              <w:rPr>
                <w:rFonts w:hint="eastAsia" w:ascii="Times New Roman" w:hAnsi="Times New Roman" w:eastAsia="宋体" w:cs="Times New Roman"/>
                <w:sz w:val="24"/>
              </w:rPr>
              <w:t>根据《建设项目环境风险评价技术导则》（HJ169-2018）附录B表B.1突发环境事件风险物质及临界量，B.2其他危险物质临界量推荐值，本</w:t>
            </w:r>
            <w:r>
              <w:rPr>
                <w:rFonts w:hint="eastAsia" w:ascii="Times New Roman" w:hAnsi="Times New Roman" w:eastAsia="宋体" w:cs="Times New Roman"/>
                <w:sz w:val="24"/>
                <w:lang w:eastAsia="zh-CN"/>
              </w:rPr>
              <w:t>项目</w:t>
            </w:r>
            <w:r>
              <w:rPr>
                <w:rFonts w:hint="eastAsia" w:ascii="Times New Roman" w:hAnsi="Times New Roman" w:eastAsia="宋体" w:cs="Times New Roman"/>
                <w:sz w:val="24"/>
              </w:rPr>
              <w:t>环境风险物质主要为机油、废机油、异丙醇、面漆、面漆稀释剂、白电油、切削液、废切削液、清洗废液</w:t>
            </w:r>
            <w:r>
              <w:rPr>
                <w:rFonts w:ascii="Times New Roman" w:hAnsi="Times New Roman" w:eastAsia="宋体" w:cs="Times New Roman"/>
                <w:sz w:val="24"/>
              </w:rPr>
              <w:t>。</w:t>
            </w:r>
          </w:p>
          <w:p w14:paraId="1609C9F4">
            <w:pPr>
              <w:tabs>
                <w:tab w:val="left" w:pos="2000"/>
              </w:tabs>
              <w:jc w:val="center"/>
              <w:rPr>
                <w:b/>
                <w:szCs w:val="21"/>
              </w:rPr>
            </w:pPr>
            <w:r>
              <w:rPr>
                <w:rFonts w:hint="eastAsia" w:ascii="Times New Roman" w:hAnsi="Times New Roman" w:eastAsia="宋体" w:cs="Times New Roman"/>
                <w:b/>
                <w:szCs w:val="21"/>
              </w:rPr>
              <w:t>表4-</w:t>
            </w:r>
            <w:r>
              <w:rPr>
                <w:rFonts w:hint="eastAsia" w:ascii="Times New Roman" w:hAnsi="Times New Roman" w:eastAsia="宋体" w:cs="Times New Roman"/>
                <w:b/>
                <w:szCs w:val="21"/>
                <w:lang w:val="en-US" w:eastAsia="zh-CN"/>
              </w:rPr>
              <w:t>3</w:t>
            </w:r>
            <w:r>
              <w:rPr>
                <w:rFonts w:ascii="Times New Roman" w:hAnsi="Times New Roman" w:eastAsia="宋体" w:cs="Times New Roman"/>
                <w:b/>
                <w:szCs w:val="21"/>
              </w:rPr>
              <w:t>1</w:t>
            </w:r>
            <w:r>
              <w:rPr>
                <w:rFonts w:hint="eastAsia"/>
                <w:b/>
                <w:szCs w:val="21"/>
              </w:rPr>
              <w:t xml:space="preserve"> 项目风险物质最大储存量及临界量情况一览表</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1417"/>
              <w:gridCol w:w="1084"/>
              <w:gridCol w:w="1193"/>
              <w:gridCol w:w="2020"/>
              <w:gridCol w:w="1614"/>
            </w:tblGrid>
            <w:tr w14:paraId="41DB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69" w:type="dxa"/>
                  <w:vAlign w:val="center"/>
                </w:tcPr>
                <w:p w14:paraId="1095642B">
                  <w:pPr>
                    <w:pStyle w:val="319"/>
                    <w:rPr>
                      <w:rFonts w:cs="Times New Roman"/>
                      <w:kern w:val="2"/>
                      <w:szCs w:val="21"/>
                    </w:rPr>
                  </w:pPr>
                  <w:r>
                    <w:rPr>
                      <w:rFonts w:cs="Times New Roman"/>
                      <w:kern w:val="2"/>
                      <w:szCs w:val="21"/>
                    </w:rPr>
                    <w:t>序号</w:t>
                  </w:r>
                </w:p>
              </w:tc>
              <w:tc>
                <w:tcPr>
                  <w:tcW w:w="1455" w:type="dxa"/>
                  <w:vAlign w:val="center"/>
                </w:tcPr>
                <w:p w14:paraId="4E3086E2">
                  <w:pPr>
                    <w:pStyle w:val="319"/>
                    <w:rPr>
                      <w:rFonts w:cs="Times New Roman"/>
                      <w:kern w:val="2"/>
                      <w:szCs w:val="21"/>
                    </w:rPr>
                  </w:pPr>
                  <w:r>
                    <w:rPr>
                      <w:rFonts w:cs="Times New Roman"/>
                      <w:kern w:val="2"/>
                      <w:szCs w:val="21"/>
                    </w:rPr>
                    <w:t>风险物质名称</w:t>
                  </w:r>
                </w:p>
              </w:tc>
              <w:tc>
                <w:tcPr>
                  <w:tcW w:w="1113" w:type="dxa"/>
                  <w:vAlign w:val="center"/>
                </w:tcPr>
                <w:p w14:paraId="7F46D555">
                  <w:pPr>
                    <w:pStyle w:val="319"/>
                    <w:rPr>
                      <w:rFonts w:cs="Times New Roman"/>
                      <w:kern w:val="2"/>
                      <w:szCs w:val="21"/>
                    </w:rPr>
                  </w:pPr>
                  <w:r>
                    <w:rPr>
                      <w:rFonts w:cs="Times New Roman"/>
                      <w:kern w:val="2"/>
                      <w:szCs w:val="21"/>
                    </w:rPr>
                    <w:t>属性</w:t>
                  </w:r>
                </w:p>
              </w:tc>
              <w:tc>
                <w:tcPr>
                  <w:tcW w:w="1225" w:type="dxa"/>
                  <w:vAlign w:val="center"/>
                </w:tcPr>
                <w:p w14:paraId="36B36DF5">
                  <w:pPr>
                    <w:pStyle w:val="319"/>
                    <w:rPr>
                      <w:rFonts w:cs="Times New Roman"/>
                      <w:kern w:val="2"/>
                      <w:szCs w:val="21"/>
                    </w:rPr>
                  </w:pPr>
                  <w:r>
                    <w:rPr>
                      <w:rFonts w:cs="Times New Roman"/>
                      <w:kern w:val="2"/>
                      <w:szCs w:val="21"/>
                    </w:rPr>
                    <w:t>临界量（t）</w:t>
                  </w:r>
                </w:p>
              </w:tc>
              <w:tc>
                <w:tcPr>
                  <w:tcW w:w="2074" w:type="dxa"/>
                  <w:vAlign w:val="center"/>
                </w:tcPr>
                <w:p w14:paraId="1C8E3263">
                  <w:pPr>
                    <w:pStyle w:val="319"/>
                    <w:rPr>
                      <w:rFonts w:cs="Times New Roman"/>
                      <w:kern w:val="2"/>
                      <w:szCs w:val="21"/>
                    </w:rPr>
                  </w:pPr>
                  <w:r>
                    <w:rPr>
                      <w:rFonts w:cs="Times New Roman"/>
                      <w:kern w:val="2"/>
                      <w:szCs w:val="21"/>
                    </w:rPr>
                    <w:t>最大储存量（t）</w:t>
                  </w:r>
                </w:p>
              </w:tc>
              <w:tc>
                <w:tcPr>
                  <w:tcW w:w="1657" w:type="dxa"/>
                  <w:vAlign w:val="center"/>
                </w:tcPr>
                <w:p w14:paraId="162FC666">
                  <w:pPr>
                    <w:pStyle w:val="319"/>
                    <w:rPr>
                      <w:rFonts w:cs="Times New Roman"/>
                      <w:kern w:val="2"/>
                      <w:szCs w:val="21"/>
                    </w:rPr>
                  </w:pPr>
                  <w:r>
                    <w:rPr>
                      <w:rFonts w:cs="Times New Roman"/>
                      <w:kern w:val="2"/>
                      <w:szCs w:val="21"/>
                    </w:rPr>
                    <w:t>q/Q</w:t>
                  </w:r>
                </w:p>
              </w:tc>
            </w:tr>
            <w:tr w14:paraId="6437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69" w:type="dxa"/>
                  <w:vAlign w:val="center"/>
                </w:tcPr>
                <w:p w14:paraId="0AA883F0">
                  <w:pPr>
                    <w:pStyle w:val="319"/>
                    <w:rPr>
                      <w:rFonts w:cs="Times New Roman"/>
                      <w:kern w:val="2"/>
                      <w:szCs w:val="21"/>
                    </w:rPr>
                  </w:pPr>
                  <w:r>
                    <w:rPr>
                      <w:rFonts w:hint="eastAsia" w:cs="Times New Roman"/>
                      <w:kern w:val="2"/>
                      <w:szCs w:val="21"/>
                    </w:rPr>
                    <w:t>1</w:t>
                  </w:r>
                </w:p>
              </w:tc>
              <w:tc>
                <w:tcPr>
                  <w:tcW w:w="1455" w:type="dxa"/>
                  <w:vAlign w:val="center"/>
                </w:tcPr>
                <w:p w14:paraId="7DDA481B">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机油</w:t>
                  </w:r>
                </w:p>
              </w:tc>
              <w:tc>
                <w:tcPr>
                  <w:tcW w:w="1113" w:type="dxa"/>
                  <w:vAlign w:val="center"/>
                </w:tcPr>
                <w:p w14:paraId="67310196">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矿物油</w:t>
                  </w:r>
                </w:p>
              </w:tc>
              <w:tc>
                <w:tcPr>
                  <w:tcW w:w="1225" w:type="dxa"/>
                  <w:vAlign w:val="center"/>
                </w:tcPr>
                <w:p w14:paraId="3A0D1D4F">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2500</w:t>
                  </w:r>
                </w:p>
              </w:tc>
              <w:tc>
                <w:tcPr>
                  <w:tcW w:w="2074" w:type="dxa"/>
                  <w:vAlign w:val="center"/>
                </w:tcPr>
                <w:p w14:paraId="242A2FF3">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0</w:t>
                  </w:r>
                  <w:r>
                    <w:rPr>
                      <w:rFonts w:cs="Times New Roman"/>
                      <w:color w:val="000000" w:themeColor="text1"/>
                      <w:kern w:val="2"/>
                      <w:szCs w:val="21"/>
                      <w14:textFill>
                        <w14:solidFill>
                          <w14:schemeClr w14:val="tx1"/>
                        </w14:solidFill>
                      </w14:textFill>
                    </w:rPr>
                    <w:t>.1</w:t>
                  </w:r>
                </w:p>
              </w:tc>
              <w:tc>
                <w:tcPr>
                  <w:tcW w:w="1657" w:type="dxa"/>
                  <w:vAlign w:val="center"/>
                </w:tcPr>
                <w:p w14:paraId="017E455D">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.00004</w:t>
                  </w:r>
                </w:p>
              </w:tc>
            </w:tr>
            <w:tr w14:paraId="4BCD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69" w:type="dxa"/>
                  <w:vAlign w:val="center"/>
                </w:tcPr>
                <w:p w14:paraId="468A1158">
                  <w:pPr>
                    <w:pStyle w:val="319"/>
                    <w:rPr>
                      <w:rFonts w:cs="Times New Roman"/>
                      <w:kern w:val="2"/>
                      <w:szCs w:val="21"/>
                    </w:rPr>
                  </w:pPr>
                  <w:r>
                    <w:rPr>
                      <w:rFonts w:cs="Times New Roman"/>
                      <w:kern w:val="2"/>
                      <w:szCs w:val="21"/>
                    </w:rPr>
                    <w:t>2</w:t>
                  </w:r>
                </w:p>
              </w:tc>
              <w:tc>
                <w:tcPr>
                  <w:tcW w:w="1455" w:type="dxa"/>
                  <w:vAlign w:val="center"/>
                </w:tcPr>
                <w:p w14:paraId="39C82A98">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废机油</w:t>
                  </w:r>
                </w:p>
              </w:tc>
              <w:tc>
                <w:tcPr>
                  <w:tcW w:w="1113" w:type="dxa"/>
                  <w:vAlign w:val="center"/>
                </w:tcPr>
                <w:p w14:paraId="290AEB21">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矿物油</w:t>
                  </w:r>
                </w:p>
              </w:tc>
              <w:tc>
                <w:tcPr>
                  <w:tcW w:w="1225" w:type="dxa"/>
                  <w:vAlign w:val="center"/>
                </w:tcPr>
                <w:p w14:paraId="4F16E9F3">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2500</w:t>
                  </w:r>
                </w:p>
              </w:tc>
              <w:tc>
                <w:tcPr>
                  <w:tcW w:w="2074" w:type="dxa"/>
                  <w:vAlign w:val="center"/>
                </w:tcPr>
                <w:p w14:paraId="3D19FC39">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0.</w:t>
                  </w:r>
                  <w:r>
                    <w:rPr>
                      <w:rFonts w:cs="Times New Roman"/>
                      <w:color w:val="000000" w:themeColor="text1"/>
                      <w:kern w:val="2"/>
                      <w:szCs w:val="21"/>
                      <w14:textFill>
                        <w14:solidFill>
                          <w14:schemeClr w14:val="tx1"/>
                        </w14:solidFill>
                      </w14:textFill>
                    </w:rPr>
                    <w:t>02</w:t>
                  </w:r>
                </w:p>
              </w:tc>
              <w:tc>
                <w:tcPr>
                  <w:tcW w:w="1657" w:type="dxa"/>
                  <w:vAlign w:val="center"/>
                </w:tcPr>
                <w:p w14:paraId="28EDF498">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0.000008</w:t>
                  </w:r>
                </w:p>
              </w:tc>
            </w:tr>
            <w:tr w14:paraId="4FA4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69" w:type="dxa"/>
                  <w:vAlign w:val="center"/>
                </w:tcPr>
                <w:p w14:paraId="1E865EFE">
                  <w:pPr>
                    <w:pStyle w:val="319"/>
                    <w:rPr>
                      <w:rFonts w:cs="Times New Roman"/>
                      <w:kern w:val="2"/>
                      <w:szCs w:val="21"/>
                    </w:rPr>
                  </w:pPr>
                  <w:r>
                    <w:rPr>
                      <w:rFonts w:hint="eastAsia" w:cs="Times New Roman"/>
                      <w:kern w:val="2"/>
                      <w:szCs w:val="21"/>
                    </w:rPr>
                    <w:t>3</w:t>
                  </w:r>
                </w:p>
              </w:tc>
              <w:tc>
                <w:tcPr>
                  <w:tcW w:w="1455" w:type="dxa"/>
                  <w:vAlign w:val="center"/>
                </w:tcPr>
                <w:p w14:paraId="23F6F956">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异丙醇</w:t>
                  </w:r>
                </w:p>
              </w:tc>
              <w:tc>
                <w:tcPr>
                  <w:tcW w:w="1113" w:type="dxa"/>
                  <w:vAlign w:val="center"/>
                </w:tcPr>
                <w:p w14:paraId="2F13E403">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异丙醇</w:t>
                  </w:r>
                </w:p>
              </w:tc>
              <w:tc>
                <w:tcPr>
                  <w:tcW w:w="1225" w:type="dxa"/>
                  <w:vAlign w:val="center"/>
                </w:tcPr>
                <w:p w14:paraId="54C82185">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1</w:t>
                  </w:r>
                  <w:r>
                    <w:rPr>
                      <w:rFonts w:cs="Times New Roman"/>
                      <w:color w:val="000000" w:themeColor="text1"/>
                      <w:kern w:val="2"/>
                      <w:szCs w:val="21"/>
                      <w14:textFill>
                        <w14:solidFill>
                          <w14:schemeClr w14:val="tx1"/>
                        </w14:solidFill>
                      </w14:textFill>
                    </w:rPr>
                    <w:t>0</w:t>
                  </w:r>
                </w:p>
              </w:tc>
              <w:tc>
                <w:tcPr>
                  <w:tcW w:w="2074" w:type="dxa"/>
                  <w:vAlign w:val="center"/>
                </w:tcPr>
                <w:p w14:paraId="1CBADDE2">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0</w:t>
                  </w:r>
                  <w:r>
                    <w:rPr>
                      <w:rFonts w:cs="Times New Roman"/>
                      <w:color w:val="000000" w:themeColor="text1"/>
                      <w:kern w:val="2"/>
                      <w:szCs w:val="21"/>
                      <w14:textFill>
                        <w14:solidFill>
                          <w14:schemeClr w14:val="tx1"/>
                        </w14:solidFill>
                      </w14:textFill>
                    </w:rPr>
                    <w:t>.06</w:t>
                  </w:r>
                </w:p>
              </w:tc>
              <w:tc>
                <w:tcPr>
                  <w:tcW w:w="1657" w:type="dxa"/>
                  <w:vAlign w:val="center"/>
                </w:tcPr>
                <w:p w14:paraId="47DEF68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.006</w:t>
                  </w:r>
                </w:p>
              </w:tc>
            </w:tr>
            <w:tr w14:paraId="35B5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669" w:type="dxa"/>
                  <w:vMerge w:val="restart"/>
                  <w:vAlign w:val="center"/>
                </w:tcPr>
                <w:p w14:paraId="66BA1F2D">
                  <w:pPr>
                    <w:pStyle w:val="319"/>
                    <w:rPr>
                      <w:rFonts w:cs="Times New Roman"/>
                      <w:kern w:val="2"/>
                      <w:szCs w:val="21"/>
                    </w:rPr>
                  </w:pPr>
                  <w:r>
                    <w:rPr>
                      <w:rFonts w:hint="eastAsia" w:cs="Times New Roman"/>
                      <w:kern w:val="2"/>
                      <w:szCs w:val="21"/>
                    </w:rPr>
                    <w:t>4</w:t>
                  </w:r>
                </w:p>
              </w:tc>
              <w:tc>
                <w:tcPr>
                  <w:tcW w:w="1455" w:type="dxa"/>
                  <w:vMerge w:val="restart"/>
                  <w:vAlign w:val="center"/>
                </w:tcPr>
                <w:p w14:paraId="0D4ADCFD">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面漆</w:t>
                  </w:r>
                </w:p>
              </w:tc>
              <w:tc>
                <w:tcPr>
                  <w:tcW w:w="1113" w:type="dxa"/>
                  <w:vAlign w:val="center"/>
                </w:tcPr>
                <w:p w14:paraId="2A19BDD1">
                  <w:pPr>
                    <w:pStyle w:val="319"/>
                    <w:rPr>
                      <w:rFonts w:hint="default" w:eastAsia="宋体" w:cs="Times New Roman"/>
                      <w:color w:val="000000" w:themeColor="text1"/>
                      <w:kern w:val="2"/>
                      <w:szCs w:val="21"/>
                      <w:lang w:val="en-US" w:eastAsia="zh-CN"/>
                      <w14:textFill>
                        <w14:solidFill>
                          <w14:schemeClr w14:val="tx1"/>
                        </w14:solidFill>
                      </w14:textFill>
                    </w:rPr>
                  </w:pPr>
                  <w:r>
                    <w:rPr>
                      <w:rFonts w:hint="eastAsia" w:cs="Times New Roman"/>
                      <w:color w:val="000000" w:themeColor="text1"/>
                      <w:kern w:val="2"/>
                      <w:szCs w:val="21"/>
                      <w14:textFill>
                        <w14:solidFill>
                          <w14:schemeClr w14:val="tx1"/>
                        </w14:solidFill>
                      </w14:textFill>
                    </w:rPr>
                    <w:t>二甲苯</w:t>
                  </w:r>
                  <w:r>
                    <w:rPr>
                      <w:rFonts w:hint="eastAsia" w:cs="Times New Roman"/>
                      <w:color w:val="000000" w:themeColor="text1"/>
                      <w:kern w:val="2"/>
                      <w:szCs w:val="21"/>
                      <w:lang w:val="en-US" w:eastAsia="zh-CN"/>
                      <w14:textFill>
                        <w14:solidFill>
                          <w14:schemeClr w14:val="tx1"/>
                        </w14:solidFill>
                      </w14:textFill>
                    </w:rPr>
                    <w:t>13%</w:t>
                  </w:r>
                </w:p>
              </w:tc>
              <w:tc>
                <w:tcPr>
                  <w:tcW w:w="1225" w:type="dxa"/>
                  <w:vAlign w:val="center"/>
                </w:tcPr>
                <w:p w14:paraId="0C0C8F02">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1</w:t>
                  </w:r>
                  <w:r>
                    <w:rPr>
                      <w:rFonts w:cs="Times New Roman"/>
                      <w:color w:val="000000" w:themeColor="text1"/>
                      <w:kern w:val="2"/>
                      <w:szCs w:val="21"/>
                      <w14:textFill>
                        <w14:solidFill>
                          <w14:schemeClr w14:val="tx1"/>
                        </w14:solidFill>
                      </w14:textFill>
                    </w:rPr>
                    <w:t>0</w:t>
                  </w:r>
                </w:p>
              </w:tc>
              <w:tc>
                <w:tcPr>
                  <w:tcW w:w="2074" w:type="dxa"/>
                  <w:vAlign w:val="center"/>
                </w:tcPr>
                <w:p w14:paraId="58D702F0">
                  <w:pPr>
                    <w:pStyle w:val="319"/>
                    <w:rPr>
                      <w:rFonts w:hint="default" w:eastAsia="宋体" w:cs="Times New Roman"/>
                      <w:color w:val="000000" w:themeColor="text1"/>
                      <w:kern w:val="2"/>
                      <w:szCs w:val="21"/>
                      <w:lang w:val="en-US" w:eastAsia="zh-CN"/>
                      <w14:textFill>
                        <w14:solidFill>
                          <w14:schemeClr w14:val="tx1"/>
                        </w14:solidFill>
                      </w14:textFill>
                    </w:rPr>
                  </w:pPr>
                  <w:r>
                    <w:rPr>
                      <w:rFonts w:hint="eastAsia" w:cs="Times New Roman"/>
                      <w:color w:val="000000" w:themeColor="text1"/>
                      <w:kern w:val="2"/>
                      <w:szCs w:val="21"/>
                      <w14:textFill>
                        <w14:solidFill>
                          <w14:schemeClr w14:val="tx1"/>
                        </w14:solidFill>
                      </w14:textFill>
                    </w:rPr>
                    <w:t>0</w:t>
                  </w:r>
                  <w:r>
                    <w:rPr>
                      <w:rFonts w:hint="eastAsia" w:cs="Times New Roman"/>
                      <w:color w:val="000000" w:themeColor="text1"/>
                      <w:kern w:val="2"/>
                      <w:szCs w:val="21"/>
                      <w:lang w:val="en-US" w:eastAsia="zh-CN"/>
                      <w14:textFill>
                        <w14:solidFill>
                          <w14:schemeClr w14:val="tx1"/>
                        </w14:solidFill>
                      </w14:textFill>
                    </w:rPr>
                    <w:t>.129</w:t>
                  </w:r>
                </w:p>
              </w:tc>
              <w:tc>
                <w:tcPr>
                  <w:tcW w:w="1657" w:type="dxa"/>
                  <w:vAlign w:val="center"/>
                </w:tcPr>
                <w:p w14:paraId="4B988867">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129</w:t>
                  </w:r>
                </w:p>
              </w:tc>
            </w:tr>
            <w:tr w14:paraId="18AE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669" w:type="dxa"/>
                  <w:vMerge w:val="continue"/>
                  <w:vAlign w:val="center"/>
                </w:tcPr>
                <w:p w14:paraId="79F120E9">
                  <w:pPr>
                    <w:pStyle w:val="319"/>
                    <w:rPr>
                      <w:rFonts w:hint="eastAsia" w:cs="Times New Roman"/>
                      <w:kern w:val="2"/>
                      <w:szCs w:val="21"/>
                    </w:rPr>
                  </w:pPr>
                </w:p>
              </w:tc>
              <w:tc>
                <w:tcPr>
                  <w:tcW w:w="1455" w:type="dxa"/>
                  <w:vMerge w:val="continue"/>
                  <w:vAlign w:val="center"/>
                </w:tcPr>
                <w:p w14:paraId="4F6B0835">
                  <w:pPr>
                    <w:pStyle w:val="319"/>
                    <w:rPr>
                      <w:rFonts w:cs="Times New Roman"/>
                      <w:color w:val="000000" w:themeColor="text1"/>
                      <w:kern w:val="2"/>
                      <w:szCs w:val="21"/>
                      <w14:textFill>
                        <w14:solidFill>
                          <w14:schemeClr w14:val="tx1"/>
                        </w14:solidFill>
                      </w14:textFill>
                    </w:rPr>
                  </w:pPr>
                </w:p>
              </w:tc>
              <w:tc>
                <w:tcPr>
                  <w:tcW w:w="1113" w:type="dxa"/>
                  <w:vAlign w:val="center"/>
                </w:tcPr>
                <w:p w14:paraId="611C1911">
                  <w:pPr>
                    <w:pStyle w:val="319"/>
                    <w:rPr>
                      <w:rFonts w:hint="default" w:eastAsia="宋体" w:cs="Times New Roman"/>
                      <w:color w:val="000000" w:themeColor="text1"/>
                      <w:kern w:val="2"/>
                      <w:szCs w:val="21"/>
                      <w:lang w:val="en-US" w:eastAsia="zh-CN"/>
                      <w14:textFill>
                        <w14:solidFill>
                          <w14:schemeClr w14:val="tx1"/>
                        </w14:solidFill>
                      </w14:textFill>
                    </w:rPr>
                  </w:pPr>
                  <w:r>
                    <w:rPr>
                      <w:rFonts w:hint="eastAsia" w:cs="Times New Roman"/>
                      <w:color w:val="000000" w:themeColor="text1"/>
                      <w:kern w:val="2"/>
                      <w:szCs w:val="21"/>
                      <w:lang w:val="en-US" w:eastAsia="zh-CN"/>
                      <w14:textFill>
                        <w14:solidFill>
                          <w14:schemeClr w14:val="tx1"/>
                        </w14:solidFill>
                      </w14:textFill>
                    </w:rPr>
                    <w:t>乙苯3%</w:t>
                  </w:r>
                </w:p>
              </w:tc>
              <w:tc>
                <w:tcPr>
                  <w:tcW w:w="1225" w:type="dxa"/>
                  <w:vAlign w:val="center"/>
                </w:tcPr>
                <w:p w14:paraId="1525A64F">
                  <w:pPr>
                    <w:pStyle w:val="319"/>
                    <w:rPr>
                      <w:rFonts w:hint="default" w:eastAsia="宋体" w:cs="Times New Roman"/>
                      <w:color w:val="000000" w:themeColor="text1"/>
                      <w:kern w:val="2"/>
                      <w:szCs w:val="21"/>
                      <w:lang w:val="en-US" w:eastAsia="zh-CN"/>
                      <w14:textFill>
                        <w14:solidFill>
                          <w14:schemeClr w14:val="tx1"/>
                        </w14:solidFill>
                      </w14:textFill>
                    </w:rPr>
                  </w:pPr>
                  <w:r>
                    <w:rPr>
                      <w:rFonts w:hint="eastAsia" w:cs="Times New Roman"/>
                      <w:color w:val="000000" w:themeColor="text1"/>
                      <w:kern w:val="2"/>
                      <w:szCs w:val="21"/>
                      <w:lang w:val="en-US" w:eastAsia="zh-CN"/>
                      <w14:textFill>
                        <w14:solidFill>
                          <w14:schemeClr w14:val="tx1"/>
                        </w14:solidFill>
                      </w14:textFill>
                    </w:rPr>
                    <w:t>10</w:t>
                  </w:r>
                </w:p>
              </w:tc>
              <w:tc>
                <w:tcPr>
                  <w:tcW w:w="2074" w:type="dxa"/>
                  <w:vAlign w:val="center"/>
                </w:tcPr>
                <w:p w14:paraId="2FB144AB">
                  <w:pPr>
                    <w:pStyle w:val="319"/>
                    <w:rPr>
                      <w:rFonts w:hint="default" w:eastAsia="宋体" w:cs="Times New Roman"/>
                      <w:color w:val="000000" w:themeColor="text1"/>
                      <w:kern w:val="2"/>
                      <w:szCs w:val="21"/>
                      <w:lang w:val="en-US" w:eastAsia="zh-CN"/>
                      <w14:textFill>
                        <w14:solidFill>
                          <w14:schemeClr w14:val="tx1"/>
                        </w14:solidFill>
                      </w14:textFill>
                    </w:rPr>
                  </w:pPr>
                  <w:r>
                    <w:rPr>
                      <w:rFonts w:hint="eastAsia" w:cs="Times New Roman"/>
                      <w:color w:val="000000" w:themeColor="text1"/>
                      <w:kern w:val="2"/>
                      <w:szCs w:val="21"/>
                      <w:lang w:val="en-US" w:eastAsia="zh-CN"/>
                      <w14:textFill>
                        <w14:solidFill>
                          <w14:schemeClr w14:val="tx1"/>
                        </w14:solidFill>
                      </w14:textFill>
                    </w:rPr>
                    <w:t>0.03</w:t>
                  </w:r>
                </w:p>
              </w:tc>
              <w:tc>
                <w:tcPr>
                  <w:tcW w:w="1657" w:type="dxa"/>
                  <w:vAlign w:val="center"/>
                </w:tcPr>
                <w:p w14:paraId="2CCA8F07">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0.003</w:t>
                  </w:r>
                </w:p>
              </w:tc>
            </w:tr>
            <w:tr w14:paraId="3554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jc w:val="center"/>
              </w:trPr>
              <w:tc>
                <w:tcPr>
                  <w:tcW w:w="669" w:type="dxa"/>
                  <w:vMerge w:val="restart"/>
                  <w:vAlign w:val="center"/>
                </w:tcPr>
                <w:p w14:paraId="10A94A67">
                  <w:pPr>
                    <w:pStyle w:val="319"/>
                    <w:rPr>
                      <w:rFonts w:cs="Times New Roman"/>
                      <w:kern w:val="2"/>
                      <w:szCs w:val="21"/>
                    </w:rPr>
                  </w:pPr>
                  <w:r>
                    <w:rPr>
                      <w:rFonts w:hint="eastAsia" w:cs="Times New Roman"/>
                      <w:kern w:val="2"/>
                      <w:szCs w:val="21"/>
                    </w:rPr>
                    <w:t>5</w:t>
                  </w:r>
                </w:p>
              </w:tc>
              <w:tc>
                <w:tcPr>
                  <w:tcW w:w="1455" w:type="dxa"/>
                  <w:vMerge w:val="restart"/>
                  <w:vAlign w:val="center"/>
                </w:tcPr>
                <w:p w14:paraId="49981441">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面漆稀释剂</w:t>
                  </w:r>
                </w:p>
              </w:tc>
              <w:tc>
                <w:tcPr>
                  <w:tcW w:w="1113" w:type="dxa"/>
                  <w:vAlign w:val="center"/>
                </w:tcPr>
                <w:p w14:paraId="16CCBD9E">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二甲苯7</w:t>
                  </w:r>
                  <w:r>
                    <w:rPr>
                      <w:rFonts w:cs="Times New Roman"/>
                      <w:color w:val="000000" w:themeColor="text1"/>
                      <w:kern w:val="2"/>
                      <w:szCs w:val="21"/>
                      <w14:textFill>
                        <w14:solidFill>
                          <w14:schemeClr w14:val="tx1"/>
                        </w14:solidFill>
                      </w14:textFill>
                    </w:rPr>
                    <w:t>0%</w:t>
                  </w:r>
                </w:p>
              </w:tc>
              <w:tc>
                <w:tcPr>
                  <w:tcW w:w="1225" w:type="dxa"/>
                  <w:vAlign w:val="center"/>
                </w:tcPr>
                <w:p w14:paraId="6A4DDC59">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1</w:t>
                  </w:r>
                  <w:r>
                    <w:rPr>
                      <w:rFonts w:cs="Times New Roman"/>
                      <w:color w:val="000000" w:themeColor="text1"/>
                      <w:kern w:val="2"/>
                      <w:szCs w:val="21"/>
                      <w14:textFill>
                        <w14:solidFill>
                          <w14:schemeClr w14:val="tx1"/>
                        </w14:solidFill>
                      </w14:textFill>
                    </w:rPr>
                    <w:t>0</w:t>
                  </w:r>
                </w:p>
              </w:tc>
              <w:tc>
                <w:tcPr>
                  <w:tcW w:w="2074" w:type="dxa"/>
                  <w:vAlign w:val="center"/>
                </w:tcPr>
                <w:p w14:paraId="480B4143">
                  <w:pPr>
                    <w:pStyle w:val="319"/>
                    <w:rPr>
                      <w:rFonts w:hint="default" w:eastAsia="宋体" w:cs="Times New Roman"/>
                      <w:color w:val="000000" w:themeColor="text1"/>
                      <w:kern w:val="2"/>
                      <w:szCs w:val="21"/>
                      <w:lang w:val="en-US" w:eastAsia="zh-CN"/>
                      <w14:textFill>
                        <w14:solidFill>
                          <w14:schemeClr w14:val="tx1"/>
                        </w14:solidFill>
                      </w14:textFill>
                    </w:rPr>
                  </w:pPr>
                  <w:r>
                    <w:rPr>
                      <w:rFonts w:hint="eastAsia" w:cs="Times New Roman"/>
                      <w:color w:val="000000" w:themeColor="text1"/>
                      <w:kern w:val="2"/>
                      <w:szCs w:val="21"/>
                      <w14:textFill>
                        <w14:solidFill>
                          <w14:schemeClr w14:val="tx1"/>
                        </w14:solidFill>
                      </w14:textFill>
                    </w:rPr>
                    <w:t>0</w:t>
                  </w:r>
                  <w:r>
                    <w:rPr>
                      <w:rFonts w:cs="Times New Roman"/>
                      <w:color w:val="000000" w:themeColor="text1"/>
                      <w:kern w:val="2"/>
                      <w:szCs w:val="21"/>
                      <w14:textFill>
                        <w14:solidFill>
                          <w14:schemeClr w14:val="tx1"/>
                        </w14:solidFill>
                      </w14:textFill>
                    </w:rPr>
                    <w:t>.</w:t>
                  </w:r>
                  <w:r>
                    <w:rPr>
                      <w:rFonts w:hint="eastAsia" w:cs="Times New Roman"/>
                      <w:color w:val="000000" w:themeColor="text1"/>
                      <w:kern w:val="2"/>
                      <w:szCs w:val="21"/>
                      <w:lang w:val="en-US" w:eastAsia="zh-CN"/>
                      <w14:textFill>
                        <w14:solidFill>
                          <w14:schemeClr w14:val="tx1"/>
                        </w14:solidFill>
                      </w14:textFill>
                    </w:rPr>
                    <w:t>057</w:t>
                  </w:r>
                </w:p>
              </w:tc>
              <w:tc>
                <w:tcPr>
                  <w:tcW w:w="1657" w:type="dxa"/>
                  <w:vAlign w:val="center"/>
                </w:tcPr>
                <w:p w14:paraId="72D375A3">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eastAsia="宋体" w:cs="Times New Roman"/>
                      <w:color w:val="000000" w:themeColor="text1"/>
                      <w:szCs w:val="21"/>
                      <w:lang w:val="en-US" w:eastAsia="zh-CN"/>
                      <w14:textFill>
                        <w14:solidFill>
                          <w14:schemeClr w14:val="tx1"/>
                        </w14:solidFill>
                      </w14:textFill>
                    </w:rPr>
                    <w:t>057</w:t>
                  </w:r>
                </w:p>
              </w:tc>
            </w:tr>
            <w:tr w14:paraId="2166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jc w:val="center"/>
              </w:trPr>
              <w:tc>
                <w:tcPr>
                  <w:tcW w:w="669" w:type="dxa"/>
                  <w:vMerge w:val="continue"/>
                  <w:vAlign w:val="center"/>
                </w:tcPr>
                <w:p w14:paraId="2D7B31BB">
                  <w:pPr>
                    <w:pStyle w:val="319"/>
                    <w:rPr>
                      <w:rFonts w:cs="Times New Roman"/>
                      <w:kern w:val="2"/>
                      <w:szCs w:val="21"/>
                    </w:rPr>
                  </w:pPr>
                </w:p>
              </w:tc>
              <w:tc>
                <w:tcPr>
                  <w:tcW w:w="1455" w:type="dxa"/>
                  <w:vMerge w:val="continue"/>
                  <w:vAlign w:val="center"/>
                </w:tcPr>
                <w:p w14:paraId="6A2FA67A">
                  <w:pPr>
                    <w:pStyle w:val="319"/>
                    <w:rPr>
                      <w:rFonts w:cs="Times New Roman"/>
                      <w:color w:val="000000" w:themeColor="text1"/>
                      <w:kern w:val="2"/>
                      <w:szCs w:val="21"/>
                      <w14:textFill>
                        <w14:solidFill>
                          <w14:schemeClr w14:val="tx1"/>
                        </w14:solidFill>
                      </w14:textFill>
                    </w:rPr>
                  </w:pPr>
                </w:p>
              </w:tc>
              <w:tc>
                <w:tcPr>
                  <w:tcW w:w="1113" w:type="dxa"/>
                  <w:vAlign w:val="center"/>
                </w:tcPr>
                <w:p w14:paraId="41128477">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乙苯1</w:t>
                  </w:r>
                  <w:r>
                    <w:rPr>
                      <w:rFonts w:cs="Times New Roman"/>
                      <w:color w:val="000000" w:themeColor="text1"/>
                      <w:kern w:val="2"/>
                      <w:szCs w:val="21"/>
                      <w14:textFill>
                        <w14:solidFill>
                          <w14:schemeClr w14:val="tx1"/>
                        </w14:solidFill>
                      </w14:textFill>
                    </w:rPr>
                    <w:t>2%</w:t>
                  </w:r>
                </w:p>
              </w:tc>
              <w:tc>
                <w:tcPr>
                  <w:tcW w:w="1225" w:type="dxa"/>
                  <w:vAlign w:val="center"/>
                </w:tcPr>
                <w:p w14:paraId="7E70A384">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1</w:t>
                  </w:r>
                  <w:r>
                    <w:rPr>
                      <w:rFonts w:cs="Times New Roman"/>
                      <w:color w:val="000000" w:themeColor="text1"/>
                      <w:kern w:val="2"/>
                      <w:szCs w:val="21"/>
                      <w14:textFill>
                        <w14:solidFill>
                          <w14:schemeClr w14:val="tx1"/>
                        </w14:solidFill>
                      </w14:textFill>
                    </w:rPr>
                    <w:t>0</w:t>
                  </w:r>
                </w:p>
              </w:tc>
              <w:tc>
                <w:tcPr>
                  <w:tcW w:w="2074" w:type="dxa"/>
                  <w:vAlign w:val="center"/>
                </w:tcPr>
                <w:p w14:paraId="423DFA6F">
                  <w:pPr>
                    <w:pStyle w:val="319"/>
                    <w:rPr>
                      <w:rFonts w:hint="eastAsia" w:eastAsia="宋体" w:cs="Times New Roman"/>
                      <w:color w:val="000000" w:themeColor="text1"/>
                      <w:kern w:val="2"/>
                      <w:szCs w:val="21"/>
                      <w:lang w:val="en-US" w:eastAsia="zh-CN"/>
                      <w14:textFill>
                        <w14:solidFill>
                          <w14:schemeClr w14:val="tx1"/>
                        </w14:solidFill>
                      </w14:textFill>
                    </w:rPr>
                  </w:pPr>
                  <w:r>
                    <w:rPr>
                      <w:rFonts w:hint="eastAsia" w:cs="Times New Roman"/>
                      <w:color w:val="000000" w:themeColor="text1"/>
                      <w:kern w:val="2"/>
                      <w:szCs w:val="21"/>
                      <w14:textFill>
                        <w14:solidFill>
                          <w14:schemeClr w14:val="tx1"/>
                        </w14:solidFill>
                      </w14:textFill>
                    </w:rPr>
                    <w:t>0</w:t>
                  </w:r>
                  <w:r>
                    <w:rPr>
                      <w:rFonts w:cs="Times New Roman"/>
                      <w:color w:val="000000" w:themeColor="text1"/>
                      <w:kern w:val="2"/>
                      <w:szCs w:val="21"/>
                      <w14:textFill>
                        <w14:solidFill>
                          <w14:schemeClr w14:val="tx1"/>
                        </w14:solidFill>
                      </w14:textFill>
                    </w:rPr>
                    <w:t>.0</w:t>
                  </w:r>
                  <w:r>
                    <w:rPr>
                      <w:rFonts w:hint="eastAsia" w:cs="Times New Roman"/>
                      <w:color w:val="000000" w:themeColor="text1"/>
                      <w:kern w:val="2"/>
                      <w:szCs w:val="21"/>
                      <w:lang w:val="en-US" w:eastAsia="zh-CN"/>
                      <w14:textFill>
                        <w14:solidFill>
                          <w14:schemeClr w14:val="tx1"/>
                        </w14:solidFill>
                      </w14:textFill>
                    </w:rPr>
                    <w:t>1</w:t>
                  </w:r>
                </w:p>
              </w:tc>
              <w:tc>
                <w:tcPr>
                  <w:tcW w:w="1657" w:type="dxa"/>
                  <w:vAlign w:val="center"/>
                </w:tcPr>
                <w:p w14:paraId="5EBD5B59">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w:t>
                  </w:r>
                  <w:r>
                    <w:rPr>
                      <w:rFonts w:hint="eastAsia" w:ascii="Times New Roman" w:hAnsi="Times New Roman" w:eastAsia="宋体" w:cs="Times New Roman"/>
                      <w:color w:val="000000" w:themeColor="text1"/>
                      <w:szCs w:val="21"/>
                      <w:lang w:val="en-US" w:eastAsia="zh-CN"/>
                      <w14:textFill>
                        <w14:solidFill>
                          <w14:schemeClr w14:val="tx1"/>
                        </w14:solidFill>
                      </w14:textFill>
                    </w:rPr>
                    <w:t>1</w:t>
                  </w:r>
                </w:p>
              </w:tc>
            </w:tr>
            <w:tr w14:paraId="1C11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jc w:val="center"/>
              </w:trPr>
              <w:tc>
                <w:tcPr>
                  <w:tcW w:w="669" w:type="dxa"/>
                  <w:vMerge w:val="continue"/>
                  <w:vAlign w:val="center"/>
                </w:tcPr>
                <w:p w14:paraId="6EEABA9B">
                  <w:pPr>
                    <w:pStyle w:val="319"/>
                    <w:rPr>
                      <w:rFonts w:cs="Times New Roman"/>
                      <w:kern w:val="2"/>
                      <w:szCs w:val="21"/>
                    </w:rPr>
                  </w:pPr>
                </w:p>
              </w:tc>
              <w:tc>
                <w:tcPr>
                  <w:tcW w:w="1455" w:type="dxa"/>
                  <w:vMerge w:val="continue"/>
                  <w:vAlign w:val="center"/>
                </w:tcPr>
                <w:p w14:paraId="3E05B61C">
                  <w:pPr>
                    <w:pStyle w:val="319"/>
                    <w:rPr>
                      <w:rFonts w:cs="Times New Roman"/>
                      <w:color w:val="000000" w:themeColor="text1"/>
                      <w:kern w:val="2"/>
                      <w:szCs w:val="21"/>
                      <w14:textFill>
                        <w14:solidFill>
                          <w14:schemeClr w14:val="tx1"/>
                        </w14:solidFill>
                      </w14:textFill>
                    </w:rPr>
                  </w:pPr>
                </w:p>
              </w:tc>
              <w:tc>
                <w:tcPr>
                  <w:tcW w:w="1113" w:type="dxa"/>
                  <w:vAlign w:val="center"/>
                </w:tcPr>
                <w:p w14:paraId="7C2815ED">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甲苯0</w:t>
                  </w:r>
                  <w:r>
                    <w:rPr>
                      <w:rFonts w:cs="Times New Roman"/>
                      <w:color w:val="000000" w:themeColor="text1"/>
                      <w:kern w:val="2"/>
                      <w:szCs w:val="21"/>
                      <w14:textFill>
                        <w14:solidFill>
                          <w14:schemeClr w14:val="tx1"/>
                        </w14:solidFill>
                      </w14:textFill>
                    </w:rPr>
                    <w:t>.3%</w:t>
                  </w:r>
                </w:p>
              </w:tc>
              <w:tc>
                <w:tcPr>
                  <w:tcW w:w="1225" w:type="dxa"/>
                  <w:vAlign w:val="center"/>
                </w:tcPr>
                <w:p w14:paraId="28DE296C">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1</w:t>
                  </w:r>
                  <w:r>
                    <w:rPr>
                      <w:rFonts w:cs="Times New Roman"/>
                      <w:color w:val="000000" w:themeColor="text1"/>
                      <w:kern w:val="2"/>
                      <w:szCs w:val="21"/>
                      <w14:textFill>
                        <w14:solidFill>
                          <w14:schemeClr w14:val="tx1"/>
                        </w14:solidFill>
                      </w14:textFill>
                    </w:rPr>
                    <w:t>0</w:t>
                  </w:r>
                </w:p>
              </w:tc>
              <w:tc>
                <w:tcPr>
                  <w:tcW w:w="2074" w:type="dxa"/>
                  <w:vAlign w:val="center"/>
                </w:tcPr>
                <w:p w14:paraId="6DE7E5AE">
                  <w:pPr>
                    <w:pStyle w:val="319"/>
                    <w:tabs>
                      <w:tab w:val="center" w:pos="988"/>
                      <w:tab w:val="right" w:pos="1858"/>
                    </w:tabs>
                    <w:jc w:val="left"/>
                    <w:rPr>
                      <w:rFonts w:hint="eastAsia" w:eastAsia="宋体" w:cs="Times New Roman"/>
                      <w:color w:val="000000" w:themeColor="text1"/>
                      <w:kern w:val="2"/>
                      <w:szCs w:val="21"/>
                      <w:lang w:val="en-US" w:eastAsia="zh-CN"/>
                      <w14:textFill>
                        <w14:solidFill>
                          <w14:schemeClr w14:val="tx1"/>
                        </w14:solidFill>
                      </w14:textFill>
                    </w:rPr>
                  </w:pPr>
                  <w:r>
                    <w:rPr>
                      <w:rFonts w:hint="eastAsia" w:cs="Times New Roman"/>
                      <w:color w:val="000000" w:themeColor="text1"/>
                      <w:kern w:val="2"/>
                      <w:szCs w:val="21"/>
                      <w:lang w:eastAsia="zh-CN"/>
                      <w14:textFill>
                        <w14:solidFill>
                          <w14:schemeClr w14:val="tx1"/>
                        </w14:solidFill>
                      </w14:textFill>
                    </w:rPr>
                    <w:tab/>
                  </w:r>
                  <w:r>
                    <w:rPr>
                      <w:rFonts w:hint="eastAsia" w:cs="Times New Roman"/>
                      <w:color w:val="000000" w:themeColor="text1"/>
                      <w:kern w:val="2"/>
                      <w:szCs w:val="21"/>
                      <w14:textFill>
                        <w14:solidFill>
                          <w14:schemeClr w14:val="tx1"/>
                        </w14:solidFill>
                      </w14:textFill>
                    </w:rPr>
                    <w:t>0</w:t>
                  </w:r>
                  <w:r>
                    <w:rPr>
                      <w:rFonts w:cs="Times New Roman"/>
                      <w:color w:val="000000" w:themeColor="text1"/>
                      <w:kern w:val="2"/>
                      <w:szCs w:val="21"/>
                      <w14:textFill>
                        <w14:solidFill>
                          <w14:schemeClr w14:val="tx1"/>
                        </w14:solidFill>
                      </w14:textFill>
                    </w:rPr>
                    <w:t>.000</w:t>
                  </w:r>
                  <w:r>
                    <w:rPr>
                      <w:rFonts w:hint="eastAsia" w:cs="Times New Roman"/>
                      <w:color w:val="000000" w:themeColor="text1"/>
                      <w:kern w:val="2"/>
                      <w:szCs w:val="21"/>
                      <w:lang w:val="en-US" w:eastAsia="zh-CN"/>
                      <w14:textFill>
                        <w14:solidFill>
                          <w14:schemeClr w14:val="tx1"/>
                        </w14:solidFill>
                      </w14:textFill>
                    </w:rPr>
                    <w:t>2</w:t>
                  </w:r>
                </w:p>
              </w:tc>
              <w:tc>
                <w:tcPr>
                  <w:tcW w:w="1657" w:type="dxa"/>
                  <w:vAlign w:val="center"/>
                </w:tcPr>
                <w:p w14:paraId="74632F0E">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.0000</w:t>
                  </w:r>
                  <w:r>
                    <w:rPr>
                      <w:rFonts w:hint="eastAsia" w:ascii="Times New Roman" w:hAnsi="Times New Roman" w:eastAsia="宋体" w:cs="Times New Roman"/>
                      <w:color w:val="000000" w:themeColor="text1"/>
                      <w:szCs w:val="21"/>
                      <w:lang w:val="en-US" w:eastAsia="zh-CN"/>
                      <w14:textFill>
                        <w14:solidFill>
                          <w14:schemeClr w14:val="tx1"/>
                        </w14:solidFill>
                      </w14:textFill>
                    </w:rPr>
                    <w:t>2</w:t>
                  </w:r>
                </w:p>
              </w:tc>
            </w:tr>
            <w:tr w14:paraId="2F88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69" w:type="dxa"/>
                  <w:vAlign w:val="center"/>
                </w:tcPr>
                <w:p w14:paraId="701B12B4">
                  <w:pPr>
                    <w:pStyle w:val="319"/>
                    <w:rPr>
                      <w:rFonts w:cs="Times New Roman"/>
                      <w:kern w:val="2"/>
                      <w:szCs w:val="21"/>
                    </w:rPr>
                  </w:pPr>
                  <w:r>
                    <w:rPr>
                      <w:rFonts w:hint="eastAsia" w:cs="Times New Roman"/>
                      <w:kern w:val="2"/>
                      <w:szCs w:val="21"/>
                    </w:rPr>
                    <w:t>6</w:t>
                  </w:r>
                </w:p>
              </w:tc>
              <w:tc>
                <w:tcPr>
                  <w:tcW w:w="1455" w:type="dxa"/>
                  <w:vAlign w:val="center"/>
                </w:tcPr>
                <w:p w14:paraId="59A96E50">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白电油</w:t>
                  </w:r>
                </w:p>
              </w:tc>
              <w:tc>
                <w:tcPr>
                  <w:tcW w:w="1113" w:type="dxa"/>
                  <w:vAlign w:val="center"/>
                </w:tcPr>
                <w:p w14:paraId="6DEED38E">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环己烷</w:t>
                  </w:r>
                </w:p>
              </w:tc>
              <w:tc>
                <w:tcPr>
                  <w:tcW w:w="1225" w:type="dxa"/>
                  <w:vAlign w:val="center"/>
                </w:tcPr>
                <w:p w14:paraId="53F9D4B1">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1</w:t>
                  </w:r>
                  <w:r>
                    <w:rPr>
                      <w:rFonts w:cs="Times New Roman"/>
                      <w:color w:val="000000" w:themeColor="text1"/>
                      <w:kern w:val="2"/>
                      <w:szCs w:val="21"/>
                      <w14:textFill>
                        <w14:solidFill>
                          <w14:schemeClr w14:val="tx1"/>
                        </w14:solidFill>
                      </w14:textFill>
                    </w:rPr>
                    <w:t>0</w:t>
                  </w:r>
                </w:p>
              </w:tc>
              <w:tc>
                <w:tcPr>
                  <w:tcW w:w="2074" w:type="dxa"/>
                  <w:vAlign w:val="center"/>
                </w:tcPr>
                <w:p w14:paraId="32617E24">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0</w:t>
                  </w:r>
                  <w:r>
                    <w:rPr>
                      <w:rFonts w:cs="Times New Roman"/>
                      <w:color w:val="000000" w:themeColor="text1"/>
                      <w:kern w:val="2"/>
                      <w:szCs w:val="21"/>
                      <w14:textFill>
                        <w14:solidFill>
                          <w14:schemeClr w14:val="tx1"/>
                        </w14:solidFill>
                      </w14:textFill>
                    </w:rPr>
                    <w:t>.16</w:t>
                  </w:r>
                </w:p>
              </w:tc>
              <w:tc>
                <w:tcPr>
                  <w:tcW w:w="1657" w:type="dxa"/>
                  <w:vAlign w:val="center"/>
                </w:tcPr>
                <w:p w14:paraId="6130FDD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.016</w:t>
                  </w:r>
                </w:p>
              </w:tc>
            </w:tr>
            <w:tr w14:paraId="7B7F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69" w:type="dxa"/>
                  <w:vAlign w:val="center"/>
                </w:tcPr>
                <w:p w14:paraId="3C56F738">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7</w:t>
                  </w:r>
                </w:p>
              </w:tc>
              <w:tc>
                <w:tcPr>
                  <w:tcW w:w="1455" w:type="dxa"/>
                  <w:vAlign w:val="center"/>
                </w:tcPr>
                <w:p w14:paraId="6F570625">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切削液</w:t>
                  </w:r>
                </w:p>
              </w:tc>
              <w:tc>
                <w:tcPr>
                  <w:tcW w:w="1113" w:type="dxa"/>
                  <w:vAlign w:val="center"/>
                </w:tcPr>
                <w:p w14:paraId="78939B5F">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矿物油</w:t>
                  </w:r>
                </w:p>
              </w:tc>
              <w:tc>
                <w:tcPr>
                  <w:tcW w:w="1225" w:type="dxa"/>
                  <w:vAlign w:val="center"/>
                </w:tcPr>
                <w:p w14:paraId="51BC74EF">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2</w:t>
                  </w:r>
                  <w:r>
                    <w:rPr>
                      <w:rFonts w:cs="Times New Roman"/>
                      <w:color w:val="000000" w:themeColor="text1"/>
                      <w:kern w:val="2"/>
                      <w:szCs w:val="21"/>
                      <w14:textFill>
                        <w14:solidFill>
                          <w14:schemeClr w14:val="tx1"/>
                        </w14:solidFill>
                      </w14:textFill>
                    </w:rPr>
                    <w:t>500</w:t>
                  </w:r>
                </w:p>
              </w:tc>
              <w:tc>
                <w:tcPr>
                  <w:tcW w:w="2074" w:type="dxa"/>
                  <w:vAlign w:val="center"/>
                </w:tcPr>
                <w:p w14:paraId="45DEE48B">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1</w:t>
                  </w:r>
                </w:p>
              </w:tc>
              <w:tc>
                <w:tcPr>
                  <w:tcW w:w="1657" w:type="dxa"/>
                  <w:vAlign w:val="center"/>
                </w:tcPr>
                <w:p w14:paraId="12F27BA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.0004</w:t>
                  </w:r>
                </w:p>
              </w:tc>
            </w:tr>
            <w:tr w14:paraId="757A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69" w:type="dxa"/>
                  <w:vAlign w:val="center"/>
                </w:tcPr>
                <w:p w14:paraId="01F4A119">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8</w:t>
                  </w:r>
                </w:p>
              </w:tc>
              <w:tc>
                <w:tcPr>
                  <w:tcW w:w="1455" w:type="dxa"/>
                  <w:vAlign w:val="center"/>
                </w:tcPr>
                <w:p w14:paraId="20D4F661">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废切削液</w:t>
                  </w:r>
                </w:p>
              </w:tc>
              <w:tc>
                <w:tcPr>
                  <w:tcW w:w="1113" w:type="dxa"/>
                  <w:vAlign w:val="center"/>
                </w:tcPr>
                <w:p w14:paraId="24FCA6DB">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矿物油</w:t>
                  </w:r>
                </w:p>
              </w:tc>
              <w:tc>
                <w:tcPr>
                  <w:tcW w:w="1225" w:type="dxa"/>
                  <w:vAlign w:val="center"/>
                </w:tcPr>
                <w:p w14:paraId="0B99F235">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2</w:t>
                  </w:r>
                  <w:r>
                    <w:rPr>
                      <w:rFonts w:cs="Times New Roman"/>
                      <w:color w:val="000000" w:themeColor="text1"/>
                      <w:kern w:val="2"/>
                      <w:szCs w:val="21"/>
                      <w14:textFill>
                        <w14:solidFill>
                          <w14:schemeClr w14:val="tx1"/>
                        </w14:solidFill>
                      </w14:textFill>
                    </w:rPr>
                    <w:t>500</w:t>
                  </w:r>
                </w:p>
              </w:tc>
              <w:tc>
                <w:tcPr>
                  <w:tcW w:w="2074" w:type="dxa"/>
                  <w:vAlign w:val="center"/>
                </w:tcPr>
                <w:p w14:paraId="2BED9C25">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0.2</w:t>
                  </w:r>
                </w:p>
              </w:tc>
              <w:tc>
                <w:tcPr>
                  <w:tcW w:w="1657" w:type="dxa"/>
                  <w:vAlign w:val="center"/>
                </w:tcPr>
                <w:p w14:paraId="558BF67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.00008</w:t>
                  </w:r>
                </w:p>
              </w:tc>
            </w:tr>
            <w:tr w14:paraId="2866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69" w:type="dxa"/>
                  <w:vAlign w:val="center"/>
                </w:tcPr>
                <w:p w14:paraId="0670CF95">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9</w:t>
                  </w:r>
                </w:p>
              </w:tc>
              <w:tc>
                <w:tcPr>
                  <w:tcW w:w="1455" w:type="dxa"/>
                  <w:vAlign w:val="center"/>
                </w:tcPr>
                <w:p w14:paraId="30D84C84">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清洗废液</w:t>
                  </w:r>
                </w:p>
              </w:tc>
              <w:tc>
                <w:tcPr>
                  <w:tcW w:w="1113" w:type="dxa"/>
                  <w:vAlign w:val="center"/>
                </w:tcPr>
                <w:p w14:paraId="74FC1F12">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异丙醇</w:t>
                  </w:r>
                </w:p>
              </w:tc>
              <w:tc>
                <w:tcPr>
                  <w:tcW w:w="1225" w:type="dxa"/>
                  <w:vAlign w:val="center"/>
                </w:tcPr>
                <w:p w14:paraId="0740DB72">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1</w:t>
                  </w:r>
                  <w:r>
                    <w:rPr>
                      <w:rFonts w:cs="Times New Roman"/>
                      <w:color w:val="000000" w:themeColor="text1"/>
                      <w:kern w:val="2"/>
                      <w:szCs w:val="21"/>
                      <w14:textFill>
                        <w14:solidFill>
                          <w14:schemeClr w14:val="tx1"/>
                        </w14:solidFill>
                      </w14:textFill>
                    </w:rPr>
                    <w:t>0</w:t>
                  </w:r>
                </w:p>
              </w:tc>
              <w:tc>
                <w:tcPr>
                  <w:tcW w:w="2074" w:type="dxa"/>
                  <w:vAlign w:val="center"/>
                </w:tcPr>
                <w:p w14:paraId="5E2F5916">
                  <w:pPr>
                    <w:pStyle w:val="319"/>
                    <w:rPr>
                      <w:rFonts w:cs="Times New Roman"/>
                      <w:color w:val="000000" w:themeColor="text1"/>
                      <w:kern w:val="2"/>
                      <w:szCs w:val="21"/>
                      <w14:textFill>
                        <w14:solidFill>
                          <w14:schemeClr w14:val="tx1"/>
                        </w14:solidFill>
                      </w14:textFill>
                    </w:rPr>
                  </w:pPr>
                  <w:r>
                    <w:rPr>
                      <w:rFonts w:hint="eastAsia" w:cs="Times New Roman"/>
                      <w:color w:val="000000" w:themeColor="text1"/>
                      <w:kern w:val="2"/>
                      <w:szCs w:val="21"/>
                      <w14:textFill>
                        <w14:solidFill>
                          <w14:schemeClr w14:val="tx1"/>
                        </w14:solidFill>
                      </w14:textFill>
                    </w:rPr>
                    <w:t>0</w:t>
                  </w:r>
                  <w:r>
                    <w:rPr>
                      <w:rFonts w:cs="Times New Roman"/>
                      <w:color w:val="000000" w:themeColor="text1"/>
                      <w:kern w:val="2"/>
                      <w:szCs w:val="21"/>
                      <w14:textFill>
                        <w14:solidFill>
                          <w14:schemeClr w14:val="tx1"/>
                        </w14:solidFill>
                      </w14:textFill>
                    </w:rPr>
                    <w:t>.6</w:t>
                  </w:r>
                </w:p>
              </w:tc>
              <w:tc>
                <w:tcPr>
                  <w:tcW w:w="1657" w:type="dxa"/>
                  <w:vAlign w:val="center"/>
                </w:tcPr>
                <w:p w14:paraId="5979956E">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r>
                    <w:rPr>
                      <w:rFonts w:ascii="Times New Roman" w:hAnsi="Times New Roman" w:eastAsia="宋体" w:cs="Times New Roman"/>
                      <w:color w:val="000000" w:themeColor="text1"/>
                      <w:szCs w:val="21"/>
                      <w14:textFill>
                        <w14:solidFill>
                          <w14:schemeClr w14:val="tx1"/>
                        </w14:solidFill>
                      </w14:textFill>
                    </w:rPr>
                    <w:t>.06</w:t>
                  </w:r>
                </w:p>
              </w:tc>
            </w:tr>
            <w:tr w14:paraId="23CB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6536" w:type="dxa"/>
                  <w:gridSpan w:val="5"/>
                  <w:vAlign w:val="center"/>
                </w:tcPr>
                <w:p w14:paraId="1A8C1CE5">
                  <w:pPr>
                    <w:pStyle w:val="319"/>
                    <w:rPr>
                      <w:rFonts w:cs="Times New Roman"/>
                      <w:color w:val="000000" w:themeColor="text1"/>
                      <w:kern w:val="2"/>
                      <w:szCs w:val="21"/>
                      <w14:textFill>
                        <w14:solidFill>
                          <w14:schemeClr w14:val="tx1"/>
                        </w14:solidFill>
                      </w14:textFill>
                    </w:rPr>
                  </w:pPr>
                  <w:r>
                    <w:rPr>
                      <w:rFonts w:cs="Times New Roman"/>
                      <w:color w:val="000000" w:themeColor="text1"/>
                      <w:kern w:val="2"/>
                      <w:szCs w:val="21"/>
                      <w14:textFill>
                        <w14:solidFill>
                          <w14:schemeClr w14:val="tx1"/>
                        </w14:solidFill>
                      </w14:textFill>
                    </w:rPr>
                    <w:t>合计</w:t>
                  </w:r>
                </w:p>
              </w:tc>
              <w:tc>
                <w:tcPr>
                  <w:tcW w:w="1657" w:type="dxa"/>
                  <w:vAlign w:val="center"/>
                </w:tcPr>
                <w:p w14:paraId="0C3D394A">
                  <w:pPr>
                    <w:widowControl/>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0.105148</w:t>
                  </w:r>
                </w:p>
              </w:tc>
            </w:tr>
          </w:tbl>
          <w:p w14:paraId="4F049390">
            <w:pPr>
              <w:tabs>
                <w:tab w:val="left" w:pos="2000"/>
              </w:tabs>
              <w:spacing w:line="360" w:lineRule="auto"/>
              <w:ind w:firstLine="480" w:firstLineChars="200"/>
              <w:rPr>
                <w:b/>
                <w:szCs w:val="21"/>
              </w:rPr>
            </w:pPr>
            <w:r>
              <w:rPr>
                <w:rFonts w:hint="eastAsia" w:ascii="Times New Roman" w:hAnsi="Times New Roman" w:eastAsia="宋体" w:cs="Times New Roman"/>
                <w:sz w:val="24"/>
              </w:rPr>
              <w:t>综上述，项目</w:t>
            </w:r>
            <w:r>
              <w:rPr>
                <w:rFonts w:ascii="Times New Roman" w:hAnsi="Times New Roman" w:eastAsia="宋体" w:cs="Times New Roman"/>
                <w:sz w:val="24"/>
              </w:rPr>
              <w:t>Q</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等线" w:cs="Times New Roman"/>
                <w:color w:val="000000" w:themeColor="text1"/>
                <w:sz w:val="24"/>
                <w14:textFill>
                  <w14:solidFill>
                    <w14:schemeClr w14:val="tx1"/>
                  </w14:solidFill>
                </w14:textFill>
              </w:rPr>
              <w:t>0.1</w:t>
            </w:r>
            <w:r>
              <w:rPr>
                <w:rFonts w:hint="eastAsia" w:ascii="Times New Roman" w:hAnsi="Times New Roman" w:eastAsia="等线" w:cs="Times New Roman"/>
                <w:color w:val="000000" w:themeColor="text1"/>
                <w:sz w:val="24"/>
                <w:lang w:val="en-US" w:eastAsia="zh-CN"/>
                <w14:textFill>
                  <w14:solidFill>
                    <w14:schemeClr w14:val="tx1"/>
                  </w14:solidFill>
                </w14:textFill>
              </w:rPr>
              <w:t>05148</w:t>
            </w:r>
            <w:r>
              <w:rPr>
                <w:rFonts w:ascii="Times New Roman" w:hAnsi="Times New Roman" w:eastAsia="宋体" w:cs="Times New Roman"/>
                <w:color w:val="000000" w:themeColor="text1"/>
                <w:sz w:val="24"/>
                <w14:textFill>
                  <w14:solidFill>
                    <w14:schemeClr w14:val="tx1"/>
                  </w14:solidFill>
                </w14:textFill>
              </w:rPr>
              <w:t>＜1</w:t>
            </w:r>
          </w:p>
          <w:p w14:paraId="277EAA2B">
            <w:pPr>
              <w:tabs>
                <w:tab w:val="left" w:pos="2000"/>
              </w:tabs>
              <w:spacing w:line="360" w:lineRule="auto"/>
              <w:jc w:val="left"/>
              <w:rPr>
                <w:b/>
                <w:sz w:val="24"/>
              </w:rPr>
            </w:pPr>
          </w:p>
          <w:p w14:paraId="74864639">
            <w:pPr>
              <w:tabs>
                <w:tab w:val="left" w:pos="2000"/>
              </w:tabs>
              <w:spacing w:line="360" w:lineRule="auto"/>
              <w:ind w:firstLine="482" w:firstLineChars="200"/>
              <w:jc w:val="left"/>
              <w:rPr>
                <w:rFonts w:ascii="Times New Roman" w:hAnsi="Times New Roman" w:cs="Times New Roman"/>
                <w:b/>
                <w:sz w:val="24"/>
              </w:rPr>
            </w:pPr>
            <w:r>
              <w:rPr>
                <w:rFonts w:ascii="Times New Roman" w:hAnsi="Times New Roman" w:cs="Times New Roman"/>
                <w:b/>
                <w:sz w:val="24"/>
              </w:rPr>
              <w:t>2、环境影响途径</w:t>
            </w:r>
          </w:p>
          <w:p w14:paraId="5E40F456">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根据本项目的特点，本项目事故发生通常有以下情况：</w:t>
            </w:r>
          </w:p>
          <w:p w14:paraId="7CEA7C5A">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（1）直接的火灾。</w:t>
            </w:r>
          </w:p>
          <w:p w14:paraId="4AB1853A">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（2）废气治理设施故障或损坏。</w:t>
            </w:r>
          </w:p>
          <w:p w14:paraId="1750D7B7">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（3）危险废物泄露事故。</w:t>
            </w:r>
          </w:p>
          <w:p w14:paraId="084CEA52">
            <w:pPr>
              <w:tabs>
                <w:tab w:val="left" w:pos="2000"/>
              </w:tabs>
              <w:spacing w:line="360" w:lineRule="auto"/>
              <w:ind w:firstLine="480" w:firstLineChars="200"/>
              <w:rPr>
                <w:rFonts w:ascii="Times New Roman" w:hAnsi="Times New Roman" w:cs="Times New Roman"/>
                <w:color w:val="FF0000"/>
                <w:sz w:val="24"/>
              </w:rPr>
            </w:pP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4</w:t>
            </w:r>
            <w:r>
              <w:rPr>
                <w:rFonts w:ascii="Times New Roman" w:hAnsi="Times New Roman" w:cs="Times New Roman"/>
                <w:color w:val="000000" w:themeColor="text1"/>
                <w:sz w:val="24"/>
                <w14:textFill>
                  <w14:solidFill>
                    <w14:schemeClr w14:val="tx1"/>
                  </w14:solidFill>
                </w14:textFill>
              </w:rPr>
              <w:t>）原辅材料泄漏事故。</w:t>
            </w:r>
          </w:p>
          <w:p w14:paraId="13705290">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企业突发环境事故状态下产生的直接污染、伴生污染、次生污染关系。下面将分述以上 3 种情况。</w:t>
            </w:r>
          </w:p>
          <w:p w14:paraId="571C11F0">
            <w:pPr>
              <w:tabs>
                <w:tab w:val="left" w:pos="2000"/>
              </w:tabs>
              <w:spacing w:line="360" w:lineRule="auto"/>
              <w:ind w:firstLine="480" w:firstLineChars="200"/>
              <w:rPr>
                <w:rFonts w:ascii="Times New Roman" w:hAnsi="Times New Roman" w:cs="Times New Roman"/>
                <w:sz w:val="24"/>
              </w:rPr>
            </w:pPr>
            <w:r>
              <w:rPr>
                <w:rFonts w:hint="eastAsia" w:ascii="宋体" w:hAnsi="宋体" w:eastAsia="宋体" w:cs="宋体"/>
                <w:sz w:val="24"/>
              </w:rPr>
              <w:t>①</w:t>
            </w:r>
            <w:r>
              <w:rPr>
                <w:rFonts w:ascii="Times New Roman" w:hAnsi="Times New Roman" w:cs="Times New Roman"/>
                <w:sz w:val="24"/>
              </w:rPr>
              <w:t>火灾</w:t>
            </w:r>
          </w:p>
          <w:p w14:paraId="6AE903CB">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本公司的火灾爆炸事故会对厂内人员和建筑物等造成危害，有可能在火灾、爆炸事故发 生的同时，导致危险物质的泄漏，大量的危险物质泄漏，将可能导致公司员工及周围一定范围内出现人员身体不适，同时也可能导致周围大气环境、水环境、土壤环境的污染。</w:t>
            </w:r>
          </w:p>
          <w:p w14:paraId="08437A43">
            <w:pPr>
              <w:tabs>
                <w:tab w:val="left" w:pos="2000"/>
              </w:tabs>
              <w:spacing w:line="360" w:lineRule="auto"/>
              <w:ind w:firstLine="480" w:firstLineChars="200"/>
              <w:rPr>
                <w:rFonts w:ascii="Times New Roman" w:hAnsi="Times New Roman" w:cs="Times New Roman"/>
                <w:sz w:val="24"/>
              </w:rPr>
            </w:pPr>
            <w:r>
              <w:rPr>
                <w:rFonts w:hint="eastAsia" w:ascii="宋体" w:hAnsi="宋体" w:eastAsia="宋体" w:cs="宋体"/>
                <w:sz w:val="24"/>
              </w:rPr>
              <w:t>②</w:t>
            </w:r>
            <w:r>
              <w:rPr>
                <w:rFonts w:ascii="Times New Roman" w:hAnsi="Times New Roman" w:cs="Times New Roman"/>
                <w:sz w:val="24"/>
              </w:rPr>
              <w:t>废气治理设施故障或损坏</w:t>
            </w:r>
          </w:p>
          <w:p w14:paraId="1FB60507">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废气治理设施故障或损坏，造成生产废气直接排放，导致污染大气环境。</w:t>
            </w:r>
          </w:p>
          <w:p w14:paraId="24EBA939">
            <w:pPr>
              <w:tabs>
                <w:tab w:val="left" w:pos="2000"/>
              </w:tabs>
              <w:spacing w:line="360" w:lineRule="auto"/>
              <w:ind w:firstLine="480" w:firstLineChars="200"/>
              <w:rPr>
                <w:rFonts w:ascii="Times New Roman" w:hAnsi="Times New Roman" w:cs="Times New Roman"/>
                <w:sz w:val="24"/>
              </w:rPr>
            </w:pPr>
            <w:r>
              <w:rPr>
                <w:rFonts w:hint="eastAsia" w:ascii="宋体" w:hAnsi="宋体" w:eastAsia="宋体" w:cs="宋体"/>
                <w:sz w:val="24"/>
              </w:rPr>
              <w:t>③</w:t>
            </w:r>
            <w:r>
              <w:rPr>
                <w:rFonts w:ascii="Times New Roman" w:hAnsi="Times New Roman" w:cs="Times New Roman"/>
                <w:sz w:val="24"/>
              </w:rPr>
              <w:t>危险废物泄露事故</w:t>
            </w:r>
          </w:p>
          <w:p w14:paraId="7FC7B4B6">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危险废物在危废暂存间中贮存不当，造成危险废物泄露，可能导致周边水环境、土壤环境的污染。</w:t>
            </w:r>
          </w:p>
          <w:p w14:paraId="78B57F85">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④原辅材料泄漏事故</w:t>
            </w:r>
          </w:p>
          <w:p w14:paraId="4B2E6E32">
            <w:pPr>
              <w:tabs>
                <w:tab w:val="left" w:pos="2000"/>
              </w:tabs>
              <w:spacing w:line="360" w:lineRule="auto"/>
              <w:ind w:firstLine="480" w:firstLineChars="200"/>
              <w:rPr>
                <w:rFonts w:ascii="Times New Roman" w:hAnsi="Times New Roman" w:cs="Times New Roman"/>
                <w:color w:val="FF0000"/>
                <w:sz w:val="24"/>
              </w:rPr>
            </w:pPr>
            <w:r>
              <w:rPr>
                <w:rFonts w:ascii="Times New Roman" w:hAnsi="Times New Roman" w:cs="Times New Roman"/>
                <w:color w:val="000000" w:themeColor="text1"/>
                <w:sz w:val="24"/>
                <w14:textFill>
                  <w14:solidFill>
                    <w14:schemeClr w14:val="tx1"/>
                  </w14:solidFill>
                </w14:textFill>
              </w:rPr>
              <w:t>原辅材料在仓库中贮存不当，造成原辅材料泄漏，可能导致周边水环境、土壤环境的污染。</w:t>
            </w:r>
          </w:p>
          <w:p w14:paraId="2B6CB57C">
            <w:pPr>
              <w:tabs>
                <w:tab w:val="left" w:pos="2000"/>
              </w:tabs>
              <w:spacing w:line="360" w:lineRule="auto"/>
              <w:ind w:firstLine="482" w:firstLineChars="200"/>
              <w:rPr>
                <w:rFonts w:ascii="Times New Roman" w:hAnsi="Times New Roman" w:cs="Times New Roman"/>
                <w:b/>
                <w:sz w:val="24"/>
              </w:rPr>
            </w:pPr>
            <w:r>
              <w:rPr>
                <w:rFonts w:ascii="Times New Roman" w:hAnsi="Times New Roman" w:cs="Times New Roman"/>
                <w:b/>
                <w:sz w:val="24"/>
              </w:rPr>
              <w:t>3、环境风险防范措施</w:t>
            </w:r>
          </w:p>
          <w:p w14:paraId="047B2A32">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（1）火灾风险防范措施</w:t>
            </w:r>
          </w:p>
          <w:p w14:paraId="040E72F8">
            <w:pPr>
              <w:tabs>
                <w:tab w:val="left" w:pos="2000"/>
              </w:tabs>
              <w:spacing w:line="360" w:lineRule="auto"/>
              <w:ind w:firstLine="480" w:firstLineChars="200"/>
              <w:rPr>
                <w:rFonts w:ascii="Times New Roman" w:hAnsi="Times New Roman" w:cs="Times New Roman"/>
                <w:sz w:val="24"/>
              </w:rPr>
            </w:pPr>
            <w:r>
              <w:rPr>
                <w:rFonts w:hint="eastAsia" w:ascii="宋体" w:hAnsi="宋体" w:eastAsia="宋体" w:cs="宋体"/>
                <w:sz w:val="24"/>
              </w:rPr>
              <w:t>①</w:t>
            </w:r>
            <w:r>
              <w:rPr>
                <w:rFonts w:ascii="Times New Roman" w:hAnsi="Times New Roman" w:cs="Times New Roman"/>
                <w:sz w:val="24"/>
              </w:rPr>
              <w:t>生产车间应按规范配置灭火器材和消防装备。</w:t>
            </w:r>
          </w:p>
          <w:p w14:paraId="395D4D6A">
            <w:pPr>
              <w:tabs>
                <w:tab w:val="left" w:pos="2000"/>
              </w:tabs>
              <w:spacing w:line="360" w:lineRule="auto"/>
              <w:ind w:firstLine="480" w:firstLineChars="200"/>
              <w:rPr>
                <w:rFonts w:ascii="Times New Roman" w:hAnsi="Times New Roman" w:cs="Times New Roman"/>
                <w:sz w:val="24"/>
              </w:rPr>
            </w:pPr>
            <w:r>
              <w:rPr>
                <w:rFonts w:hint="eastAsia" w:ascii="宋体" w:hAnsi="宋体" w:eastAsia="宋体" w:cs="宋体"/>
                <w:sz w:val="24"/>
              </w:rPr>
              <w:t>②</w:t>
            </w:r>
            <w:r>
              <w:rPr>
                <w:rFonts w:ascii="Times New Roman" w:hAnsi="Times New Roman" w:cs="Times New Roman"/>
                <w:sz w:val="24"/>
              </w:rPr>
              <w:t>制定巡查制度，对有泄漏现象和迹象的部位及时采取处理措施。</w:t>
            </w:r>
          </w:p>
          <w:p w14:paraId="4B6FB3A0">
            <w:pPr>
              <w:tabs>
                <w:tab w:val="left" w:pos="2000"/>
              </w:tabs>
              <w:spacing w:line="360" w:lineRule="auto"/>
              <w:ind w:firstLine="480" w:firstLineChars="200"/>
              <w:rPr>
                <w:rFonts w:ascii="Times New Roman" w:hAnsi="Times New Roman" w:cs="Times New Roman"/>
                <w:sz w:val="24"/>
              </w:rPr>
            </w:pPr>
            <w:r>
              <w:rPr>
                <w:rFonts w:hint="eastAsia" w:ascii="宋体" w:hAnsi="宋体" w:eastAsia="宋体" w:cs="宋体"/>
                <w:sz w:val="24"/>
              </w:rPr>
              <w:t>③</w:t>
            </w:r>
            <w:r>
              <w:rPr>
                <w:rFonts w:ascii="Times New Roman" w:hAnsi="Times New Roman" w:cs="Times New Roman"/>
                <w:sz w:val="24"/>
              </w:rPr>
              <w:t>加强火源管理，杜绝各种火种，严禁闲杂人员入内。</w:t>
            </w:r>
          </w:p>
          <w:p w14:paraId="174ACBFB">
            <w:pPr>
              <w:tabs>
                <w:tab w:val="left" w:pos="2000"/>
              </w:tabs>
              <w:spacing w:line="360" w:lineRule="auto"/>
              <w:ind w:firstLine="480" w:firstLineChars="200"/>
              <w:rPr>
                <w:rFonts w:ascii="Times New Roman" w:hAnsi="Times New Roman" w:cs="Times New Roman"/>
                <w:sz w:val="24"/>
              </w:rPr>
            </w:pPr>
            <w:r>
              <w:rPr>
                <w:rFonts w:hint="eastAsia" w:ascii="宋体" w:hAnsi="宋体" w:eastAsia="宋体" w:cs="宋体"/>
                <w:sz w:val="24"/>
              </w:rPr>
              <w:t>④</w:t>
            </w:r>
            <w:r>
              <w:rPr>
                <w:rFonts w:ascii="Times New Roman" w:hAnsi="Times New Roman" w:cs="Times New Roman"/>
                <w:sz w:val="24"/>
              </w:rPr>
              <w:t>工作人员要熟练掌握操作技术和防火安全管理规定。</w:t>
            </w:r>
          </w:p>
          <w:p w14:paraId="2B802145">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（2）废气处理设施发生的预防措施</w:t>
            </w:r>
          </w:p>
          <w:p w14:paraId="6D8919AC">
            <w:pPr>
              <w:tabs>
                <w:tab w:val="left" w:pos="2000"/>
              </w:tabs>
              <w:spacing w:line="360" w:lineRule="auto"/>
              <w:ind w:firstLine="480" w:firstLineChars="200"/>
              <w:rPr>
                <w:rFonts w:ascii="Times New Roman" w:hAnsi="Times New Roman" w:cs="Times New Roman"/>
                <w:sz w:val="24"/>
              </w:rPr>
            </w:pPr>
            <w:r>
              <w:rPr>
                <w:rFonts w:ascii="Times New Roman" w:hAnsi="Times New Roman" w:cs="Times New Roman"/>
                <w:sz w:val="24"/>
              </w:rPr>
              <w:t>生产运行阶段，工厂设备应每个月全面检修一次，每天有专业人员检查生产设备，检查 生产材料的浓度等；废气处理设施每天上下午各检查一次。如处理设施不能正常运行时，立即停止产生废气的生产环节，避免废气不经处理直接排到大气中，对员工和附近的敏感点产生不良影响，并立即请有关的技术人员进行维修。</w:t>
            </w:r>
          </w:p>
          <w:p w14:paraId="3FAAD1DF">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（3）危废暂存间泄漏防范措施</w:t>
            </w:r>
          </w:p>
          <w:p w14:paraId="1742318E">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①</w:t>
            </w:r>
            <w:r>
              <w:rPr>
                <w:rFonts w:ascii="Times New Roman" w:hAnsi="Times New Roman" w:cs="Times New Roman"/>
                <w:color w:val="000000" w:themeColor="text1"/>
                <w:sz w:val="24"/>
                <w14:textFill>
                  <w14:solidFill>
                    <w14:schemeClr w14:val="tx1"/>
                  </w14:solidFill>
                </w14:textFill>
              </w:rPr>
              <w:t>危废暂存区根据危险废弃物的种类设置相应的收集桶分类存放。</w:t>
            </w:r>
          </w:p>
          <w:p w14:paraId="6173CA62">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②</w:t>
            </w:r>
            <w:r>
              <w:rPr>
                <w:rFonts w:ascii="Times New Roman" w:hAnsi="Times New Roman" w:cs="Times New Roman"/>
                <w:color w:val="000000" w:themeColor="text1"/>
                <w:sz w:val="24"/>
                <w14:textFill>
                  <w14:solidFill>
                    <w14:schemeClr w14:val="tx1"/>
                  </w14:solidFill>
                </w14:textFill>
              </w:rPr>
              <w:t>门口设置台账作为出入库记录；</w:t>
            </w:r>
          </w:p>
          <w:p w14:paraId="3227FB7A">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③</w:t>
            </w:r>
            <w:r>
              <w:rPr>
                <w:rFonts w:ascii="Times New Roman" w:hAnsi="Times New Roman" w:cs="Times New Roman"/>
                <w:color w:val="000000" w:themeColor="text1"/>
                <w:sz w:val="24"/>
                <w14:textFill>
                  <w14:solidFill>
                    <w14:schemeClr w14:val="tx1"/>
                  </w14:solidFill>
                </w14:textFill>
              </w:rPr>
              <w:t>专人管理，定期检查防渗层和收集桶的情况。</w:t>
            </w:r>
          </w:p>
          <w:p w14:paraId="6220BF3C">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4</w:t>
            </w:r>
            <w:r>
              <w:rPr>
                <w:rFonts w:ascii="Times New Roman" w:hAnsi="Times New Roman" w:cs="Times New Roman"/>
                <w:color w:val="000000" w:themeColor="text1"/>
                <w:sz w:val="24"/>
                <w14:textFill>
                  <w14:solidFill>
                    <w14:schemeClr w14:val="tx1"/>
                  </w14:solidFill>
                </w14:textFill>
              </w:rPr>
              <w:t>）原辅材料泄漏防范措施</w:t>
            </w:r>
          </w:p>
          <w:p w14:paraId="3EBD55C5">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①选用耐腐、密封良好的容器储存。</w:t>
            </w:r>
          </w:p>
          <w:p w14:paraId="61CE928E">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②仓库设置专门的存储区域，远离火源、热源。</w:t>
            </w:r>
          </w:p>
          <w:p w14:paraId="76B78B30">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③专人管理，定期检查存储设备密封性。</w:t>
            </w:r>
          </w:p>
          <w:p w14:paraId="304ECA13">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5</w:t>
            </w:r>
            <w:r>
              <w:rPr>
                <w:rFonts w:ascii="Times New Roman" w:hAnsi="Times New Roman" w:cs="Times New Roman"/>
                <w:color w:val="000000" w:themeColor="text1"/>
                <w:sz w:val="24"/>
                <w14:textFill>
                  <w14:solidFill>
                    <w14:schemeClr w14:val="tx1"/>
                  </w14:solidFill>
                </w14:textFill>
              </w:rPr>
              <w:t>）消防火灾的二次污染物防范措施</w:t>
            </w:r>
          </w:p>
          <w:p w14:paraId="0608A276">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①对泄漏的有毒液体，用沙袋、反渗布围堵，避免渗入土壤或地下水。</w:t>
            </w:r>
          </w:p>
          <w:p w14:paraId="58F325C6">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②对地面残留的灰烬、腐蚀性液体、用专用容器收集。</w:t>
            </w:r>
          </w:p>
          <w:p w14:paraId="2574F4E9">
            <w:pPr>
              <w:tabs>
                <w:tab w:val="left" w:pos="2000"/>
              </w:tabs>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③切断火源，阻止火势蔓延至存储有毒、腐蚀性物质的区域。</w:t>
            </w:r>
          </w:p>
          <w:p w14:paraId="42E7440C">
            <w:pPr>
              <w:tabs>
                <w:tab w:val="left" w:pos="2000"/>
              </w:tabs>
              <w:spacing w:line="360" w:lineRule="auto"/>
              <w:ind w:firstLine="482" w:firstLineChars="200"/>
              <w:jc w:val="left"/>
              <w:rPr>
                <w:rFonts w:ascii="Times New Roman" w:hAnsi="Times New Roman" w:cs="Times New Roman"/>
                <w:b/>
                <w:sz w:val="24"/>
              </w:rPr>
            </w:pPr>
            <w:r>
              <w:rPr>
                <w:rFonts w:ascii="Times New Roman" w:hAnsi="Times New Roman" w:cs="Times New Roman"/>
                <w:b/>
                <w:sz w:val="24"/>
              </w:rPr>
              <w:t>4、环境风险评价结论</w:t>
            </w:r>
          </w:p>
          <w:p w14:paraId="1CD32834">
            <w:pPr>
              <w:tabs>
                <w:tab w:val="left" w:pos="2000"/>
              </w:tabs>
              <w:spacing w:line="360" w:lineRule="auto"/>
              <w:ind w:firstLine="480" w:firstLineChars="200"/>
              <w:jc w:val="left"/>
              <w:rPr>
                <w:rFonts w:ascii="Times New Roman" w:hAnsi="Times New Roman" w:cs="Times New Roman"/>
                <w:sz w:val="24"/>
              </w:rPr>
            </w:pPr>
            <w:r>
              <w:rPr>
                <w:rFonts w:ascii="Times New Roman" w:hAnsi="Times New Roman" w:cs="Times New Roman"/>
                <w:sz w:val="24"/>
              </w:rPr>
              <w:t>建设单位只要按照设计要求严格施工，并在切实落实评价中所提出的各项综合风险防范、事故处置、应急措施的基础上，可将风险事故降至最低。本项目风险防范措施可行有效，风险事故的环境影响控制在可接受范围。</w:t>
            </w:r>
          </w:p>
          <w:p w14:paraId="29745897">
            <w:pPr>
              <w:tabs>
                <w:tab w:val="left" w:pos="652"/>
              </w:tabs>
              <w:spacing w:line="360" w:lineRule="auto"/>
              <w:ind w:firstLine="480" w:firstLineChars="200"/>
              <w:jc w:val="left"/>
              <w:rPr>
                <w:sz w:val="24"/>
              </w:rPr>
            </w:pPr>
          </w:p>
        </w:tc>
      </w:tr>
    </w:tbl>
    <w:p w14:paraId="2A077A4E">
      <w:pPr>
        <w:sectPr>
          <w:pgSz w:w="12240" w:h="15840"/>
          <w:pgMar w:top="1440" w:right="1797" w:bottom="1440" w:left="1797" w:header="720" w:footer="720" w:gutter="0"/>
          <w:cols w:space="425" w:num="1"/>
          <w:docGrid w:linePitch="312" w:charSpace="0"/>
        </w:sectPr>
      </w:pPr>
    </w:p>
    <w:p w14:paraId="127BD7F6">
      <w:pPr>
        <w:pStyle w:val="39"/>
        <w:spacing w:before="100" w:after="100"/>
        <w:ind w:right="-126"/>
        <w:jc w:val="center"/>
        <w:outlineLvl w:val="0"/>
        <w:rPr>
          <w:rFonts w:hint="default" w:ascii="黑体" w:hAnsi="黑体" w:eastAsia="黑体"/>
          <w:snapToGrid w:val="0"/>
          <w:sz w:val="32"/>
          <w:szCs w:val="32"/>
        </w:rPr>
      </w:pPr>
      <w:bookmarkStart w:id="17" w:name="_Toc14062"/>
      <w:r>
        <w:rPr>
          <w:rFonts w:hint="default" w:ascii="黑体" w:hAnsi="黑体" w:eastAsia="黑体"/>
          <w:snapToGrid w:val="0"/>
          <w:sz w:val="32"/>
          <w:szCs w:val="32"/>
        </w:rPr>
        <w:t>五、环境保护措施监督检查清单</w:t>
      </w:r>
      <w:bookmarkEnd w:id="17"/>
    </w:p>
    <w:tbl>
      <w:tblPr>
        <w:tblStyle w:val="4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1729"/>
        <w:gridCol w:w="1729"/>
        <w:gridCol w:w="1573"/>
        <w:gridCol w:w="1887"/>
      </w:tblGrid>
      <w:tr w14:paraId="01C71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08" w:type="dxa"/>
            <w:tcBorders>
              <w:tl2br w:val="single" w:color="auto" w:sz="4" w:space="0"/>
            </w:tcBorders>
          </w:tcPr>
          <w:p w14:paraId="3418BBF4">
            <w:pPr>
              <w:adjustRightInd w:val="0"/>
              <w:snapToGrid w:val="0"/>
              <w:ind w:firstLine="840"/>
              <w:rPr>
                <w:rFonts w:ascii="宋体" w:hAnsi="宋体" w:cs="宋体"/>
                <w:szCs w:val="21"/>
              </w:rPr>
            </w:pPr>
            <w:r>
              <w:rPr>
                <w:rFonts w:hint="eastAsia" w:ascii="宋体" w:hAnsi="宋体" w:cs="宋体"/>
                <w:szCs w:val="21"/>
              </w:rPr>
              <w:t>内容</w:t>
            </w:r>
          </w:p>
          <w:p w14:paraId="33EF5356">
            <w:pPr>
              <w:adjustRightInd w:val="0"/>
              <w:snapToGrid w:val="0"/>
              <w:rPr>
                <w:rFonts w:ascii="宋体" w:hAnsi="宋体" w:cs="宋体"/>
                <w:szCs w:val="21"/>
              </w:rPr>
            </w:pPr>
            <w:r>
              <w:rPr>
                <w:rFonts w:hint="eastAsia" w:ascii="宋体" w:hAnsi="宋体" w:cs="宋体"/>
                <w:szCs w:val="21"/>
              </w:rPr>
              <w:t>要素</w:t>
            </w:r>
          </w:p>
        </w:tc>
        <w:tc>
          <w:tcPr>
            <w:tcW w:w="1729" w:type="dxa"/>
            <w:vAlign w:val="center"/>
          </w:tcPr>
          <w:p w14:paraId="7F5CDFF5">
            <w:pPr>
              <w:adjustRightInd w:val="0"/>
              <w:snapToGrid w:val="0"/>
              <w:jc w:val="center"/>
              <w:rPr>
                <w:rFonts w:ascii="宋体" w:hAnsi="宋体" w:cs="宋体"/>
                <w:szCs w:val="21"/>
              </w:rPr>
            </w:pPr>
            <w:r>
              <w:rPr>
                <w:rFonts w:hint="eastAsia" w:ascii="宋体" w:hAnsi="宋体" w:cs="宋体"/>
                <w:szCs w:val="21"/>
              </w:rPr>
              <w:t>排放口</w:t>
            </w:r>
            <w:r>
              <w:rPr>
                <w:rFonts w:hint="eastAsia" w:ascii="宋体" w:hAnsi="宋体" w:cs="宋体"/>
                <w:szCs w:val="21"/>
                <w:lang w:eastAsia="zh-CN"/>
              </w:rPr>
              <w:t>（</w:t>
            </w:r>
            <w:r>
              <w:rPr>
                <w:rFonts w:hint="eastAsia" w:ascii="宋体" w:hAnsi="宋体" w:cs="宋体"/>
                <w:szCs w:val="21"/>
              </w:rPr>
              <w:t>编号、名称</w:t>
            </w:r>
            <w:r>
              <w:rPr>
                <w:rFonts w:hint="eastAsia" w:ascii="宋体" w:hAnsi="宋体" w:cs="宋体"/>
                <w:szCs w:val="21"/>
                <w:lang w:eastAsia="zh-CN"/>
              </w:rPr>
              <w:t>）</w:t>
            </w:r>
            <w:r>
              <w:rPr>
                <w:rFonts w:hint="eastAsia" w:ascii="宋体" w:hAnsi="宋体" w:cs="宋体"/>
                <w:szCs w:val="21"/>
              </w:rPr>
              <w:t>/污染源</w:t>
            </w:r>
          </w:p>
        </w:tc>
        <w:tc>
          <w:tcPr>
            <w:tcW w:w="1729" w:type="dxa"/>
            <w:vAlign w:val="center"/>
          </w:tcPr>
          <w:p w14:paraId="2908B26A">
            <w:pPr>
              <w:adjustRightInd w:val="0"/>
              <w:snapToGrid w:val="0"/>
              <w:jc w:val="center"/>
              <w:rPr>
                <w:rFonts w:ascii="宋体" w:hAnsi="宋体" w:cs="宋体"/>
                <w:szCs w:val="21"/>
              </w:rPr>
            </w:pPr>
            <w:r>
              <w:rPr>
                <w:rFonts w:hint="eastAsia" w:ascii="宋体" w:hAnsi="宋体" w:cs="宋体"/>
                <w:szCs w:val="21"/>
              </w:rPr>
              <w:t>污染物项目</w:t>
            </w:r>
          </w:p>
        </w:tc>
        <w:tc>
          <w:tcPr>
            <w:tcW w:w="1573" w:type="dxa"/>
            <w:vAlign w:val="center"/>
          </w:tcPr>
          <w:p w14:paraId="4DB16273">
            <w:pPr>
              <w:adjustRightInd w:val="0"/>
              <w:snapToGrid w:val="0"/>
              <w:jc w:val="center"/>
              <w:rPr>
                <w:rFonts w:ascii="宋体" w:hAnsi="宋体" w:cs="宋体"/>
                <w:szCs w:val="21"/>
              </w:rPr>
            </w:pPr>
            <w:r>
              <w:rPr>
                <w:rFonts w:hint="eastAsia" w:ascii="宋体" w:hAnsi="宋体" w:cs="宋体"/>
                <w:szCs w:val="21"/>
              </w:rPr>
              <w:t>环境保护措施</w:t>
            </w:r>
          </w:p>
        </w:tc>
        <w:tc>
          <w:tcPr>
            <w:tcW w:w="1887" w:type="dxa"/>
            <w:vAlign w:val="center"/>
          </w:tcPr>
          <w:p w14:paraId="291ABCBB">
            <w:pPr>
              <w:adjustRightInd w:val="0"/>
              <w:snapToGrid w:val="0"/>
              <w:jc w:val="center"/>
              <w:rPr>
                <w:rFonts w:ascii="宋体" w:hAnsi="宋体" w:cs="宋体"/>
                <w:szCs w:val="21"/>
              </w:rPr>
            </w:pPr>
            <w:r>
              <w:rPr>
                <w:rFonts w:hint="eastAsia" w:ascii="宋体" w:hAnsi="宋体" w:cs="宋体"/>
                <w:szCs w:val="21"/>
              </w:rPr>
              <w:t>执行标准</w:t>
            </w:r>
          </w:p>
        </w:tc>
      </w:tr>
      <w:tr w14:paraId="1651EF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22" w:hRule="atLeast"/>
          <w:jc w:val="center"/>
        </w:trPr>
        <w:tc>
          <w:tcPr>
            <w:tcW w:w="1708" w:type="dxa"/>
            <w:vMerge w:val="restart"/>
            <w:vAlign w:val="center"/>
          </w:tcPr>
          <w:p w14:paraId="4E7478CB">
            <w:pPr>
              <w:adjustRightInd w:val="0"/>
              <w:snapToGrid w:val="0"/>
              <w:jc w:val="center"/>
              <w:rPr>
                <w:rFonts w:ascii="宋体" w:hAnsi="宋体" w:cs="宋体"/>
                <w:szCs w:val="21"/>
              </w:rPr>
            </w:pPr>
            <w:r>
              <w:rPr>
                <w:rFonts w:hint="eastAsia" w:ascii="宋体" w:hAnsi="宋体" w:cs="宋体"/>
                <w:szCs w:val="21"/>
              </w:rPr>
              <w:t>大气环境</w:t>
            </w:r>
          </w:p>
        </w:tc>
        <w:tc>
          <w:tcPr>
            <w:tcW w:w="1729" w:type="dxa"/>
            <w:vAlign w:val="center"/>
          </w:tcPr>
          <w:p w14:paraId="654AED2C">
            <w:pPr>
              <w:pStyle w:val="66"/>
            </w:pPr>
            <w:r>
              <w:rPr>
                <w:rFonts w:hint="eastAsia"/>
              </w:rPr>
              <w:t>D</w:t>
            </w:r>
            <w:r>
              <w:t>A004</w:t>
            </w:r>
          </w:p>
        </w:tc>
        <w:tc>
          <w:tcPr>
            <w:tcW w:w="1729" w:type="dxa"/>
            <w:vAlign w:val="center"/>
          </w:tcPr>
          <w:p w14:paraId="06799145">
            <w:pPr>
              <w:pStyle w:val="66"/>
            </w:pPr>
            <w:r>
              <w:t>颗粒物</w:t>
            </w:r>
          </w:p>
        </w:tc>
        <w:tc>
          <w:tcPr>
            <w:tcW w:w="1573" w:type="dxa"/>
            <w:vAlign w:val="center"/>
          </w:tcPr>
          <w:p w14:paraId="00C6C735">
            <w:pPr>
              <w:pStyle w:val="66"/>
            </w:pPr>
            <w:r>
              <w:t>抛丸废气经设备自带的布袋除尘器收集处理后汇同经集气罩收集后经布袋除尘器处理的制孔废气由</w:t>
            </w:r>
            <w:r>
              <w:rPr>
                <w:rFonts w:hint="eastAsia"/>
              </w:rPr>
              <w:t>1</w:t>
            </w:r>
            <w:r>
              <w:t>5m高排气筒排放</w:t>
            </w:r>
          </w:p>
        </w:tc>
        <w:tc>
          <w:tcPr>
            <w:tcW w:w="1887" w:type="dxa"/>
            <w:vAlign w:val="center"/>
          </w:tcPr>
          <w:p w14:paraId="568DBB29">
            <w:pPr>
              <w:pStyle w:val="66"/>
            </w:pPr>
            <w:r>
              <w:rPr>
                <w:rFonts w:hint="eastAsia"/>
                <w:color w:val="000000" w:themeColor="text1"/>
                <w14:textFill>
                  <w14:solidFill>
                    <w14:schemeClr w14:val="tx1"/>
                  </w14:solidFill>
                </w14:textFill>
              </w:rPr>
              <w:t>广东省《大气污染物排放限值》（DB 44/27－2001）第二时段二级标准</w:t>
            </w:r>
          </w:p>
        </w:tc>
      </w:tr>
      <w:tr w14:paraId="54DB6E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1708" w:type="dxa"/>
            <w:vMerge w:val="continue"/>
            <w:vAlign w:val="center"/>
          </w:tcPr>
          <w:p w14:paraId="6050B483">
            <w:pPr>
              <w:adjustRightInd w:val="0"/>
              <w:snapToGrid w:val="0"/>
              <w:jc w:val="center"/>
              <w:rPr>
                <w:rFonts w:ascii="宋体" w:hAnsi="宋体" w:cs="宋体"/>
                <w:szCs w:val="21"/>
              </w:rPr>
            </w:pPr>
          </w:p>
        </w:tc>
        <w:tc>
          <w:tcPr>
            <w:tcW w:w="1729" w:type="dxa"/>
            <w:vMerge w:val="restart"/>
            <w:vAlign w:val="center"/>
          </w:tcPr>
          <w:p w14:paraId="481FB420">
            <w:pPr>
              <w:pStyle w:val="66"/>
            </w:pPr>
            <w:r>
              <w:rPr>
                <w:rFonts w:hint="eastAsia"/>
              </w:rPr>
              <w:t>D</w:t>
            </w:r>
            <w:r>
              <w:t>A005</w:t>
            </w:r>
          </w:p>
        </w:tc>
        <w:tc>
          <w:tcPr>
            <w:tcW w:w="1729" w:type="dxa"/>
            <w:vAlign w:val="center"/>
          </w:tcPr>
          <w:p w14:paraId="034E0532">
            <w:pPr>
              <w:pStyle w:val="66"/>
            </w:pPr>
            <w:r>
              <w:rPr>
                <w:rFonts w:hint="eastAsia"/>
              </w:rPr>
              <w:t>T</w:t>
            </w:r>
            <w:r>
              <w:t>VOC</w:t>
            </w:r>
          </w:p>
        </w:tc>
        <w:tc>
          <w:tcPr>
            <w:tcW w:w="1573" w:type="dxa"/>
            <w:vMerge w:val="restart"/>
            <w:vAlign w:val="center"/>
          </w:tcPr>
          <w:p w14:paraId="632A1346">
            <w:pPr>
              <w:pStyle w:val="66"/>
            </w:pPr>
            <w:r>
              <w:rPr>
                <w:rFonts w:hint="eastAsia"/>
              </w:rPr>
              <w:t>喷漆废气经</w:t>
            </w:r>
            <w:r>
              <w:rPr>
                <w:rFonts w:hint="eastAsia"/>
                <w:lang w:val="en-US" w:eastAsia="zh-CN"/>
              </w:rPr>
              <w:t>半密闭型</w:t>
            </w:r>
            <w:r>
              <w:rPr>
                <w:rFonts w:hint="eastAsia"/>
              </w:rPr>
              <w:t>集气罩（四周围挡）收集后经</w:t>
            </w:r>
            <w:r>
              <w:rPr>
                <w:rFonts w:hint="eastAsia"/>
                <w:lang w:val="en-US" w:eastAsia="zh-CN"/>
              </w:rPr>
              <w:t>水喷淋+</w:t>
            </w:r>
            <w:r>
              <w:rPr>
                <w:rFonts w:hint="eastAsia"/>
              </w:rPr>
              <w:t>干式过滤器预处理后再汇同经集气罩（</w:t>
            </w:r>
            <w:r>
              <w:rPr>
                <w:rFonts w:hint="eastAsia"/>
                <w:lang w:val="en-US" w:eastAsia="zh-CN"/>
              </w:rPr>
              <w:t>全密闭</w:t>
            </w:r>
            <w:r>
              <w:rPr>
                <w:rFonts w:hint="eastAsia"/>
              </w:rPr>
              <w:t>）收集的刷胶、浇注、烘干废气进入</w:t>
            </w:r>
            <w:r>
              <w:rPr>
                <w:rFonts w:hint="eastAsia"/>
                <w:lang w:val="en-US" w:eastAsia="zh-CN"/>
              </w:rPr>
              <w:t>二级活性炭吸附装置</w:t>
            </w:r>
            <w:r>
              <w:t>处置后由</w:t>
            </w:r>
            <w:r>
              <w:rPr>
                <w:rFonts w:hint="eastAsia"/>
              </w:rPr>
              <w:t>1</w:t>
            </w:r>
            <w:r>
              <w:t>5m高排气筒</w:t>
            </w:r>
            <w:r>
              <w:rPr>
                <w:rFonts w:hint="eastAsia"/>
              </w:rPr>
              <w:t>D</w:t>
            </w:r>
            <w:r>
              <w:t>A005排放</w:t>
            </w:r>
          </w:p>
        </w:tc>
        <w:tc>
          <w:tcPr>
            <w:tcW w:w="1887" w:type="dxa"/>
            <w:vMerge w:val="restart"/>
            <w:vAlign w:val="center"/>
          </w:tcPr>
          <w:p w14:paraId="032F9E6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《固定污染源挥发性有机物综合排放标准》（DB44/2367-2022）表1排放限值要求</w:t>
            </w:r>
          </w:p>
        </w:tc>
      </w:tr>
      <w:tr w14:paraId="73063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708" w:type="dxa"/>
            <w:vMerge w:val="continue"/>
            <w:vAlign w:val="center"/>
          </w:tcPr>
          <w:p w14:paraId="476F02B4">
            <w:pPr>
              <w:adjustRightInd w:val="0"/>
              <w:snapToGrid w:val="0"/>
              <w:jc w:val="center"/>
              <w:rPr>
                <w:rFonts w:ascii="宋体" w:hAnsi="宋体" w:cs="宋体"/>
                <w:szCs w:val="21"/>
              </w:rPr>
            </w:pPr>
          </w:p>
        </w:tc>
        <w:tc>
          <w:tcPr>
            <w:tcW w:w="1729" w:type="dxa"/>
            <w:vMerge w:val="continue"/>
            <w:vAlign w:val="center"/>
          </w:tcPr>
          <w:p w14:paraId="08C79D58">
            <w:pPr>
              <w:pStyle w:val="66"/>
            </w:pPr>
          </w:p>
        </w:tc>
        <w:tc>
          <w:tcPr>
            <w:tcW w:w="1729" w:type="dxa"/>
            <w:vAlign w:val="center"/>
          </w:tcPr>
          <w:p w14:paraId="6CEBE64C">
            <w:pPr>
              <w:pStyle w:val="66"/>
            </w:pPr>
            <w:r>
              <w:rPr>
                <w:rFonts w:hint="eastAsia"/>
              </w:rPr>
              <w:t>NM</w:t>
            </w:r>
            <w:r>
              <w:t>HC</w:t>
            </w:r>
          </w:p>
        </w:tc>
        <w:tc>
          <w:tcPr>
            <w:tcW w:w="1573" w:type="dxa"/>
            <w:vMerge w:val="continue"/>
            <w:vAlign w:val="center"/>
          </w:tcPr>
          <w:p w14:paraId="30EEEDB1">
            <w:pPr>
              <w:pStyle w:val="66"/>
            </w:pPr>
          </w:p>
        </w:tc>
        <w:tc>
          <w:tcPr>
            <w:tcW w:w="1887" w:type="dxa"/>
            <w:vMerge w:val="continue"/>
            <w:vAlign w:val="center"/>
          </w:tcPr>
          <w:p w14:paraId="59217159">
            <w:pPr>
              <w:pStyle w:val="66"/>
              <w:rPr>
                <w:color w:val="000000" w:themeColor="text1"/>
                <w14:textFill>
                  <w14:solidFill>
                    <w14:schemeClr w14:val="tx1"/>
                  </w14:solidFill>
                </w14:textFill>
              </w:rPr>
            </w:pPr>
          </w:p>
        </w:tc>
      </w:tr>
      <w:tr w14:paraId="5C53D0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708" w:type="dxa"/>
            <w:vMerge w:val="continue"/>
            <w:vAlign w:val="center"/>
          </w:tcPr>
          <w:p w14:paraId="50CD3983">
            <w:pPr>
              <w:adjustRightInd w:val="0"/>
              <w:snapToGrid w:val="0"/>
              <w:jc w:val="center"/>
              <w:rPr>
                <w:rFonts w:ascii="宋体" w:hAnsi="宋体" w:cs="宋体"/>
                <w:szCs w:val="21"/>
              </w:rPr>
            </w:pPr>
          </w:p>
        </w:tc>
        <w:tc>
          <w:tcPr>
            <w:tcW w:w="1729" w:type="dxa"/>
            <w:vMerge w:val="continue"/>
            <w:vAlign w:val="center"/>
          </w:tcPr>
          <w:p w14:paraId="6C24244A">
            <w:pPr>
              <w:pStyle w:val="66"/>
            </w:pPr>
          </w:p>
        </w:tc>
        <w:tc>
          <w:tcPr>
            <w:tcW w:w="1729" w:type="dxa"/>
            <w:vAlign w:val="center"/>
          </w:tcPr>
          <w:p w14:paraId="41911295">
            <w:pPr>
              <w:pStyle w:val="66"/>
            </w:pPr>
            <w:r>
              <w:rPr>
                <w:rFonts w:hint="eastAsia"/>
              </w:rPr>
              <w:t>苯系物</w:t>
            </w:r>
          </w:p>
        </w:tc>
        <w:tc>
          <w:tcPr>
            <w:tcW w:w="1573" w:type="dxa"/>
            <w:vMerge w:val="continue"/>
            <w:vAlign w:val="center"/>
          </w:tcPr>
          <w:p w14:paraId="7582C6F3">
            <w:pPr>
              <w:pStyle w:val="66"/>
            </w:pPr>
          </w:p>
        </w:tc>
        <w:tc>
          <w:tcPr>
            <w:tcW w:w="1887" w:type="dxa"/>
            <w:vMerge w:val="continue"/>
            <w:vAlign w:val="center"/>
          </w:tcPr>
          <w:p w14:paraId="35175CE7">
            <w:pPr>
              <w:pStyle w:val="66"/>
              <w:rPr>
                <w:color w:val="000000" w:themeColor="text1"/>
                <w14:textFill>
                  <w14:solidFill>
                    <w14:schemeClr w14:val="tx1"/>
                  </w14:solidFill>
                </w14:textFill>
              </w:rPr>
            </w:pPr>
          </w:p>
        </w:tc>
      </w:tr>
      <w:tr w14:paraId="2A1B6F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708" w:type="dxa"/>
            <w:vMerge w:val="continue"/>
            <w:vAlign w:val="center"/>
          </w:tcPr>
          <w:p w14:paraId="4CA0DBAE">
            <w:pPr>
              <w:adjustRightInd w:val="0"/>
              <w:snapToGrid w:val="0"/>
              <w:jc w:val="center"/>
              <w:rPr>
                <w:rFonts w:ascii="宋体" w:hAnsi="宋体" w:cs="宋体"/>
                <w:szCs w:val="21"/>
              </w:rPr>
            </w:pPr>
          </w:p>
        </w:tc>
        <w:tc>
          <w:tcPr>
            <w:tcW w:w="1729" w:type="dxa"/>
            <w:vMerge w:val="continue"/>
            <w:vAlign w:val="center"/>
          </w:tcPr>
          <w:p w14:paraId="5218900E">
            <w:pPr>
              <w:pStyle w:val="66"/>
            </w:pPr>
          </w:p>
        </w:tc>
        <w:tc>
          <w:tcPr>
            <w:tcW w:w="1729" w:type="dxa"/>
            <w:vAlign w:val="center"/>
          </w:tcPr>
          <w:p w14:paraId="135B4DDE">
            <w:pPr>
              <w:pStyle w:val="66"/>
            </w:pPr>
            <w:r>
              <w:rPr>
                <w:rFonts w:hint="eastAsia"/>
              </w:rPr>
              <w:t>颗粒物</w:t>
            </w:r>
          </w:p>
        </w:tc>
        <w:tc>
          <w:tcPr>
            <w:tcW w:w="1573" w:type="dxa"/>
            <w:vMerge w:val="continue"/>
            <w:vAlign w:val="center"/>
          </w:tcPr>
          <w:p w14:paraId="30C6FCE4">
            <w:pPr>
              <w:pStyle w:val="66"/>
            </w:pPr>
          </w:p>
        </w:tc>
        <w:tc>
          <w:tcPr>
            <w:tcW w:w="1887" w:type="dxa"/>
            <w:vAlign w:val="center"/>
          </w:tcPr>
          <w:p w14:paraId="5CE075F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广东省《大气污染物排放限值》（DB 44/27－2001）第二时段二级排放标准</w:t>
            </w:r>
          </w:p>
        </w:tc>
      </w:tr>
      <w:tr w14:paraId="2C51E9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08" w:type="dxa"/>
            <w:vMerge w:val="continue"/>
            <w:vAlign w:val="center"/>
          </w:tcPr>
          <w:p w14:paraId="5B04C5E5">
            <w:pPr>
              <w:adjustRightInd w:val="0"/>
              <w:snapToGrid w:val="0"/>
              <w:jc w:val="center"/>
              <w:rPr>
                <w:rFonts w:ascii="宋体" w:hAnsi="宋体" w:cs="宋体"/>
                <w:szCs w:val="21"/>
              </w:rPr>
            </w:pPr>
          </w:p>
        </w:tc>
        <w:tc>
          <w:tcPr>
            <w:tcW w:w="1729" w:type="dxa"/>
            <w:vMerge w:val="restart"/>
            <w:vAlign w:val="center"/>
          </w:tcPr>
          <w:p w14:paraId="6128CC23">
            <w:pPr>
              <w:pStyle w:val="66"/>
            </w:pPr>
            <w:r>
              <w:t>厂界</w:t>
            </w:r>
          </w:p>
        </w:tc>
        <w:tc>
          <w:tcPr>
            <w:tcW w:w="1729" w:type="dxa"/>
            <w:vAlign w:val="center"/>
          </w:tcPr>
          <w:p w14:paraId="752C54C5">
            <w:pPr>
              <w:pStyle w:val="66"/>
            </w:pPr>
            <w:r>
              <w:t>颗粒物</w:t>
            </w:r>
          </w:p>
        </w:tc>
        <w:tc>
          <w:tcPr>
            <w:tcW w:w="1573" w:type="dxa"/>
            <w:vMerge w:val="restart"/>
            <w:vAlign w:val="center"/>
          </w:tcPr>
          <w:p w14:paraId="40BD05A6">
            <w:pPr>
              <w:pStyle w:val="66"/>
            </w:pPr>
            <w:r>
              <w:rPr>
                <w:rFonts w:hint="eastAsia"/>
              </w:rPr>
              <w:t>加强废气收集</w:t>
            </w:r>
          </w:p>
        </w:tc>
        <w:tc>
          <w:tcPr>
            <w:tcW w:w="1887" w:type="dxa"/>
            <w:vMerge w:val="restart"/>
            <w:vAlign w:val="center"/>
          </w:tcPr>
          <w:p w14:paraId="2E8E835A">
            <w:pPr>
              <w:pStyle w:val="66"/>
            </w:pPr>
            <w:r>
              <w:rPr>
                <w:rFonts w:hint="eastAsia"/>
              </w:rPr>
              <w:t>广东省《大气污染物排放限值》（DB44/27-2001）第二时段无组织监控浓度限值</w:t>
            </w:r>
          </w:p>
        </w:tc>
      </w:tr>
      <w:tr w14:paraId="77C7FD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08" w:type="dxa"/>
            <w:vMerge w:val="continue"/>
            <w:vAlign w:val="center"/>
          </w:tcPr>
          <w:p w14:paraId="01BC7AA2">
            <w:pPr>
              <w:adjustRightInd w:val="0"/>
              <w:snapToGrid w:val="0"/>
              <w:jc w:val="center"/>
              <w:rPr>
                <w:rFonts w:ascii="宋体" w:hAnsi="宋体" w:cs="宋体"/>
                <w:szCs w:val="21"/>
              </w:rPr>
            </w:pPr>
          </w:p>
        </w:tc>
        <w:tc>
          <w:tcPr>
            <w:tcW w:w="1729" w:type="dxa"/>
            <w:vMerge w:val="continue"/>
            <w:vAlign w:val="center"/>
          </w:tcPr>
          <w:p w14:paraId="36B9576B">
            <w:pPr>
              <w:pStyle w:val="66"/>
            </w:pPr>
          </w:p>
        </w:tc>
        <w:tc>
          <w:tcPr>
            <w:tcW w:w="1729" w:type="dxa"/>
            <w:vAlign w:val="center"/>
          </w:tcPr>
          <w:p w14:paraId="7F5B7C8B">
            <w:pPr>
              <w:pStyle w:val="66"/>
            </w:pPr>
            <w:r>
              <w:rPr>
                <w:rFonts w:hint="eastAsia"/>
              </w:rPr>
              <w:t>N</w:t>
            </w:r>
            <w:r>
              <w:t>MHC</w:t>
            </w:r>
          </w:p>
        </w:tc>
        <w:tc>
          <w:tcPr>
            <w:tcW w:w="1573" w:type="dxa"/>
            <w:vMerge w:val="continue"/>
            <w:vAlign w:val="center"/>
          </w:tcPr>
          <w:p w14:paraId="73C5DBD3">
            <w:pPr>
              <w:pStyle w:val="66"/>
            </w:pPr>
          </w:p>
        </w:tc>
        <w:tc>
          <w:tcPr>
            <w:tcW w:w="1887" w:type="dxa"/>
            <w:vMerge w:val="continue"/>
            <w:vAlign w:val="center"/>
          </w:tcPr>
          <w:p w14:paraId="088F2D42">
            <w:pPr>
              <w:pStyle w:val="66"/>
            </w:pPr>
          </w:p>
        </w:tc>
      </w:tr>
      <w:tr w14:paraId="41FEB8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08" w:type="dxa"/>
            <w:vMerge w:val="continue"/>
            <w:vAlign w:val="center"/>
          </w:tcPr>
          <w:p w14:paraId="5B8972FF">
            <w:pPr>
              <w:adjustRightInd w:val="0"/>
              <w:snapToGrid w:val="0"/>
              <w:jc w:val="center"/>
              <w:rPr>
                <w:rFonts w:ascii="宋体" w:hAnsi="宋体" w:cs="宋体"/>
                <w:szCs w:val="21"/>
              </w:rPr>
            </w:pPr>
          </w:p>
        </w:tc>
        <w:tc>
          <w:tcPr>
            <w:tcW w:w="1729" w:type="dxa"/>
            <w:vMerge w:val="continue"/>
            <w:vAlign w:val="center"/>
          </w:tcPr>
          <w:p w14:paraId="430D8BC9">
            <w:pPr>
              <w:pStyle w:val="66"/>
            </w:pPr>
          </w:p>
        </w:tc>
        <w:tc>
          <w:tcPr>
            <w:tcW w:w="1729" w:type="dxa"/>
            <w:vAlign w:val="center"/>
          </w:tcPr>
          <w:p w14:paraId="79B86E1D">
            <w:pPr>
              <w:pStyle w:val="66"/>
            </w:pPr>
            <w:r>
              <w:rPr>
                <w:rFonts w:hint="eastAsia"/>
              </w:rPr>
              <w:t>甲苯</w:t>
            </w:r>
          </w:p>
        </w:tc>
        <w:tc>
          <w:tcPr>
            <w:tcW w:w="1573" w:type="dxa"/>
            <w:vMerge w:val="continue"/>
            <w:vAlign w:val="center"/>
          </w:tcPr>
          <w:p w14:paraId="33655568">
            <w:pPr>
              <w:pStyle w:val="66"/>
            </w:pPr>
          </w:p>
        </w:tc>
        <w:tc>
          <w:tcPr>
            <w:tcW w:w="1887" w:type="dxa"/>
            <w:vMerge w:val="continue"/>
            <w:vAlign w:val="center"/>
          </w:tcPr>
          <w:p w14:paraId="518A4ED2">
            <w:pPr>
              <w:pStyle w:val="66"/>
            </w:pPr>
          </w:p>
        </w:tc>
      </w:tr>
      <w:tr w14:paraId="29B3C2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08" w:type="dxa"/>
            <w:vMerge w:val="continue"/>
            <w:vAlign w:val="center"/>
          </w:tcPr>
          <w:p w14:paraId="5D7A194B">
            <w:pPr>
              <w:adjustRightInd w:val="0"/>
              <w:snapToGrid w:val="0"/>
              <w:jc w:val="center"/>
              <w:rPr>
                <w:rFonts w:ascii="宋体" w:hAnsi="宋体" w:cs="宋体"/>
                <w:szCs w:val="21"/>
              </w:rPr>
            </w:pPr>
          </w:p>
        </w:tc>
        <w:tc>
          <w:tcPr>
            <w:tcW w:w="1729" w:type="dxa"/>
            <w:vAlign w:val="center"/>
          </w:tcPr>
          <w:p w14:paraId="3029463D">
            <w:pPr>
              <w:pStyle w:val="66"/>
            </w:pPr>
            <w:r>
              <w:t>厂区内</w:t>
            </w:r>
          </w:p>
        </w:tc>
        <w:tc>
          <w:tcPr>
            <w:tcW w:w="1729" w:type="dxa"/>
            <w:vAlign w:val="center"/>
          </w:tcPr>
          <w:p w14:paraId="3A784C88">
            <w:pPr>
              <w:pStyle w:val="66"/>
            </w:pPr>
            <w:r>
              <w:rPr>
                <w:rFonts w:hint="eastAsia"/>
              </w:rPr>
              <w:t>N</w:t>
            </w:r>
            <w:r>
              <w:t>MHC</w:t>
            </w:r>
          </w:p>
        </w:tc>
        <w:tc>
          <w:tcPr>
            <w:tcW w:w="1573" w:type="dxa"/>
            <w:vMerge w:val="continue"/>
            <w:vAlign w:val="center"/>
          </w:tcPr>
          <w:p w14:paraId="341CC3FD">
            <w:pPr>
              <w:pStyle w:val="66"/>
            </w:pPr>
          </w:p>
        </w:tc>
        <w:tc>
          <w:tcPr>
            <w:tcW w:w="1887" w:type="dxa"/>
            <w:vAlign w:val="center"/>
          </w:tcPr>
          <w:p w14:paraId="4E979ECB">
            <w:pPr>
              <w:pStyle w:val="66"/>
            </w:pPr>
            <w:r>
              <w:rPr>
                <w:rFonts w:hint="eastAsia"/>
              </w:rPr>
              <w:t>广东省《固定污染源挥发性有机物综合排放标准》（DB44/2367-2022）表3限值</w:t>
            </w:r>
          </w:p>
        </w:tc>
      </w:tr>
      <w:tr w14:paraId="110839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08" w:type="dxa"/>
            <w:vMerge w:val="restart"/>
            <w:vAlign w:val="center"/>
          </w:tcPr>
          <w:p w14:paraId="703723B8">
            <w:pPr>
              <w:adjustRightInd w:val="0"/>
              <w:snapToGrid w:val="0"/>
              <w:jc w:val="center"/>
              <w:rPr>
                <w:rFonts w:ascii="宋体" w:hAnsi="宋体" w:cs="宋体"/>
                <w:szCs w:val="21"/>
              </w:rPr>
            </w:pPr>
            <w:r>
              <w:rPr>
                <w:rFonts w:hint="eastAsia" w:ascii="宋体" w:hAnsi="宋体" w:cs="宋体"/>
                <w:szCs w:val="21"/>
              </w:rPr>
              <w:t>地表水环境</w:t>
            </w:r>
          </w:p>
        </w:tc>
        <w:tc>
          <w:tcPr>
            <w:tcW w:w="1729" w:type="dxa"/>
            <w:vAlign w:val="center"/>
          </w:tcPr>
          <w:p w14:paraId="0E622C4E">
            <w:pPr>
              <w:pStyle w:val="66"/>
            </w:pPr>
            <w:r>
              <w:rPr>
                <w:rFonts w:hint="eastAsia"/>
              </w:rPr>
              <w:t>生活污水</w:t>
            </w:r>
          </w:p>
        </w:tc>
        <w:tc>
          <w:tcPr>
            <w:tcW w:w="1729" w:type="dxa"/>
            <w:vAlign w:val="center"/>
          </w:tcPr>
          <w:p w14:paraId="674A5385">
            <w:pPr>
              <w:pStyle w:val="66"/>
            </w:pPr>
            <w:r>
              <w:rPr>
                <w:rFonts w:hint="eastAsia"/>
              </w:rPr>
              <w:t>COD</w:t>
            </w:r>
            <w:r>
              <w:rPr>
                <w:rFonts w:hint="eastAsia"/>
                <w:vertAlign w:val="subscript"/>
              </w:rPr>
              <w:t>Cr</w:t>
            </w:r>
            <w:r>
              <w:rPr>
                <w:rFonts w:hint="eastAsia"/>
              </w:rPr>
              <w:t>、BOD</w:t>
            </w:r>
            <w:r>
              <w:rPr>
                <w:rFonts w:hint="eastAsia"/>
                <w:vertAlign w:val="subscript"/>
              </w:rPr>
              <w:t>5</w:t>
            </w:r>
            <w:r>
              <w:rPr>
                <w:rFonts w:hint="eastAsia"/>
              </w:rPr>
              <w:t>、SS、NH</w:t>
            </w:r>
            <w:r>
              <w:rPr>
                <w:rFonts w:hint="eastAsia"/>
                <w:vertAlign w:val="subscript"/>
              </w:rPr>
              <w:t>3</w:t>
            </w:r>
            <w:r>
              <w:rPr>
                <w:rFonts w:hint="eastAsia"/>
              </w:rPr>
              <w:t>-N、T</w:t>
            </w:r>
            <w:r>
              <w:t>P</w:t>
            </w:r>
          </w:p>
        </w:tc>
        <w:tc>
          <w:tcPr>
            <w:tcW w:w="1573" w:type="dxa"/>
            <w:vAlign w:val="center"/>
          </w:tcPr>
          <w:p w14:paraId="29731572">
            <w:pPr>
              <w:pStyle w:val="66"/>
            </w:pPr>
            <w:r>
              <w:rPr>
                <w:rFonts w:hint="eastAsia"/>
              </w:rPr>
              <w:t>生活污水经三级化粪池预处理后经市政污水管网排入园区污水处理厂</w:t>
            </w:r>
          </w:p>
        </w:tc>
        <w:tc>
          <w:tcPr>
            <w:tcW w:w="1887" w:type="dxa"/>
            <w:vMerge w:val="restart"/>
            <w:vAlign w:val="center"/>
          </w:tcPr>
          <w:p w14:paraId="3F0A811E">
            <w:pPr>
              <w:pStyle w:val="66"/>
            </w:pPr>
            <w:r>
              <w:rPr>
                <w:rFonts w:hint="eastAsia"/>
              </w:rPr>
              <w:t>园区污水处理厂进水水质要求</w:t>
            </w:r>
          </w:p>
        </w:tc>
      </w:tr>
      <w:tr w14:paraId="06B76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08" w:type="dxa"/>
            <w:vMerge w:val="continue"/>
            <w:vAlign w:val="center"/>
          </w:tcPr>
          <w:p w14:paraId="606B3E85">
            <w:pPr>
              <w:adjustRightInd w:val="0"/>
              <w:snapToGrid w:val="0"/>
              <w:jc w:val="center"/>
              <w:rPr>
                <w:rFonts w:ascii="宋体" w:hAnsi="宋体" w:cs="宋体"/>
                <w:szCs w:val="21"/>
              </w:rPr>
            </w:pPr>
          </w:p>
        </w:tc>
        <w:tc>
          <w:tcPr>
            <w:tcW w:w="1729" w:type="dxa"/>
            <w:vAlign w:val="center"/>
          </w:tcPr>
          <w:p w14:paraId="0D4A6E27">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间接冷却水更换水</w:t>
            </w:r>
          </w:p>
        </w:tc>
        <w:tc>
          <w:tcPr>
            <w:tcW w:w="1729" w:type="dxa"/>
            <w:vAlign w:val="center"/>
          </w:tcPr>
          <w:p w14:paraId="7B708EF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573" w:type="dxa"/>
            <w:vAlign w:val="center"/>
          </w:tcPr>
          <w:p w14:paraId="282A119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间接冷却水汇同经三级化粪池预处理后的生活污水经市政污水管网排入园区污水处理厂</w:t>
            </w:r>
          </w:p>
        </w:tc>
        <w:tc>
          <w:tcPr>
            <w:tcW w:w="1887" w:type="dxa"/>
            <w:vMerge w:val="continue"/>
            <w:vAlign w:val="center"/>
          </w:tcPr>
          <w:p w14:paraId="70F1C8F6">
            <w:pPr>
              <w:pStyle w:val="66"/>
              <w:rPr>
                <w:color w:val="FF0000"/>
              </w:rPr>
            </w:pPr>
          </w:p>
        </w:tc>
      </w:tr>
      <w:tr w14:paraId="17739F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08" w:type="dxa"/>
            <w:vAlign w:val="center"/>
          </w:tcPr>
          <w:p w14:paraId="038F3F00">
            <w:pPr>
              <w:adjustRightInd w:val="0"/>
              <w:snapToGrid w:val="0"/>
              <w:jc w:val="center"/>
              <w:rPr>
                <w:rFonts w:ascii="宋体" w:hAnsi="宋体" w:cs="宋体"/>
                <w:szCs w:val="21"/>
              </w:rPr>
            </w:pPr>
            <w:r>
              <w:rPr>
                <w:rFonts w:hint="eastAsia" w:ascii="宋体" w:hAnsi="宋体" w:cs="宋体"/>
                <w:szCs w:val="21"/>
              </w:rPr>
              <w:t>声环境</w:t>
            </w:r>
          </w:p>
        </w:tc>
        <w:tc>
          <w:tcPr>
            <w:tcW w:w="1729" w:type="dxa"/>
            <w:vAlign w:val="center"/>
          </w:tcPr>
          <w:p w14:paraId="29708BEA">
            <w:pPr>
              <w:pStyle w:val="66"/>
            </w:pPr>
            <w:r>
              <w:rPr>
                <w:rFonts w:hint="eastAsia"/>
              </w:rPr>
              <w:t>数控</w:t>
            </w:r>
            <w:r>
              <w:t>车床、普通车床、抛丸机</w:t>
            </w:r>
            <w:r>
              <w:rPr>
                <w:rFonts w:hint="eastAsia"/>
              </w:rPr>
              <w:t>、刷胶机</w:t>
            </w:r>
            <w:r>
              <w:t>、浇注机</w:t>
            </w:r>
          </w:p>
        </w:tc>
        <w:tc>
          <w:tcPr>
            <w:tcW w:w="1729" w:type="dxa"/>
            <w:vAlign w:val="center"/>
          </w:tcPr>
          <w:p w14:paraId="5DB44A3A">
            <w:pPr>
              <w:pStyle w:val="66"/>
            </w:pPr>
            <w:r>
              <w:t>dB(A)</w:t>
            </w:r>
          </w:p>
        </w:tc>
        <w:tc>
          <w:tcPr>
            <w:tcW w:w="1573" w:type="dxa"/>
            <w:vAlign w:val="center"/>
          </w:tcPr>
          <w:p w14:paraId="68907214">
            <w:pPr>
              <w:pStyle w:val="66"/>
            </w:pPr>
            <w:r>
              <w:t>隔声、减振</w:t>
            </w:r>
          </w:p>
        </w:tc>
        <w:tc>
          <w:tcPr>
            <w:tcW w:w="1887" w:type="dxa"/>
            <w:vAlign w:val="center"/>
          </w:tcPr>
          <w:p w14:paraId="08754F66">
            <w:pPr>
              <w:pStyle w:val="66"/>
            </w:pPr>
            <w:r>
              <w:t>《工业企业厂界环境噪声排放标准》</w:t>
            </w:r>
            <w:r>
              <w:rPr>
                <w:rFonts w:hint="eastAsia"/>
                <w:lang w:eastAsia="zh-CN"/>
              </w:rPr>
              <w:t>（</w:t>
            </w:r>
            <w:r>
              <w:t>GB12348-2008</w:t>
            </w:r>
            <w:r>
              <w:rPr>
                <w:rFonts w:hint="eastAsia"/>
                <w:lang w:eastAsia="zh-CN"/>
              </w:rPr>
              <w:t>）</w:t>
            </w:r>
            <w:r>
              <w:t>3类标准</w:t>
            </w:r>
          </w:p>
        </w:tc>
      </w:tr>
      <w:tr w14:paraId="6DF9ED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08" w:type="dxa"/>
            <w:vAlign w:val="center"/>
          </w:tcPr>
          <w:p w14:paraId="49B20224">
            <w:pPr>
              <w:adjustRightInd w:val="0"/>
              <w:snapToGrid w:val="0"/>
              <w:jc w:val="center"/>
              <w:rPr>
                <w:rFonts w:ascii="宋体" w:hAnsi="宋体" w:cs="宋体"/>
                <w:szCs w:val="21"/>
              </w:rPr>
            </w:pPr>
            <w:r>
              <w:rPr>
                <w:rFonts w:hint="eastAsia" w:ascii="宋体" w:hAnsi="宋体" w:cs="宋体"/>
                <w:szCs w:val="21"/>
              </w:rPr>
              <w:t>电磁辐射</w:t>
            </w:r>
          </w:p>
        </w:tc>
        <w:tc>
          <w:tcPr>
            <w:tcW w:w="6918" w:type="dxa"/>
            <w:gridSpan w:val="4"/>
            <w:vAlign w:val="center"/>
          </w:tcPr>
          <w:p w14:paraId="4D090461">
            <w:pPr>
              <w:pStyle w:val="66"/>
            </w:pPr>
            <w:r>
              <w:rPr>
                <w:rFonts w:hint="eastAsia" w:ascii="宋体" w:hAnsi="宋体" w:cs="宋体"/>
              </w:rPr>
              <w:t>无</w:t>
            </w:r>
          </w:p>
        </w:tc>
      </w:tr>
      <w:tr w14:paraId="31D48A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08" w:type="dxa"/>
            <w:vAlign w:val="center"/>
          </w:tcPr>
          <w:p w14:paraId="280FC5A9">
            <w:pPr>
              <w:adjustRightInd w:val="0"/>
              <w:snapToGrid w:val="0"/>
              <w:jc w:val="center"/>
              <w:rPr>
                <w:rFonts w:ascii="宋体" w:hAnsi="宋体" w:cs="宋体"/>
                <w:szCs w:val="21"/>
              </w:rPr>
            </w:pPr>
            <w:r>
              <w:rPr>
                <w:rFonts w:hint="eastAsia" w:ascii="宋体" w:hAnsi="宋体" w:cs="宋体"/>
                <w:szCs w:val="21"/>
              </w:rPr>
              <w:t>固体废物</w:t>
            </w:r>
          </w:p>
        </w:tc>
        <w:tc>
          <w:tcPr>
            <w:tcW w:w="6918" w:type="dxa"/>
            <w:gridSpan w:val="4"/>
            <w:vAlign w:val="center"/>
          </w:tcPr>
          <w:p w14:paraId="001E9F5E">
            <w:pPr>
              <w:pStyle w:val="66"/>
            </w:pPr>
            <w:r>
              <w:rPr>
                <w:rFonts w:hint="eastAsia"/>
                <w:color w:val="000000" w:themeColor="text1"/>
                <w14:textFill>
                  <w14:solidFill>
                    <w14:schemeClr w14:val="tx1"/>
                  </w14:solidFill>
                </w14:textFill>
              </w:rPr>
              <w:t>生活垃圾交环卫部门清运，抛丸</w:t>
            </w:r>
            <w:r>
              <w:rPr>
                <w:color w:val="000000" w:themeColor="text1"/>
                <w14:textFill>
                  <w14:solidFill>
                    <w14:schemeClr w14:val="tx1"/>
                  </w14:solidFill>
                </w14:textFill>
              </w:rPr>
              <w:t>清理机收集的粉尘、废钢丸、废</w:t>
            </w:r>
            <w:r>
              <w:rPr>
                <w:rFonts w:hint="eastAsia"/>
                <w:color w:val="000000" w:themeColor="text1"/>
                <w14:textFill>
                  <w14:solidFill>
                    <w14:schemeClr w14:val="tx1"/>
                  </w14:solidFill>
                </w14:textFill>
              </w:rPr>
              <w:t>树脂</w:t>
            </w:r>
            <w:r>
              <w:rPr>
                <w:color w:val="000000" w:themeColor="text1"/>
                <w14:textFill>
                  <w14:solidFill>
                    <w14:schemeClr w14:val="tx1"/>
                  </w14:solidFill>
                </w14:textFill>
              </w:rPr>
              <w:t>、废布袋、一般废包装材料</w:t>
            </w:r>
            <w:r>
              <w:rPr>
                <w:rFonts w:hint="eastAsia"/>
                <w:color w:val="000000" w:themeColor="text1"/>
                <w14:textFill>
                  <w14:solidFill>
                    <w14:schemeClr w14:val="tx1"/>
                  </w14:solidFill>
                </w14:textFill>
              </w:rPr>
              <w:t>等交资源单位回收利用，废机油、危险废包装材料、废含油抹布及手套、废切削液、废切削液包装桶、废金属边角料、废催化剂、含漆抹布及手套、废干式过滤棉</w:t>
            </w:r>
            <w:r>
              <w:rPr>
                <w:rFonts w:hint="eastAsia"/>
                <w:color w:val="000000" w:themeColor="text1"/>
                <w:lang w:val="en-US" w:eastAsia="zh-CN"/>
                <w14:textFill>
                  <w14:solidFill>
                    <w14:schemeClr w14:val="tx1"/>
                  </w14:solidFill>
                </w14:textFill>
              </w:rPr>
              <w:t>及漆渣</w:t>
            </w:r>
            <w:r>
              <w:rPr>
                <w:rFonts w:hint="eastAsia"/>
                <w:color w:val="000000" w:themeColor="text1"/>
                <w14:textFill>
                  <w14:solidFill>
                    <w14:schemeClr w14:val="tx1"/>
                  </w14:solidFill>
                </w14:textFill>
              </w:rPr>
              <w:t>、清洗废液</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喷淋废液及沉渣、废活性炭</w:t>
            </w:r>
            <w:r>
              <w:rPr>
                <w:rFonts w:hint="eastAsia"/>
                <w:color w:val="000000" w:themeColor="text1"/>
                <w14:textFill>
                  <w14:solidFill>
                    <w14:schemeClr w14:val="tx1"/>
                  </w14:solidFill>
                </w14:textFill>
              </w:rPr>
              <w:t>等危险废物交由具有危废处置资质的单位处置。</w:t>
            </w:r>
          </w:p>
        </w:tc>
      </w:tr>
      <w:tr w14:paraId="4689E0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08" w:type="dxa"/>
            <w:vAlign w:val="center"/>
          </w:tcPr>
          <w:p w14:paraId="41DBCB08">
            <w:pPr>
              <w:adjustRightInd w:val="0"/>
              <w:snapToGrid w:val="0"/>
              <w:jc w:val="center"/>
              <w:rPr>
                <w:rFonts w:ascii="宋体" w:hAnsi="宋体" w:cs="宋体"/>
                <w:szCs w:val="21"/>
              </w:rPr>
            </w:pPr>
            <w:r>
              <w:rPr>
                <w:rFonts w:hint="eastAsia" w:ascii="宋体" w:hAnsi="宋体" w:cs="宋体"/>
                <w:szCs w:val="21"/>
              </w:rPr>
              <w:t>土壤及地下水</w:t>
            </w:r>
          </w:p>
          <w:p w14:paraId="2808CD9F">
            <w:pPr>
              <w:adjustRightInd w:val="0"/>
              <w:snapToGrid w:val="0"/>
              <w:jc w:val="center"/>
              <w:rPr>
                <w:rFonts w:ascii="宋体" w:hAnsi="宋体" w:cs="宋体"/>
                <w:szCs w:val="21"/>
              </w:rPr>
            </w:pPr>
            <w:r>
              <w:rPr>
                <w:rFonts w:hint="eastAsia" w:ascii="宋体" w:hAnsi="宋体" w:cs="宋体"/>
                <w:szCs w:val="21"/>
              </w:rPr>
              <w:t>污染防治措施</w:t>
            </w:r>
          </w:p>
        </w:tc>
        <w:tc>
          <w:tcPr>
            <w:tcW w:w="6918" w:type="dxa"/>
            <w:gridSpan w:val="4"/>
            <w:vAlign w:val="center"/>
          </w:tcPr>
          <w:p w14:paraId="74C50CD3">
            <w:pPr>
              <w:adjustRightInd w:val="0"/>
              <w:snapToGrid w:val="0"/>
              <w:jc w:val="center"/>
              <w:rPr>
                <w:rFonts w:ascii="宋体" w:hAnsi="宋体" w:cs="宋体"/>
                <w:szCs w:val="21"/>
              </w:rPr>
            </w:pPr>
            <w:r>
              <w:rPr>
                <w:rFonts w:hint="eastAsia" w:ascii="宋体" w:hAnsi="宋体" w:cs="宋体"/>
                <w:szCs w:val="21"/>
              </w:rPr>
              <w:t>无</w:t>
            </w:r>
          </w:p>
        </w:tc>
      </w:tr>
      <w:tr w14:paraId="4C7C35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08" w:type="dxa"/>
            <w:vAlign w:val="center"/>
          </w:tcPr>
          <w:p w14:paraId="3267438D">
            <w:pPr>
              <w:adjustRightInd w:val="0"/>
              <w:snapToGrid w:val="0"/>
              <w:jc w:val="center"/>
              <w:rPr>
                <w:rFonts w:ascii="宋体" w:hAnsi="宋体" w:cs="宋体"/>
                <w:szCs w:val="21"/>
              </w:rPr>
            </w:pPr>
            <w:r>
              <w:rPr>
                <w:rFonts w:hint="eastAsia" w:ascii="宋体" w:hAnsi="宋体" w:cs="宋体"/>
                <w:szCs w:val="21"/>
              </w:rPr>
              <w:t>生态保护措施</w:t>
            </w:r>
          </w:p>
        </w:tc>
        <w:tc>
          <w:tcPr>
            <w:tcW w:w="6918" w:type="dxa"/>
            <w:gridSpan w:val="4"/>
            <w:vAlign w:val="center"/>
          </w:tcPr>
          <w:p w14:paraId="3E974699">
            <w:pPr>
              <w:adjustRightInd w:val="0"/>
              <w:snapToGrid w:val="0"/>
              <w:jc w:val="center"/>
              <w:rPr>
                <w:rFonts w:ascii="宋体" w:hAnsi="宋体" w:cs="宋体"/>
                <w:szCs w:val="21"/>
              </w:rPr>
            </w:pPr>
            <w:r>
              <w:rPr>
                <w:rFonts w:hint="eastAsia" w:ascii="宋体" w:hAnsi="宋体" w:cs="宋体"/>
                <w:szCs w:val="21"/>
              </w:rPr>
              <w:t>无</w:t>
            </w:r>
          </w:p>
        </w:tc>
      </w:tr>
      <w:tr w14:paraId="6A515F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08" w:type="dxa"/>
            <w:vAlign w:val="center"/>
          </w:tcPr>
          <w:p w14:paraId="5414822A">
            <w:pPr>
              <w:adjustRightInd w:val="0"/>
              <w:snapToGrid w:val="0"/>
              <w:jc w:val="center"/>
              <w:rPr>
                <w:rFonts w:ascii="宋体" w:hAnsi="宋体" w:cs="宋体"/>
                <w:spacing w:val="-8"/>
                <w:szCs w:val="21"/>
              </w:rPr>
            </w:pPr>
            <w:r>
              <w:rPr>
                <w:rFonts w:hint="eastAsia" w:ascii="宋体" w:hAnsi="宋体" w:cs="宋体"/>
                <w:spacing w:val="-8"/>
                <w:szCs w:val="21"/>
              </w:rPr>
              <w:t>环境风险</w:t>
            </w:r>
          </w:p>
          <w:p w14:paraId="31D266E4">
            <w:pPr>
              <w:adjustRightInd w:val="0"/>
              <w:snapToGrid w:val="0"/>
              <w:jc w:val="center"/>
              <w:rPr>
                <w:rFonts w:ascii="宋体" w:hAnsi="宋体" w:cs="宋体"/>
                <w:spacing w:val="-8"/>
                <w:szCs w:val="21"/>
              </w:rPr>
            </w:pPr>
            <w:r>
              <w:rPr>
                <w:rFonts w:hint="eastAsia" w:ascii="宋体" w:hAnsi="宋体" w:cs="宋体"/>
                <w:spacing w:val="-8"/>
                <w:szCs w:val="21"/>
              </w:rPr>
              <w:t>防范措施</w:t>
            </w:r>
          </w:p>
        </w:tc>
        <w:tc>
          <w:tcPr>
            <w:tcW w:w="6918" w:type="dxa"/>
            <w:gridSpan w:val="4"/>
            <w:vAlign w:val="center"/>
          </w:tcPr>
          <w:p w14:paraId="6FC2064D">
            <w:pPr>
              <w:pStyle w:val="66"/>
              <w:jc w:val="both"/>
            </w:pPr>
            <w:r>
              <w:rPr>
                <w:rFonts w:hint="eastAsia"/>
              </w:rPr>
              <w:t>①加强废气治理设施的日常维修保养；当废气治理设施出现故障时，应立即停止作业，待废气治理设施正常运行时，方可重新进行作业。</w:t>
            </w:r>
          </w:p>
          <w:p w14:paraId="0178B123">
            <w:pPr>
              <w:pStyle w:val="66"/>
              <w:jc w:val="both"/>
            </w:pPr>
            <w:r>
              <w:rPr>
                <w:rFonts w:hint="eastAsia"/>
              </w:rPr>
              <w:t>②危废暂存间应设置围堰，地面作防渗漏防腐处理，以防危险废物泄漏至外环境。</w:t>
            </w:r>
          </w:p>
          <w:p w14:paraId="15931BA0">
            <w:pPr>
              <w:pStyle w:val="66"/>
              <w:jc w:val="both"/>
            </w:pPr>
            <w:r>
              <w:rPr>
                <w:rFonts w:hint="eastAsia"/>
              </w:rPr>
              <w:t>③在车间和原料暂存区的明显位置张贴禁用明火的告示，并在进出口设置漫坡，或者在各出入口旁放置防渗沙包、围挡设施或临时围堰板等，当发生火灾事故时，可将泄漏液体或消防废水拦截在厂房内，防止事故消防废水大面积扩散至厂外。</w:t>
            </w:r>
          </w:p>
          <w:p w14:paraId="208AF6F0">
            <w:pPr>
              <w:pStyle w:val="66"/>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④危废暂存区根据危险废弃物的种类设置相应的收集桶分类存放，门口设置台账作为出入库记录，专人管理，定期检查防渗层和收集桶的情况。</w:t>
            </w:r>
          </w:p>
          <w:p w14:paraId="0E303441">
            <w:pPr>
              <w:pStyle w:val="66"/>
              <w:jc w:val="both"/>
            </w:pPr>
            <w:r>
              <w:rPr>
                <w:rFonts w:hint="eastAsia"/>
                <w:color w:val="000000" w:themeColor="text1"/>
                <w14:textFill>
                  <w14:solidFill>
                    <w14:schemeClr w14:val="tx1"/>
                  </w14:solidFill>
                </w14:textFill>
              </w:rPr>
              <w:t>⑤原辅材料选用耐腐、密封良好的容器储存，仓库设置专门的存储区域，远离火源、热源，专人管理，定期检查存储设备密封性。</w:t>
            </w:r>
          </w:p>
        </w:tc>
      </w:tr>
      <w:tr w14:paraId="79CF95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08" w:type="dxa"/>
            <w:vAlign w:val="center"/>
          </w:tcPr>
          <w:p w14:paraId="4EC3FED0">
            <w:pPr>
              <w:adjustRightInd w:val="0"/>
              <w:snapToGrid w:val="0"/>
              <w:jc w:val="center"/>
              <w:rPr>
                <w:rFonts w:ascii="宋体" w:hAnsi="宋体" w:cs="宋体"/>
                <w:spacing w:val="-8"/>
                <w:szCs w:val="21"/>
              </w:rPr>
            </w:pPr>
            <w:r>
              <w:rPr>
                <w:rFonts w:hint="eastAsia" w:ascii="宋体" w:hAnsi="宋体" w:cs="宋体"/>
                <w:spacing w:val="-8"/>
                <w:szCs w:val="21"/>
              </w:rPr>
              <w:t>其他环境</w:t>
            </w:r>
          </w:p>
          <w:p w14:paraId="50133E23">
            <w:pPr>
              <w:adjustRightInd w:val="0"/>
              <w:snapToGrid w:val="0"/>
              <w:jc w:val="center"/>
              <w:rPr>
                <w:rFonts w:ascii="宋体" w:hAnsi="宋体" w:cs="宋体"/>
                <w:spacing w:val="-8"/>
                <w:szCs w:val="21"/>
              </w:rPr>
            </w:pPr>
            <w:r>
              <w:rPr>
                <w:rFonts w:hint="eastAsia" w:ascii="宋体" w:hAnsi="宋体" w:cs="宋体"/>
                <w:spacing w:val="-8"/>
                <w:szCs w:val="21"/>
              </w:rPr>
              <w:t>管理要求</w:t>
            </w:r>
          </w:p>
        </w:tc>
        <w:tc>
          <w:tcPr>
            <w:tcW w:w="6918" w:type="dxa"/>
            <w:gridSpan w:val="4"/>
            <w:vAlign w:val="center"/>
          </w:tcPr>
          <w:p w14:paraId="0D43B6FC">
            <w:pPr>
              <w:adjustRightInd w:val="0"/>
              <w:snapToGrid w:val="0"/>
              <w:jc w:val="center"/>
              <w:rPr>
                <w:rFonts w:ascii="宋体" w:hAnsi="宋体" w:cs="宋体"/>
                <w:szCs w:val="21"/>
              </w:rPr>
            </w:pPr>
            <w:r>
              <w:rPr>
                <w:rFonts w:hint="eastAsia" w:ascii="宋体" w:hAnsi="宋体" w:cs="宋体"/>
                <w:szCs w:val="21"/>
              </w:rPr>
              <w:t>无</w:t>
            </w:r>
          </w:p>
        </w:tc>
      </w:tr>
    </w:tbl>
    <w:p w14:paraId="44DECDD2">
      <w:pPr>
        <w:pStyle w:val="39"/>
        <w:spacing w:before="100" w:after="100"/>
        <w:outlineLvl w:val="0"/>
        <w:rPr>
          <w:rFonts w:hint="default" w:ascii="黑体" w:hAnsi="黑体" w:eastAsia="黑体"/>
          <w:snapToGrid w:val="0"/>
          <w:sz w:val="32"/>
          <w:szCs w:val="32"/>
        </w:rPr>
        <w:sectPr>
          <w:pgSz w:w="12240" w:h="15840"/>
          <w:pgMar w:top="1440" w:right="1797" w:bottom="1440" w:left="1797" w:header="720" w:footer="720" w:gutter="0"/>
          <w:cols w:space="425" w:num="1"/>
          <w:docGrid w:linePitch="312" w:charSpace="0"/>
        </w:sectPr>
      </w:pPr>
    </w:p>
    <w:p w14:paraId="1FBFEBA7">
      <w:pPr>
        <w:pStyle w:val="39"/>
        <w:spacing w:before="100" w:after="100"/>
        <w:ind w:left="-239" w:firstLine="730"/>
        <w:jc w:val="center"/>
        <w:outlineLvl w:val="0"/>
        <w:rPr>
          <w:rFonts w:hint="default" w:ascii="黑体" w:hAnsi="黑体" w:eastAsia="黑体"/>
          <w:snapToGrid w:val="0"/>
          <w:sz w:val="30"/>
          <w:szCs w:val="30"/>
        </w:rPr>
      </w:pPr>
      <w:bookmarkStart w:id="18" w:name="_Toc17118"/>
      <w:r>
        <w:rPr>
          <w:rFonts w:hint="default" w:ascii="黑体" w:hAnsi="黑体" w:eastAsia="黑体"/>
          <w:snapToGrid w:val="0"/>
          <w:sz w:val="32"/>
          <w:szCs w:val="32"/>
        </w:rPr>
        <w:t>六、结论</w:t>
      </w:r>
      <w:bookmarkEnd w:id="18"/>
    </w:p>
    <w:tbl>
      <w:tblPr>
        <w:tblStyle w:val="4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26"/>
      </w:tblGrid>
      <w:tr w14:paraId="0623E0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52" w:hRule="atLeast"/>
          <w:jc w:val="center"/>
        </w:trPr>
        <w:tc>
          <w:tcPr>
            <w:tcW w:w="9771" w:type="dxa"/>
            <w:vAlign w:val="center"/>
          </w:tcPr>
          <w:p w14:paraId="20C023A3">
            <w:pPr>
              <w:spacing w:line="360" w:lineRule="auto"/>
              <w:ind w:firstLine="480" w:firstLineChars="200"/>
              <w:jc w:val="left"/>
              <w:rPr>
                <w:rFonts w:ascii="宋体" w:cs="宋体"/>
                <w:sz w:val="24"/>
              </w:rPr>
            </w:pPr>
            <w:r>
              <w:rPr>
                <w:rFonts w:hint="eastAsia" w:ascii="宋体" w:cs="宋体"/>
                <w:sz w:val="24"/>
              </w:rPr>
              <w:t>综上所述，本项目选址位置合理，符合产业政策有关要求。通过严格执行环保“三同时”制度，如项目在建设和运行期间能够按照本报告的要求落实各项污染控制措施，所产生的污染物能达标排放，则该项目建成及投入运行后对周围环境影响不大，从环境保护角度分析，该项目是可行的。</w:t>
            </w:r>
          </w:p>
        </w:tc>
      </w:tr>
    </w:tbl>
    <w:p w14:paraId="2955849F">
      <w:pPr>
        <w:pStyle w:val="39"/>
        <w:spacing w:before="100" w:after="100"/>
        <w:outlineLvl w:val="0"/>
        <w:rPr>
          <w:rFonts w:hint="default"/>
          <w:b/>
        </w:rPr>
      </w:pPr>
      <w:r>
        <w:rPr>
          <w:rFonts w:hint="default"/>
          <w:b/>
        </w:rPr>
        <w:br w:type="page"/>
      </w:r>
    </w:p>
    <w:p w14:paraId="50CD7DB6">
      <w:pPr>
        <w:pStyle w:val="39"/>
        <w:spacing w:before="100" w:after="100"/>
        <w:outlineLvl w:val="0"/>
        <w:rPr>
          <w:rFonts w:hint="default" w:ascii="黑体" w:hAnsi="黑体" w:eastAsia="黑体"/>
          <w:b/>
          <w:sz w:val="32"/>
          <w:szCs w:val="32"/>
        </w:rPr>
        <w:sectPr>
          <w:pgSz w:w="12240" w:h="15840"/>
          <w:pgMar w:top="1440" w:right="1797" w:bottom="1440" w:left="1797" w:header="720" w:footer="720" w:gutter="0"/>
          <w:cols w:space="425" w:num="1"/>
          <w:docGrid w:linePitch="312" w:charSpace="0"/>
        </w:sectPr>
      </w:pPr>
    </w:p>
    <w:p w14:paraId="765C8090">
      <w:pPr>
        <w:pStyle w:val="39"/>
        <w:spacing w:before="100" w:after="100"/>
        <w:outlineLvl w:val="0"/>
        <w:rPr>
          <w:rFonts w:hint="default" w:ascii="黑体" w:hAnsi="黑体" w:eastAsia="黑体"/>
          <w:b/>
          <w:sz w:val="32"/>
          <w:szCs w:val="32"/>
        </w:rPr>
      </w:pPr>
      <w:bookmarkStart w:id="19" w:name="_Toc30854"/>
      <w:r>
        <w:rPr>
          <w:rFonts w:hint="default" w:ascii="黑体" w:hAnsi="黑体" w:eastAsia="黑体"/>
          <w:b/>
          <w:sz w:val="32"/>
          <w:szCs w:val="32"/>
        </w:rPr>
        <w:t>附表</w:t>
      </w:r>
      <w:bookmarkEnd w:id="19"/>
    </w:p>
    <w:p w14:paraId="55BCFF29">
      <w:pPr>
        <w:pStyle w:val="39"/>
        <w:tabs>
          <w:tab w:val="center" w:pos="6480"/>
        </w:tabs>
        <w:spacing w:before="100" w:after="100"/>
        <w:jc w:val="both"/>
        <w:outlineLvl w:val="0"/>
        <w:rPr>
          <w:rFonts w:hint="default" w:ascii="方正小标宋_GBK" w:hAnsi="黑体" w:eastAsia="方正小标宋_GBK"/>
          <w:snapToGrid w:val="0"/>
          <w:sz w:val="38"/>
          <w:szCs w:val="38"/>
        </w:rPr>
      </w:pPr>
      <w:r>
        <w:rPr>
          <w:rFonts w:hint="default" w:ascii="方正小标宋_GBK" w:hAnsi="黑体" w:eastAsia="方正小标宋_GBK"/>
          <w:snapToGrid w:val="0"/>
          <w:sz w:val="38"/>
          <w:szCs w:val="38"/>
        </w:rPr>
        <w:tab/>
      </w:r>
      <w:bookmarkStart w:id="20" w:name="_Toc4371"/>
      <w:r>
        <w:rPr>
          <w:rFonts w:hint="default" w:ascii="方正小标宋_GBK" w:hAnsi="黑体" w:eastAsia="方正小标宋_GBK"/>
          <w:snapToGrid w:val="0"/>
          <w:sz w:val="38"/>
          <w:szCs w:val="38"/>
        </w:rPr>
        <w:t>建设项目污染物排放量汇总表</w:t>
      </w:r>
      <w:bookmarkEnd w:id="20"/>
    </w:p>
    <w:tbl>
      <w:tblPr>
        <w:tblStyle w:val="4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1299"/>
        <w:gridCol w:w="1748"/>
        <w:gridCol w:w="1177"/>
        <w:gridCol w:w="1543"/>
        <w:gridCol w:w="1420"/>
        <w:gridCol w:w="1596"/>
        <w:gridCol w:w="1766"/>
        <w:gridCol w:w="943"/>
      </w:tblGrid>
      <w:tr w14:paraId="4610E8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tcBorders>
              <w:tl2br w:val="single" w:color="auto" w:sz="4" w:space="0"/>
            </w:tcBorders>
            <w:tcMar>
              <w:left w:w="28" w:type="dxa"/>
              <w:right w:w="28" w:type="dxa"/>
            </w:tcMar>
            <w:vAlign w:val="center"/>
          </w:tcPr>
          <w:p w14:paraId="15FC6270">
            <w:pPr>
              <w:pStyle w:val="126"/>
              <w:spacing w:beforeLines="0" w:afterLines="0" w:line="240" w:lineRule="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项目</w:t>
            </w:r>
          </w:p>
          <w:p w14:paraId="0E59114C">
            <w:pPr>
              <w:pStyle w:val="126"/>
              <w:spacing w:beforeLines="0" w:afterLines="0" w:line="240" w:lineRule="auto"/>
              <w:rPr>
                <w:rFonts w:hint="default" w:ascii="黑体" w:hAnsi="黑体" w:eastAsia="黑体"/>
                <w:snapToGrid w:val="0"/>
                <w:color w:val="000000" w:themeColor="text1"/>
                <w:spacing w:val="-6"/>
                <w:kern w:val="21"/>
                <w:szCs w:val="21"/>
                <w14:textFill>
                  <w14:solidFill>
                    <w14:schemeClr w14:val="tx1"/>
                  </w14:solidFill>
                </w14:textFill>
              </w:rPr>
            </w:pPr>
          </w:p>
          <w:p w14:paraId="09F94357">
            <w:pPr>
              <w:jc w:val="center"/>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t>分类</w:t>
            </w:r>
          </w:p>
        </w:tc>
        <w:tc>
          <w:tcPr>
            <w:tcW w:w="1307" w:type="dxa"/>
            <w:tcMar>
              <w:left w:w="28" w:type="dxa"/>
              <w:right w:w="28" w:type="dxa"/>
            </w:tcMar>
            <w:vAlign w:val="center"/>
          </w:tcPr>
          <w:p w14:paraId="3A9912F5">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污染物名称</w:t>
            </w:r>
          </w:p>
        </w:tc>
        <w:tc>
          <w:tcPr>
            <w:tcW w:w="1758" w:type="dxa"/>
            <w:tcMar>
              <w:left w:w="28" w:type="dxa"/>
              <w:right w:w="28" w:type="dxa"/>
            </w:tcMar>
            <w:vAlign w:val="center"/>
          </w:tcPr>
          <w:p w14:paraId="1D791D3E">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现有工程</w:t>
            </w:r>
          </w:p>
          <w:p w14:paraId="4A639E00">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排放量（固体废物产生量）</w:t>
            </w:r>
            <w:r>
              <w:rPr>
                <w:rFonts w:ascii="黑体" w:hAnsi="黑体" w:eastAsia="黑体"/>
                <w:snapToGrid w:val="0"/>
                <w:color w:val="000000" w:themeColor="text1"/>
                <w:spacing w:val="-6"/>
                <w:kern w:val="21"/>
                <w:szCs w:val="21"/>
                <w14:textFill>
                  <w14:solidFill>
                    <w14:schemeClr w14:val="tx1"/>
                  </w14:solidFill>
                </w14:textFill>
              </w:rPr>
              <w:fldChar w:fldCharType="begin"/>
            </w:r>
            <w:r>
              <w:rPr>
                <w:rFonts w:ascii="黑体" w:hAnsi="黑体" w:eastAsia="黑体"/>
                <w:snapToGrid w:val="0"/>
                <w:color w:val="000000" w:themeColor="text1"/>
                <w:spacing w:val="-6"/>
                <w:kern w:val="21"/>
                <w:szCs w:val="21"/>
                <w14:textFill>
                  <w14:solidFill>
                    <w14:schemeClr w14:val="tx1"/>
                  </w14:solidFill>
                </w14:textFill>
              </w:rPr>
              <w:instrText xml:space="preserve"> = 1 \* GB3 \* MERGEFORMAT </w:instrText>
            </w:r>
            <w:r>
              <w:rPr>
                <w:rFonts w:ascii="黑体" w:hAnsi="黑体" w:eastAsia="黑体"/>
                <w:snapToGrid w:val="0"/>
                <w:color w:val="000000" w:themeColor="text1"/>
                <w:spacing w:val="-6"/>
                <w:kern w:val="21"/>
                <w:szCs w:val="21"/>
                <w14:textFill>
                  <w14:solidFill>
                    <w14:schemeClr w14:val="tx1"/>
                  </w14:solidFill>
                </w14:textFill>
              </w:rPr>
              <w:fldChar w:fldCharType="separate"/>
            </w:r>
            <w:r>
              <w:rPr>
                <w:rFonts w:ascii="黑体" w:hAnsi="黑体" w:eastAsia="黑体"/>
                <w:color w:val="000000" w:themeColor="text1"/>
                <w:kern w:val="2"/>
                <w:szCs w:val="21"/>
                <w14:textFill>
                  <w14:solidFill>
                    <w14:schemeClr w14:val="tx1"/>
                  </w14:solidFill>
                </w14:textFill>
              </w:rPr>
              <w:t>①</w:t>
            </w:r>
            <w:r>
              <w:rPr>
                <w:rFonts w:ascii="黑体" w:hAnsi="黑体" w:eastAsia="黑体"/>
                <w:snapToGrid w:val="0"/>
                <w:color w:val="000000" w:themeColor="text1"/>
                <w:spacing w:val="-6"/>
                <w:kern w:val="21"/>
                <w:szCs w:val="21"/>
                <w14:textFill>
                  <w14:solidFill>
                    <w14:schemeClr w14:val="tx1"/>
                  </w14:solidFill>
                </w14:textFill>
              </w:rPr>
              <w:fldChar w:fldCharType="end"/>
            </w:r>
          </w:p>
        </w:tc>
        <w:tc>
          <w:tcPr>
            <w:tcW w:w="1184" w:type="dxa"/>
            <w:tcMar>
              <w:left w:w="28" w:type="dxa"/>
              <w:right w:w="28" w:type="dxa"/>
            </w:tcMar>
            <w:vAlign w:val="center"/>
          </w:tcPr>
          <w:p w14:paraId="6AB154F7">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现有工程</w:t>
            </w:r>
          </w:p>
          <w:p w14:paraId="3015884F">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许可排放量</w:t>
            </w:r>
          </w:p>
          <w:p w14:paraId="451B0CD9">
            <w:pPr>
              <w:pStyle w:val="126"/>
              <w:keepNext w:val="0"/>
              <w:keepLines w:val="0"/>
              <w:pageBreakBefore w:val="0"/>
              <w:widowControl w:val="0"/>
              <w:kinsoku/>
              <w:wordWrap/>
              <w:overflowPunct/>
              <w:topLinePunct w:val="0"/>
              <w:autoSpaceDE/>
              <w:autoSpaceDN/>
              <w:bidi w:val="0"/>
              <w:adjustRightInd w:val="0"/>
              <w:snapToGrid w:val="0"/>
              <w:spacing w:beforeLines="0" w:afterLines="0"/>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fldChar w:fldCharType="begin"/>
            </w:r>
            <w:r>
              <w:rPr>
                <w:rFonts w:ascii="黑体" w:hAnsi="黑体" w:eastAsia="黑体"/>
                <w:snapToGrid w:val="0"/>
                <w:color w:val="000000" w:themeColor="text1"/>
                <w:spacing w:val="-6"/>
                <w:kern w:val="21"/>
                <w:szCs w:val="21"/>
                <w14:textFill>
                  <w14:solidFill>
                    <w14:schemeClr w14:val="tx1"/>
                  </w14:solidFill>
                </w14:textFill>
              </w:rPr>
              <w:instrText xml:space="preserve"> = 2 \* GB3 \* MERGEFORMAT </w:instrText>
            </w:r>
            <w:r>
              <w:rPr>
                <w:rFonts w:ascii="黑体" w:hAnsi="黑体" w:eastAsia="黑体"/>
                <w:snapToGrid w:val="0"/>
                <w:color w:val="000000" w:themeColor="text1"/>
                <w:spacing w:val="-6"/>
                <w:kern w:val="21"/>
                <w:szCs w:val="21"/>
                <w14:textFill>
                  <w14:solidFill>
                    <w14:schemeClr w14:val="tx1"/>
                  </w14:solidFill>
                </w14:textFill>
              </w:rPr>
              <w:fldChar w:fldCharType="separate"/>
            </w:r>
            <w:r>
              <w:rPr>
                <w:rFonts w:ascii="黑体" w:hAnsi="黑体" w:eastAsia="黑体"/>
                <w:snapToGrid w:val="0"/>
                <w:color w:val="000000" w:themeColor="text1"/>
                <w:spacing w:val="-6"/>
                <w:kern w:val="21"/>
                <w:szCs w:val="21"/>
                <w14:textFill>
                  <w14:solidFill>
                    <w14:schemeClr w14:val="tx1"/>
                  </w14:solidFill>
                </w14:textFill>
              </w:rPr>
              <w:t>②</w:t>
            </w:r>
            <w:r>
              <w:rPr>
                <w:rFonts w:ascii="黑体" w:hAnsi="黑体" w:eastAsia="黑体"/>
                <w:snapToGrid w:val="0"/>
                <w:color w:val="000000" w:themeColor="text1"/>
                <w:spacing w:val="-6"/>
                <w:kern w:val="21"/>
                <w:szCs w:val="21"/>
                <w14:textFill>
                  <w14:solidFill>
                    <w14:schemeClr w14:val="tx1"/>
                  </w14:solidFill>
                </w14:textFill>
              </w:rPr>
              <w:fldChar w:fldCharType="end"/>
            </w:r>
          </w:p>
        </w:tc>
        <w:tc>
          <w:tcPr>
            <w:tcW w:w="1552" w:type="dxa"/>
            <w:tcMar>
              <w:left w:w="28" w:type="dxa"/>
              <w:right w:w="28" w:type="dxa"/>
            </w:tcMar>
            <w:vAlign w:val="center"/>
          </w:tcPr>
          <w:p w14:paraId="39C8CBFB">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在建工程</w:t>
            </w:r>
          </w:p>
          <w:p w14:paraId="67462C48">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排放量（固体废物产生量）</w:t>
            </w:r>
            <w:r>
              <w:rPr>
                <w:rFonts w:ascii="黑体" w:hAnsi="黑体" w:eastAsia="黑体"/>
                <w:snapToGrid w:val="0"/>
                <w:color w:val="000000" w:themeColor="text1"/>
                <w:spacing w:val="-6"/>
                <w:kern w:val="21"/>
                <w:szCs w:val="21"/>
                <w14:textFill>
                  <w14:solidFill>
                    <w14:schemeClr w14:val="tx1"/>
                  </w14:solidFill>
                </w14:textFill>
              </w:rPr>
              <w:fldChar w:fldCharType="begin"/>
            </w:r>
            <w:r>
              <w:rPr>
                <w:rFonts w:ascii="黑体" w:hAnsi="黑体" w:eastAsia="黑体"/>
                <w:snapToGrid w:val="0"/>
                <w:color w:val="000000" w:themeColor="text1"/>
                <w:spacing w:val="-6"/>
                <w:kern w:val="21"/>
                <w:szCs w:val="21"/>
                <w14:textFill>
                  <w14:solidFill>
                    <w14:schemeClr w14:val="tx1"/>
                  </w14:solidFill>
                </w14:textFill>
              </w:rPr>
              <w:instrText xml:space="preserve"> = 3 \* GB3 \* MERGEFORMAT </w:instrText>
            </w:r>
            <w:r>
              <w:rPr>
                <w:rFonts w:ascii="黑体" w:hAnsi="黑体" w:eastAsia="黑体"/>
                <w:snapToGrid w:val="0"/>
                <w:color w:val="000000" w:themeColor="text1"/>
                <w:spacing w:val="-6"/>
                <w:kern w:val="21"/>
                <w:szCs w:val="21"/>
                <w14:textFill>
                  <w14:solidFill>
                    <w14:schemeClr w14:val="tx1"/>
                  </w14:solidFill>
                </w14:textFill>
              </w:rPr>
              <w:fldChar w:fldCharType="separate"/>
            </w:r>
            <w:r>
              <w:rPr>
                <w:rFonts w:ascii="黑体" w:hAnsi="黑体" w:eastAsia="黑体"/>
                <w:color w:val="000000" w:themeColor="text1"/>
                <w:kern w:val="2"/>
                <w:szCs w:val="21"/>
                <w14:textFill>
                  <w14:solidFill>
                    <w14:schemeClr w14:val="tx1"/>
                  </w14:solidFill>
                </w14:textFill>
              </w:rPr>
              <w:t>③</w:t>
            </w:r>
            <w:r>
              <w:rPr>
                <w:rFonts w:ascii="黑体" w:hAnsi="黑体" w:eastAsia="黑体"/>
                <w:snapToGrid w:val="0"/>
                <w:color w:val="000000" w:themeColor="text1"/>
                <w:spacing w:val="-6"/>
                <w:kern w:val="21"/>
                <w:szCs w:val="21"/>
                <w14:textFill>
                  <w14:solidFill>
                    <w14:schemeClr w14:val="tx1"/>
                  </w14:solidFill>
                </w14:textFill>
              </w:rPr>
              <w:fldChar w:fldCharType="end"/>
            </w:r>
          </w:p>
        </w:tc>
        <w:tc>
          <w:tcPr>
            <w:tcW w:w="1428" w:type="dxa"/>
            <w:tcMar>
              <w:left w:w="28" w:type="dxa"/>
              <w:right w:w="28" w:type="dxa"/>
            </w:tcMar>
            <w:vAlign w:val="center"/>
          </w:tcPr>
          <w:p w14:paraId="0A1DA6AB">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本项目</w:t>
            </w:r>
          </w:p>
          <w:p w14:paraId="2E8F9FCD">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排放量（固体废物产生量）</w:t>
            </w:r>
            <w:r>
              <w:rPr>
                <w:rFonts w:ascii="黑体" w:hAnsi="黑体" w:eastAsia="黑体"/>
                <w:snapToGrid w:val="0"/>
                <w:color w:val="000000" w:themeColor="text1"/>
                <w:spacing w:val="-6"/>
                <w:kern w:val="21"/>
                <w:szCs w:val="21"/>
                <w14:textFill>
                  <w14:solidFill>
                    <w14:schemeClr w14:val="tx1"/>
                  </w14:solidFill>
                </w14:textFill>
              </w:rPr>
              <w:fldChar w:fldCharType="begin"/>
            </w:r>
            <w:r>
              <w:rPr>
                <w:rFonts w:ascii="黑体" w:hAnsi="黑体" w:eastAsia="黑体"/>
                <w:snapToGrid w:val="0"/>
                <w:color w:val="000000" w:themeColor="text1"/>
                <w:spacing w:val="-6"/>
                <w:kern w:val="21"/>
                <w:szCs w:val="21"/>
                <w14:textFill>
                  <w14:solidFill>
                    <w14:schemeClr w14:val="tx1"/>
                  </w14:solidFill>
                </w14:textFill>
              </w:rPr>
              <w:instrText xml:space="preserve"> = 4 \* GB3 \* MERGEFORMAT </w:instrText>
            </w:r>
            <w:r>
              <w:rPr>
                <w:rFonts w:ascii="黑体" w:hAnsi="黑体" w:eastAsia="黑体"/>
                <w:snapToGrid w:val="0"/>
                <w:color w:val="000000" w:themeColor="text1"/>
                <w:spacing w:val="-6"/>
                <w:kern w:val="21"/>
                <w:szCs w:val="21"/>
                <w14:textFill>
                  <w14:solidFill>
                    <w14:schemeClr w14:val="tx1"/>
                  </w14:solidFill>
                </w14:textFill>
              </w:rPr>
              <w:fldChar w:fldCharType="separate"/>
            </w:r>
            <w:r>
              <w:rPr>
                <w:rFonts w:ascii="黑体" w:hAnsi="黑体" w:eastAsia="黑体"/>
                <w:color w:val="000000" w:themeColor="text1"/>
                <w:kern w:val="2"/>
                <w:szCs w:val="21"/>
                <w14:textFill>
                  <w14:solidFill>
                    <w14:schemeClr w14:val="tx1"/>
                  </w14:solidFill>
                </w14:textFill>
              </w:rPr>
              <w:t>④</w:t>
            </w:r>
            <w:r>
              <w:rPr>
                <w:rFonts w:ascii="黑体" w:hAnsi="黑体" w:eastAsia="黑体"/>
                <w:snapToGrid w:val="0"/>
                <w:color w:val="000000" w:themeColor="text1"/>
                <w:spacing w:val="-6"/>
                <w:kern w:val="21"/>
                <w:szCs w:val="21"/>
                <w14:textFill>
                  <w14:solidFill>
                    <w14:schemeClr w14:val="tx1"/>
                  </w14:solidFill>
                </w14:textFill>
              </w:rPr>
              <w:fldChar w:fldCharType="end"/>
            </w:r>
          </w:p>
        </w:tc>
        <w:tc>
          <w:tcPr>
            <w:tcW w:w="1605" w:type="dxa"/>
            <w:tcMar>
              <w:left w:w="28" w:type="dxa"/>
              <w:right w:w="28" w:type="dxa"/>
            </w:tcMar>
            <w:vAlign w:val="center"/>
          </w:tcPr>
          <w:p w14:paraId="56F23F5B">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16"/>
                <w:kern w:val="21"/>
                <w:szCs w:val="21"/>
                <w14:textFill>
                  <w14:solidFill>
                    <w14:schemeClr w14:val="tx1"/>
                  </w14:solidFill>
                </w14:textFill>
              </w:rPr>
            </w:pPr>
            <w:r>
              <w:rPr>
                <w:rFonts w:ascii="黑体" w:hAnsi="黑体" w:eastAsia="黑体"/>
                <w:snapToGrid w:val="0"/>
                <w:color w:val="000000" w:themeColor="text1"/>
                <w:spacing w:val="-16"/>
                <w:kern w:val="21"/>
                <w:szCs w:val="21"/>
                <w14:textFill>
                  <w14:solidFill>
                    <w14:schemeClr w14:val="tx1"/>
                  </w14:solidFill>
                </w14:textFill>
              </w:rPr>
              <w:t>以新带老削减量</w:t>
            </w:r>
          </w:p>
          <w:p w14:paraId="267575A1">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16"/>
                <w:kern w:val="21"/>
                <w:szCs w:val="21"/>
                <w14:textFill>
                  <w14:solidFill>
                    <w14:schemeClr w14:val="tx1"/>
                  </w14:solidFill>
                </w14:textFill>
              </w:rPr>
            </w:pPr>
            <w:r>
              <w:rPr>
                <w:rFonts w:ascii="黑体" w:hAnsi="黑体" w:eastAsia="黑体"/>
                <w:snapToGrid w:val="0"/>
                <w:color w:val="000000" w:themeColor="text1"/>
                <w:spacing w:val="-16"/>
                <w:kern w:val="21"/>
                <w:szCs w:val="21"/>
                <w14:textFill>
                  <w14:solidFill>
                    <w14:schemeClr w14:val="tx1"/>
                  </w14:solidFill>
                </w14:textFill>
              </w:rPr>
              <w:t>（新建项目不填）</w:t>
            </w:r>
            <w:r>
              <w:rPr>
                <w:rFonts w:ascii="黑体" w:hAnsi="黑体" w:eastAsia="黑体"/>
                <w:snapToGrid w:val="0"/>
                <w:color w:val="000000" w:themeColor="text1"/>
                <w:spacing w:val="-16"/>
                <w:kern w:val="21"/>
                <w:szCs w:val="21"/>
                <w14:textFill>
                  <w14:solidFill>
                    <w14:schemeClr w14:val="tx1"/>
                  </w14:solidFill>
                </w14:textFill>
              </w:rPr>
              <w:fldChar w:fldCharType="begin"/>
            </w:r>
            <w:r>
              <w:rPr>
                <w:rFonts w:ascii="黑体" w:hAnsi="黑体" w:eastAsia="黑体"/>
                <w:snapToGrid w:val="0"/>
                <w:color w:val="000000" w:themeColor="text1"/>
                <w:spacing w:val="-16"/>
                <w:kern w:val="21"/>
                <w:szCs w:val="21"/>
                <w14:textFill>
                  <w14:solidFill>
                    <w14:schemeClr w14:val="tx1"/>
                  </w14:solidFill>
                </w14:textFill>
              </w:rPr>
              <w:instrText xml:space="preserve"> = 5 \* GB3 \* MERGEFORMAT </w:instrText>
            </w:r>
            <w:r>
              <w:rPr>
                <w:rFonts w:ascii="黑体" w:hAnsi="黑体" w:eastAsia="黑体"/>
                <w:snapToGrid w:val="0"/>
                <w:color w:val="000000" w:themeColor="text1"/>
                <w:spacing w:val="-16"/>
                <w:kern w:val="21"/>
                <w:szCs w:val="21"/>
                <w14:textFill>
                  <w14:solidFill>
                    <w14:schemeClr w14:val="tx1"/>
                  </w14:solidFill>
                </w14:textFill>
              </w:rPr>
              <w:fldChar w:fldCharType="separate"/>
            </w:r>
            <w:r>
              <w:rPr>
                <w:rFonts w:ascii="黑体" w:hAnsi="黑体" w:eastAsia="黑体"/>
                <w:color w:val="000000" w:themeColor="text1"/>
                <w:kern w:val="2"/>
                <w:szCs w:val="21"/>
                <w14:textFill>
                  <w14:solidFill>
                    <w14:schemeClr w14:val="tx1"/>
                  </w14:solidFill>
                </w14:textFill>
              </w:rPr>
              <w:t>⑤</w:t>
            </w:r>
            <w:r>
              <w:rPr>
                <w:rFonts w:ascii="黑体" w:hAnsi="黑体" w:eastAsia="黑体"/>
                <w:snapToGrid w:val="0"/>
                <w:color w:val="000000" w:themeColor="text1"/>
                <w:spacing w:val="-16"/>
                <w:kern w:val="21"/>
                <w:szCs w:val="21"/>
                <w14:textFill>
                  <w14:solidFill>
                    <w14:schemeClr w14:val="tx1"/>
                  </w14:solidFill>
                </w14:textFill>
              </w:rPr>
              <w:fldChar w:fldCharType="end"/>
            </w:r>
          </w:p>
        </w:tc>
        <w:tc>
          <w:tcPr>
            <w:tcW w:w="1776" w:type="dxa"/>
            <w:tcMar>
              <w:left w:w="28" w:type="dxa"/>
              <w:right w:w="28" w:type="dxa"/>
            </w:tcMar>
            <w:vAlign w:val="center"/>
          </w:tcPr>
          <w:p w14:paraId="032E66BA">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16"/>
                <w:kern w:val="21"/>
                <w:szCs w:val="21"/>
                <w14:textFill>
                  <w14:solidFill>
                    <w14:schemeClr w14:val="tx1"/>
                  </w14:solidFill>
                </w14:textFill>
              </w:rPr>
            </w:pPr>
            <w:r>
              <w:rPr>
                <w:rFonts w:ascii="黑体" w:hAnsi="黑体" w:eastAsia="黑体"/>
                <w:snapToGrid w:val="0"/>
                <w:color w:val="000000" w:themeColor="text1"/>
                <w:spacing w:val="-16"/>
                <w:kern w:val="21"/>
                <w:szCs w:val="21"/>
                <w14:textFill>
                  <w14:solidFill>
                    <w14:schemeClr w14:val="tx1"/>
                  </w14:solidFill>
                </w14:textFill>
              </w:rPr>
              <w:t>本项目建成后</w:t>
            </w:r>
          </w:p>
          <w:p w14:paraId="26279AC1">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16"/>
                <w:kern w:val="21"/>
                <w:szCs w:val="21"/>
                <w14:textFill>
                  <w14:solidFill>
                    <w14:schemeClr w14:val="tx1"/>
                  </w14:solidFill>
                </w14:textFill>
              </w:rPr>
            </w:pPr>
            <w:r>
              <w:rPr>
                <w:rFonts w:ascii="黑体" w:hAnsi="黑体" w:eastAsia="黑体"/>
                <w:snapToGrid w:val="0"/>
                <w:color w:val="000000" w:themeColor="text1"/>
                <w:spacing w:val="-16"/>
                <w:kern w:val="21"/>
                <w:szCs w:val="21"/>
                <w14:textFill>
                  <w14:solidFill>
                    <w14:schemeClr w14:val="tx1"/>
                  </w14:solidFill>
                </w14:textFill>
              </w:rPr>
              <w:t>全厂排放量（固体废物产生量）</w:t>
            </w:r>
            <w:r>
              <w:rPr>
                <w:rFonts w:ascii="黑体" w:hAnsi="黑体" w:eastAsia="黑体"/>
                <w:snapToGrid w:val="0"/>
                <w:color w:val="000000" w:themeColor="text1"/>
                <w:spacing w:val="-16"/>
                <w:kern w:val="21"/>
                <w:szCs w:val="21"/>
                <w14:textFill>
                  <w14:solidFill>
                    <w14:schemeClr w14:val="tx1"/>
                  </w14:solidFill>
                </w14:textFill>
              </w:rPr>
              <w:fldChar w:fldCharType="begin"/>
            </w:r>
            <w:r>
              <w:rPr>
                <w:rFonts w:ascii="黑体" w:hAnsi="黑体" w:eastAsia="黑体"/>
                <w:snapToGrid w:val="0"/>
                <w:color w:val="000000" w:themeColor="text1"/>
                <w:spacing w:val="-16"/>
                <w:kern w:val="21"/>
                <w:szCs w:val="21"/>
                <w14:textFill>
                  <w14:solidFill>
                    <w14:schemeClr w14:val="tx1"/>
                  </w14:solidFill>
                </w14:textFill>
              </w:rPr>
              <w:instrText xml:space="preserve"> = 6 \* GB3 \* MERGEFORMAT </w:instrText>
            </w:r>
            <w:r>
              <w:rPr>
                <w:rFonts w:ascii="黑体" w:hAnsi="黑体" w:eastAsia="黑体"/>
                <w:snapToGrid w:val="0"/>
                <w:color w:val="000000" w:themeColor="text1"/>
                <w:spacing w:val="-16"/>
                <w:kern w:val="21"/>
                <w:szCs w:val="21"/>
                <w14:textFill>
                  <w14:solidFill>
                    <w14:schemeClr w14:val="tx1"/>
                  </w14:solidFill>
                </w14:textFill>
              </w:rPr>
              <w:fldChar w:fldCharType="separate"/>
            </w:r>
            <w:r>
              <w:rPr>
                <w:rFonts w:ascii="黑体" w:hAnsi="黑体" w:eastAsia="黑体"/>
                <w:color w:val="000000" w:themeColor="text1"/>
                <w:kern w:val="2"/>
                <w:szCs w:val="21"/>
                <w14:textFill>
                  <w14:solidFill>
                    <w14:schemeClr w14:val="tx1"/>
                  </w14:solidFill>
                </w14:textFill>
              </w:rPr>
              <w:t>⑥</w:t>
            </w:r>
            <w:r>
              <w:rPr>
                <w:rFonts w:ascii="黑体" w:hAnsi="黑体" w:eastAsia="黑体"/>
                <w:snapToGrid w:val="0"/>
                <w:color w:val="000000" w:themeColor="text1"/>
                <w:spacing w:val="-16"/>
                <w:kern w:val="21"/>
                <w:szCs w:val="21"/>
                <w14:textFill>
                  <w14:solidFill>
                    <w14:schemeClr w14:val="tx1"/>
                  </w14:solidFill>
                </w14:textFill>
              </w:rPr>
              <w:fldChar w:fldCharType="end"/>
            </w:r>
          </w:p>
        </w:tc>
        <w:tc>
          <w:tcPr>
            <w:tcW w:w="949" w:type="dxa"/>
            <w:tcMar>
              <w:left w:w="28" w:type="dxa"/>
              <w:right w:w="28" w:type="dxa"/>
            </w:tcMar>
            <w:vAlign w:val="center"/>
          </w:tcPr>
          <w:p w14:paraId="5868A5E5">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t>变化量</w:t>
            </w:r>
          </w:p>
          <w:p w14:paraId="41B1337C">
            <w:pPr>
              <w:pStyle w:val="1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黑体" w:hAnsi="黑体" w:eastAsia="黑体"/>
                <w:snapToGrid w:val="0"/>
                <w:color w:val="000000" w:themeColor="text1"/>
                <w:spacing w:val="-6"/>
                <w:kern w:val="21"/>
                <w:szCs w:val="21"/>
                <w14:textFill>
                  <w14:solidFill>
                    <w14:schemeClr w14:val="tx1"/>
                  </w14:solidFill>
                </w14:textFill>
              </w:rPr>
            </w:pPr>
            <w:r>
              <w:rPr>
                <w:rFonts w:ascii="黑体" w:hAnsi="黑体" w:eastAsia="黑体"/>
                <w:snapToGrid w:val="0"/>
                <w:color w:val="000000" w:themeColor="text1"/>
                <w:spacing w:val="-6"/>
                <w:kern w:val="21"/>
                <w:szCs w:val="21"/>
                <w14:textFill>
                  <w14:solidFill>
                    <w14:schemeClr w14:val="tx1"/>
                  </w14:solidFill>
                </w14:textFill>
              </w:rPr>
              <w:fldChar w:fldCharType="begin"/>
            </w:r>
            <w:r>
              <w:rPr>
                <w:rFonts w:ascii="黑体" w:hAnsi="黑体" w:eastAsia="黑体"/>
                <w:snapToGrid w:val="0"/>
                <w:color w:val="000000" w:themeColor="text1"/>
                <w:spacing w:val="-6"/>
                <w:kern w:val="21"/>
                <w:szCs w:val="21"/>
                <w14:textFill>
                  <w14:solidFill>
                    <w14:schemeClr w14:val="tx1"/>
                  </w14:solidFill>
                </w14:textFill>
              </w:rPr>
              <w:instrText xml:space="preserve"> = 7 \* GB3 \* MERGEFORMAT </w:instrText>
            </w:r>
            <w:r>
              <w:rPr>
                <w:rFonts w:ascii="黑体" w:hAnsi="黑体" w:eastAsia="黑体"/>
                <w:snapToGrid w:val="0"/>
                <w:color w:val="000000" w:themeColor="text1"/>
                <w:spacing w:val="-6"/>
                <w:kern w:val="21"/>
                <w:szCs w:val="21"/>
                <w14:textFill>
                  <w14:solidFill>
                    <w14:schemeClr w14:val="tx1"/>
                  </w14:solidFill>
                </w14:textFill>
              </w:rPr>
              <w:fldChar w:fldCharType="separate"/>
            </w:r>
            <w:r>
              <w:rPr>
                <w:rFonts w:ascii="黑体" w:hAnsi="黑体" w:eastAsia="黑体"/>
                <w:color w:val="000000" w:themeColor="text1"/>
                <w:kern w:val="2"/>
                <w:szCs w:val="21"/>
                <w14:textFill>
                  <w14:solidFill>
                    <w14:schemeClr w14:val="tx1"/>
                  </w14:solidFill>
                </w14:textFill>
              </w:rPr>
              <w:t>⑦</w:t>
            </w:r>
            <w:r>
              <w:rPr>
                <w:rFonts w:ascii="黑体" w:hAnsi="黑体" w:eastAsia="黑体"/>
                <w:snapToGrid w:val="0"/>
                <w:color w:val="000000" w:themeColor="text1"/>
                <w:spacing w:val="-6"/>
                <w:kern w:val="21"/>
                <w:szCs w:val="21"/>
                <w14:textFill>
                  <w14:solidFill>
                    <w14:schemeClr w14:val="tx1"/>
                  </w14:solidFill>
                </w14:textFill>
              </w:rPr>
              <w:fldChar w:fldCharType="end"/>
            </w:r>
          </w:p>
        </w:tc>
      </w:tr>
      <w:tr w14:paraId="49DEA4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restart"/>
            <w:vAlign w:val="center"/>
          </w:tcPr>
          <w:p w14:paraId="11A4EEF0">
            <w:pPr>
              <w:pStyle w:val="66"/>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废气</w:t>
            </w:r>
          </w:p>
        </w:tc>
        <w:tc>
          <w:tcPr>
            <w:tcW w:w="1307" w:type="dxa"/>
            <w:vAlign w:val="center"/>
          </w:tcPr>
          <w:p w14:paraId="7F6F1738">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颗粒物</w:t>
            </w:r>
          </w:p>
        </w:tc>
        <w:tc>
          <w:tcPr>
            <w:tcW w:w="1758" w:type="dxa"/>
            <w:vAlign w:val="center"/>
          </w:tcPr>
          <w:p w14:paraId="63DABBB9">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40.689</w:t>
            </w:r>
          </w:p>
        </w:tc>
        <w:tc>
          <w:tcPr>
            <w:tcW w:w="1184" w:type="dxa"/>
            <w:vAlign w:val="center"/>
          </w:tcPr>
          <w:p w14:paraId="59609620">
            <w:pPr>
              <w:pStyle w:val="66"/>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0</w:t>
            </w:r>
          </w:p>
        </w:tc>
        <w:tc>
          <w:tcPr>
            <w:tcW w:w="1552" w:type="dxa"/>
            <w:vAlign w:val="center"/>
          </w:tcPr>
          <w:p w14:paraId="696C355F">
            <w:pPr>
              <w:pStyle w:val="66"/>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0</w:t>
            </w:r>
          </w:p>
        </w:tc>
        <w:tc>
          <w:tcPr>
            <w:tcW w:w="1428" w:type="dxa"/>
            <w:vAlign w:val="center"/>
          </w:tcPr>
          <w:p w14:paraId="77485EFE">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0.951</w:t>
            </w:r>
          </w:p>
        </w:tc>
        <w:tc>
          <w:tcPr>
            <w:tcW w:w="1605" w:type="dxa"/>
            <w:vAlign w:val="center"/>
          </w:tcPr>
          <w:p w14:paraId="2E711C2D">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1.263</w:t>
            </w:r>
          </w:p>
        </w:tc>
        <w:tc>
          <w:tcPr>
            <w:tcW w:w="1776" w:type="dxa"/>
            <w:vAlign w:val="center"/>
          </w:tcPr>
          <w:p w14:paraId="4452C563">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40.377</w:t>
            </w:r>
          </w:p>
        </w:tc>
        <w:tc>
          <w:tcPr>
            <w:tcW w:w="949" w:type="dxa"/>
            <w:vAlign w:val="center"/>
          </w:tcPr>
          <w:p w14:paraId="366B350B">
            <w:pPr>
              <w:pStyle w:val="66"/>
              <w:rPr>
                <w:rFonts w:hint="default" w:eastAsia="等线"/>
                <w:snapToGrid w:val="0"/>
                <w:color w:val="000000" w:themeColor="text1"/>
                <w:lang w:val="en-US" w:eastAsia="zh-CN"/>
                <w14:textFill>
                  <w14:solidFill>
                    <w14:schemeClr w14:val="tx1"/>
                  </w14:solidFill>
                </w14:textFill>
              </w:rPr>
            </w:pPr>
            <w:r>
              <w:rPr>
                <w:rFonts w:hint="eastAsia" w:eastAsia="等线"/>
                <w:snapToGrid w:val="0"/>
                <w:color w:val="000000" w:themeColor="text1"/>
                <w:lang w:val="en-US" w:eastAsia="zh-CN"/>
                <w14:textFill>
                  <w14:solidFill>
                    <w14:schemeClr w14:val="tx1"/>
                  </w14:solidFill>
                </w14:textFill>
              </w:rPr>
              <w:t>-0.312</w:t>
            </w:r>
          </w:p>
        </w:tc>
      </w:tr>
      <w:tr w14:paraId="77E9A0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37C591F3">
            <w:pPr>
              <w:pStyle w:val="66"/>
              <w:rPr>
                <w:snapToGrid w:val="0"/>
                <w:color w:val="000000" w:themeColor="text1"/>
                <w14:textFill>
                  <w14:solidFill>
                    <w14:schemeClr w14:val="tx1"/>
                  </w14:solidFill>
                </w14:textFill>
              </w:rPr>
            </w:pPr>
          </w:p>
        </w:tc>
        <w:tc>
          <w:tcPr>
            <w:tcW w:w="1307" w:type="dxa"/>
            <w:vAlign w:val="center"/>
          </w:tcPr>
          <w:p w14:paraId="317CEA73">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非甲烷总烃</w:t>
            </w:r>
          </w:p>
        </w:tc>
        <w:tc>
          <w:tcPr>
            <w:tcW w:w="1758" w:type="dxa"/>
            <w:vAlign w:val="center"/>
          </w:tcPr>
          <w:p w14:paraId="203B0915">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1.226</w:t>
            </w:r>
          </w:p>
        </w:tc>
        <w:tc>
          <w:tcPr>
            <w:tcW w:w="1184" w:type="dxa"/>
            <w:vAlign w:val="center"/>
          </w:tcPr>
          <w:p w14:paraId="13D8332A">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552" w:type="dxa"/>
            <w:vAlign w:val="center"/>
          </w:tcPr>
          <w:p w14:paraId="682F7F23">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012D5A5B">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1.226</w:t>
            </w:r>
          </w:p>
        </w:tc>
        <w:tc>
          <w:tcPr>
            <w:tcW w:w="1605" w:type="dxa"/>
            <w:vAlign w:val="center"/>
          </w:tcPr>
          <w:p w14:paraId="43EFF31B">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1.226</w:t>
            </w:r>
          </w:p>
        </w:tc>
        <w:tc>
          <w:tcPr>
            <w:tcW w:w="1776" w:type="dxa"/>
            <w:vAlign w:val="center"/>
          </w:tcPr>
          <w:p w14:paraId="674E266D">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1.226</w:t>
            </w:r>
          </w:p>
        </w:tc>
        <w:tc>
          <w:tcPr>
            <w:tcW w:w="949" w:type="dxa"/>
            <w:vAlign w:val="center"/>
          </w:tcPr>
          <w:p w14:paraId="3C25242D">
            <w:pPr>
              <w:pStyle w:val="66"/>
              <w:rPr>
                <w:rFonts w:hint="eastAsia" w:eastAsia="等线"/>
                <w:color w:val="000000" w:themeColor="text1"/>
                <w:lang w:val="en-US" w:eastAsia="zh-CN"/>
                <w14:textFill>
                  <w14:solidFill>
                    <w14:schemeClr w14:val="tx1"/>
                  </w14:solidFill>
                </w14:textFill>
              </w:rPr>
            </w:pPr>
            <w:r>
              <w:rPr>
                <w:rFonts w:hint="eastAsia" w:eastAsia="等线"/>
                <w:color w:val="000000" w:themeColor="text1"/>
                <w:lang w:val="en-US" w:eastAsia="zh-CN"/>
                <w14:textFill>
                  <w14:solidFill>
                    <w14:schemeClr w14:val="tx1"/>
                  </w14:solidFill>
                </w14:textFill>
              </w:rPr>
              <w:t>0</w:t>
            </w:r>
          </w:p>
        </w:tc>
      </w:tr>
      <w:tr w14:paraId="2B25B3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6F7D3D2E">
            <w:pPr>
              <w:pStyle w:val="66"/>
              <w:rPr>
                <w:snapToGrid w:val="0"/>
                <w:color w:val="000000" w:themeColor="text1"/>
                <w14:textFill>
                  <w14:solidFill>
                    <w14:schemeClr w14:val="tx1"/>
                  </w14:solidFill>
                </w14:textFill>
              </w:rPr>
            </w:pPr>
          </w:p>
        </w:tc>
        <w:tc>
          <w:tcPr>
            <w:tcW w:w="1307" w:type="dxa"/>
            <w:vAlign w:val="center"/>
          </w:tcPr>
          <w:p w14:paraId="32A0F304">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苯系物</w:t>
            </w:r>
          </w:p>
        </w:tc>
        <w:tc>
          <w:tcPr>
            <w:tcW w:w="1758" w:type="dxa"/>
            <w:vAlign w:val="center"/>
          </w:tcPr>
          <w:p w14:paraId="6397AA1B">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.108</w:t>
            </w:r>
          </w:p>
        </w:tc>
        <w:tc>
          <w:tcPr>
            <w:tcW w:w="1184" w:type="dxa"/>
            <w:vAlign w:val="center"/>
          </w:tcPr>
          <w:p w14:paraId="4C65BCDA">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552" w:type="dxa"/>
            <w:vAlign w:val="center"/>
          </w:tcPr>
          <w:p w14:paraId="760AD860">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191BCB45">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0.108</w:t>
            </w:r>
          </w:p>
        </w:tc>
        <w:tc>
          <w:tcPr>
            <w:tcW w:w="1605" w:type="dxa"/>
            <w:vAlign w:val="center"/>
          </w:tcPr>
          <w:p w14:paraId="5A51DB39">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0.108</w:t>
            </w:r>
          </w:p>
        </w:tc>
        <w:tc>
          <w:tcPr>
            <w:tcW w:w="1776" w:type="dxa"/>
            <w:vAlign w:val="center"/>
          </w:tcPr>
          <w:p w14:paraId="11540CA6">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0.108</w:t>
            </w:r>
          </w:p>
        </w:tc>
        <w:tc>
          <w:tcPr>
            <w:tcW w:w="949" w:type="dxa"/>
            <w:vAlign w:val="center"/>
          </w:tcPr>
          <w:p w14:paraId="60760835">
            <w:pPr>
              <w:pStyle w:val="66"/>
              <w:rPr>
                <w:rFonts w:hint="eastAsia" w:eastAsia="等线"/>
                <w:color w:val="000000" w:themeColor="text1"/>
                <w:lang w:val="en-US" w:eastAsia="zh-CN"/>
                <w14:textFill>
                  <w14:solidFill>
                    <w14:schemeClr w14:val="tx1"/>
                  </w14:solidFill>
                </w14:textFill>
              </w:rPr>
            </w:pPr>
            <w:r>
              <w:rPr>
                <w:rFonts w:hint="eastAsia" w:eastAsia="等线"/>
                <w:color w:val="000000" w:themeColor="text1"/>
                <w:lang w:eastAsia="zh-CN"/>
                <w14:textFill>
                  <w14:solidFill>
                    <w14:schemeClr w14:val="tx1"/>
                  </w14:solidFill>
                </w14:textFill>
              </w:rPr>
              <w:t>0</w:t>
            </w:r>
          </w:p>
        </w:tc>
      </w:tr>
      <w:tr w14:paraId="309486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restart"/>
            <w:vAlign w:val="center"/>
          </w:tcPr>
          <w:p w14:paraId="7D6593C7">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废水</w:t>
            </w:r>
          </w:p>
        </w:tc>
        <w:tc>
          <w:tcPr>
            <w:tcW w:w="1307" w:type="dxa"/>
            <w:vAlign w:val="center"/>
          </w:tcPr>
          <w:p w14:paraId="3CE33FCA">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C</w:t>
            </w:r>
            <w:r>
              <w:rPr>
                <w:snapToGrid w:val="0"/>
                <w:color w:val="000000" w:themeColor="text1"/>
                <w14:textFill>
                  <w14:solidFill>
                    <w14:schemeClr w14:val="tx1"/>
                  </w14:solidFill>
                </w14:textFill>
              </w:rPr>
              <w:t>OD</w:t>
            </w:r>
          </w:p>
        </w:tc>
        <w:tc>
          <w:tcPr>
            <w:tcW w:w="1758" w:type="dxa"/>
            <w:vAlign w:val="center"/>
          </w:tcPr>
          <w:p w14:paraId="75130404">
            <w:pPr>
              <w:pStyle w:val="66"/>
              <w:rPr>
                <w:snapToGrid w:val="0"/>
                <w:color w:val="000000" w:themeColor="text1"/>
                <w14:textFill>
                  <w14:solidFill>
                    <w14:schemeClr w14:val="tx1"/>
                  </w14:solidFill>
                </w14:textFill>
              </w:rPr>
            </w:pPr>
            <w:r>
              <w:rPr>
                <w:rFonts w:eastAsia="等线"/>
                <w:color w:val="000000" w:themeColor="text1"/>
                <w14:textFill>
                  <w14:solidFill>
                    <w14:schemeClr w14:val="tx1"/>
                  </w14:solidFill>
                </w14:textFill>
              </w:rPr>
              <w:t>0.038</w:t>
            </w:r>
          </w:p>
        </w:tc>
        <w:tc>
          <w:tcPr>
            <w:tcW w:w="1184" w:type="dxa"/>
            <w:vAlign w:val="center"/>
          </w:tcPr>
          <w:p w14:paraId="758E1346">
            <w:pPr>
              <w:pStyle w:val="66"/>
              <w:rPr>
                <w:snapToGrid w:val="0"/>
                <w:color w:val="000000" w:themeColor="text1"/>
                <w14:textFill>
                  <w14:solidFill>
                    <w14:schemeClr w14:val="tx1"/>
                  </w14:solidFill>
                </w14:textFill>
              </w:rPr>
            </w:pPr>
            <w:r>
              <w:rPr>
                <w:color w:val="000000" w:themeColor="text1"/>
                <w14:textFill>
                  <w14:solidFill>
                    <w14:schemeClr w14:val="tx1"/>
                  </w14:solidFill>
                </w14:textFill>
              </w:rPr>
              <w:t>0</w:t>
            </w:r>
          </w:p>
        </w:tc>
        <w:tc>
          <w:tcPr>
            <w:tcW w:w="1552" w:type="dxa"/>
            <w:vAlign w:val="center"/>
          </w:tcPr>
          <w:p w14:paraId="66864E27">
            <w:pPr>
              <w:pStyle w:val="66"/>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0</w:t>
            </w:r>
          </w:p>
        </w:tc>
        <w:tc>
          <w:tcPr>
            <w:tcW w:w="1428" w:type="dxa"/>
            <w:vAlign w:val="center"/>
          </w:tcPr>
          <w:p w14:paraId="49711365">
            <w:pPr>
              <w:pStyle w:val="66"/>
              <w:rPr>
                <w:rFonts w:hint="eastAsia" w:eastAsia="宋体"/>
                <w:snapToGrid w:val="0"/>
                <w:color w:val="000000" w:themeColor="text1"/>
                <w:lang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c>
          <w:tcPr>
            <w:tcW w:w="1605" w:type="dxa"/>
            <w:vAlign w:val="center"/>
          </w:tcPr>
          <w:p w14:paraId="1201F2BE">
            <w:pPr>
              <w:pStyle w:val="66"/>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0</w:t>
            </w:r>
          </w:p>
        </w:tc>
        <w:tc>
          <w:tcPr>
            <w:tcW w:w="1776" w:type="dxa"/>
            <w:vAlign w:val="center"/>
          </w:tcPr>
          <w:p w14:paraId="6FCA2FD3">
            <w:pPr>
              <w:pStyle w:val="66"/>
              <w:rPr>
                <w:rFonts w:hint="default"/>
                <w:snapToGrid w:val="0"/>
                <w:color w:val="000000" w:themeColor="text1"/>
                <w:lang w:val="en-US"/>
                <w14:textFill>
                  <w14:solidFill>
                    <w14:schemeClr w14:val="tx1"/>
                  </w14:solidFill>
                </w14:textFill>
              </w:rPr>
            </w:pPr>
            <w:r>
              <w:rPr>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038</w:t>
            </w:r>
          </w:p>
        </w:tc>
        <w:tc>
          <w:tcPr>
            <w:tcW w:w="949" w:type="dxa"/>
            <w:vAlign w:val="center"/>
          </w:tcPr>
          <w:p w14:paraId="3A999276">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r>
      <w:tr w14:paraId="1B7A58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3C9E96A0">
            <w:pPr>
              <w:pStyle w:val="66"/>
              <w:rPr>
                <w:snapToGrid w:val="0"/>
                <w:color w:val="000000" w:themeColor="text1"/>
                <w14:textFill>
                  <w14:solidFill>
                    <w14:schemeClr w14:val="tx1"/>
                  </w14:solidFill>
                </w14:textFill>
              </w:rPr>
            </w:pPr>
          </w:p>
        </w:tc>
        <w:tc>
          <w:tcPr>
            <w:tcW w:w="1307" w:type="dxa"/>
            <w:vAlign w:val="center"/>
          </w:tcPr>
          <w:p w14:paraId="2B055DF4">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BO</w:t>
            </w:r>
            <w:r>
              <w:rPr>
                <w:snapToGrid w:val="0"/>
                <w:color w:val="000000" w:themeColor="text1"/>
                <w14:textFill>
                  <w14:solidFill>
                    <w14:schemeClr w14:val="tx1"/>
                  </w14:solidFill>
                </w14:textFill>
              </w:rPr>
              <w:t>D</w:t>
            </w:r>
          </w:p>
        </w:tc>
        <w:tc>
          <w:tcPr>
            <w:tcW w:w="1758" w:type="dxa"/>
            <w:vAlign w:val="center"/>
          </w:tcPr>
          <w:p w14:paraId="07F22DB7">
            <w:pPr>
              <w:pStyle w:val="66"/>
              <w:rPr>
                <w:rFonts w:eastAsia="等线"/>
                <w:color w:val="000000" w:themeColor="text1"/>
                <w14:textFill>
                  <w14:solidFill>
                    <w14:schemeClr w14:val="tx1"/>
                  </w14:solidFill>
                </w14:textFill>
              </w:rPr>
            </w:pPr>
            <w:r>
              <w:rPr>
                <w:rFonts w:hint="eastAsia" w:eastAsia="等线"/>
                <w:color w:val="000000" w:themeColor="text1"/>
                <w14:textFill>
                  <w14:solidFill>
                    <w14:schemeClr w14:val="tx1"/>
                  </w14:solidFill>
                </w14:textFill>
              </w:rPr>
              <w:t>0</w:t>
            </w:r>
            <w:r>
              <w:rPr>
                <w:rFonts w:eastAsia="等线"/>
                <w:color w:val="000000" w:themeColor="text1"/>
                <w14:textFill>
                  <w14:solidFill>
                    <w14:schemeClr w14:val="tx1"/>
                  </w14:solidFill>
                </w14:textFill>
              </w:rPr>
              <w:t>.025</w:t>
            </w:r>
          </w:p>
        </w:tc>
        <w:tc>
          <w:tcPr>
            <w:tcW w:w="1184" w:type="dxa"/>
            <w:vAlign w:val="center"/>
          </w:tcPr>
          <w:p w14:paraId="70D0715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552" w:type="dxa"/>
            <w:vAlign w:val="center"/>
          </w:tcPr>
          <w:p w14:paraId="0797EDDF">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6A8D3563">
            <w:pPr>
              <w:pStyle w:val="66"/>
              <w:rPr>
                <w:rFonts w:hint="eastAsia" w:eastAsia="宋体"/>
                <w:snapToGrid w:val="0"/>
                <w:color w:val="000000" w:themeColor="text1"/>
                <w:lang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c>
          <w:tcPr>
            <w:tcW w:w="1605" w:type="dxa"/>
            <w:vAlign w:val="center"/>
          </w:tcPr>
          <w:p w14:paraId="46460BB4">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776" w:type="dxa"/>
            <w:vAlign w:val="center"/>
          </w:tcPr>
          <w:p w14:paraId="083BD215">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25</w:t>
            </w:r>
          </w:p>
        </w:tc>
        <w:tc>
          <w:tcPr>
            <w:tcW w:w="949" w:type="dxa"/>
            <w:vAlign w:val="center"/>
          </w:tcPr>
          <w:p w14:paraId="79F7335C">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r>
      <w:tr w14:paraId="50371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0E2D174D">
            <w:pPr>
              <w:pStyle w:val="66"/>
              <w:rPr>
                <w:snapToGrid w:val="0"/>
                <w:color w:val="000000" w:themeColor="text1"/>
                <w14:textFill>
                  <w14:solidFill>
                    <w14:schemeClr w14:val="tx1"/>
                  </w14:solidFill>
                </w14:textFill>
              </w:rPr>
            </w:pPr>
          </w:p>
        </w:tc>
        <w:tc>
          <w:tcPr>
            <w:tcW w:w="1307" w:type="dxa"/>
            <w:vAlign w:val="center"/>
          </w:tcPr>
          <w:p w14:paraId="72E39A2B">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SS</w:t>
            </w:r>
          </w:p>
        </w:tc>
        <w:tc>
          <w:tcPr>
            <w:tcW w:w="1758" w:type="dxa"/>
            <w:vAlign w:val="center"/>
          </w:tcPr>
          <w:p w14:paraId="209E627A">
            <w:pPr>
              <w:pStyle w:val="66"/>
              <w:rPr>
                <w:rFonts w:eastAsia="等线"/>
                <w:color w:val="000000" w:themeColor="text1"/>
                <w14:textFill>
                  <w14:solidFill>
                    <w14:schemeClr w14:val="tx1"/>
                  </w14:solidFill>
                </w14:textFill>
              </w:rPr>
            </w:pPr>
            <w:r>
              <w:rPr>
                <w:rFonts w:eastAsia="等线"/>
                <w:color w:val="000000" w:themeColor="text1"/>
                <w14:textFill>
                  <w14:solidFill>
                    <w14:schemeClr w14:val="tx1"/>
                  </w14:solidFill>
                </w14:textFill>
              </w:rPr>
              <w:t>0.013</w:t>
            </w:r>
          </w:p>
        </w:tc>
        <w:tc>
          <w:tcPr>
            <w:tcW w:w="1184" w:type="dxa"/>
            <w:vAlign w:val="center"/>
          </w:tcPr>
          <w:p w14:paraId="7734A9B9">
            <w:pPr>
              <w:pStyle w:val="66"/>
              <w:rPr>
                <w:color w:val="000000" w:themeColor="text1"/>
                <w14:textFill>
                  <w14:solidFill>
                    <w14:schemeClr w14:val="tx1"/>
                  </w14:solidFill>
                </w14:textFill>
              </w:rPr>
            </w:pPr>
            <w:r>
              <w:rPr>
                <w:color w:val="000000" w:themeColor="text1"/>
                <w14:textFill>
                  <w14:solidFill>
                    <w14:schemeClr w14:val="tx1"/>
                  </w14:solidFill>
                </w14:textFill>
              </w:rPr>
              <w:t>0</w:t>
            </w:r>
          </w:p>
        </w:tc>
        <w:tc>
          <w:tcPr>
            <w:tcW w:w="1552" w:type="dxa"/>
            <w:vAlign w:val="center"/>
          </w:tcPr>
          <w:p w14:paraId="3A602262">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1513CCF7">
            <w:pPr>
              <w:pStyle w:val="66"/>
              <w:rPr>
                <w:rFonts w:hint="eastAsia" w:eastAsia="宋体"/>
                <w:snapToGrid w:val="0"/>
                <w:color w:val="000000" w:themeColor="text1"/>
                <w:lang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c>
          <w:tcPr>
            <w:tcW w:w="1605" w:type="dxa"/>
            <w:vAlign w:val="center"/>
          </w:tcPr>
          <w:p w14:paraId="33AADE85">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776" w:type="dxa"/>
            <w:vAlign w:val="center"/>
          </w:tcPr>
          <w:p w14:paraId="3D277666">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13</w:t>
            </w:r>
          </w:p>
        </w:tc>
        <w:tc>
          <w:tcPr>
            <w:tcW w:w="949" w:type="dxa"/>
            <w:vAlign w:val="center"/>
          </w:tcPr>
          <w:p w14:paraId="2DF5F7FB">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r>
      <w:tr w14:paraId="3FACCF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4CF590A2">
            <w:pPr>
              <w:pStyle w:val="66"/>
              <w:rPr>
                <w:snapToGrid w:val="0"/>
                <w:color w:val="000000" w:themeColor="text1"/>
                <w14:textFill>
                  <w14:solidFill>
                    <w14:schemeClr w14:val="tx1"/>
                  </w14:solidFill>
                </w14:textFill>
              </w:rPr>
            </w:pPr>
          </w:p>
        </w:tc>
        <w:tc>
          <w:tcPr>
            <w:tcW w:w="1307" w:type="dxa"/>
            <w:vAlign w:val="center"/>
          </w:tcPr>
          <w:p w14:paraId="03BA87EC">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氨氮</w:t>
            </w:r>
          </w:p>
        </w:tc>
        <w:tc>
          <w:tcPr>
            <w:tcW w:w="1758" w:type="dxa"/>
            <w:vAlign w:val="center"/>
          </w:tcPr>
          <w:p w14:paraId="25FD1FE2">
            <w:pPr>
              <w:pStyle w:val="66"/>
              <w:rPr>
                <w:snapToGrid w:val="0"/>
                <w:color w:val="000000" w:themeColor="text1"/>
                <w14:textFill>
                  <w14:solidFill>
                    <w14:schemeClr w14:val="tx1"/>
                  </w14:solidFill>
                </w14:textFill>
              </w:rPr>
            </w:pPr>
            <w:r>
              <w:rPr>
                <w:rFonts w:eastAsia="等线"/>
                <w:color w:val="000000" w:themeColor="text1"/>
                <w14:textFill>
                  <w14:solidFill>
                    <w14:schemeClr w14:val="tx1"/>
                  </w14:solidFill>
                </w14:textFill>
              </w:rPr>
              <w:t>0.004</w:t>
            </w:r>
          </w:p>
        </w:tc>
        <w:tc>
          <w:tcPr>
            <w:tcW w:w="1184" w:type="dxa"/>
            <w:vAlign w:val="center"/>
          </w:tcPr>
          <w:p w14:paraId="7ABCEEF3">
            <w:pPr>
              <w:pStyle w:val="66"/>
              <w:rPr>
                <w:snapToGrid w:val="0"/>
                <w:color w:val="000000" w:themeColor="text1"/>
                <w14:textFill>
                  <w14:solidFill>
                    <w14:schemeClr w14:val="tx1"/>
                  </w14:solidFill>
                </w14:textFill>
              </w:rPr>
            </w:pPr>
            <w:r>
              <w:rPr>
                <w:color w:val="000000" w:themeColor="text1"/>
                <w14:textFill>
                  <w14:solidFill>
                    <w14:schemeClr w14:val="tx1"/>
                  </w14:solidFill>
                </w14:textFill>
              </w:rPr>
              <w:t>0</w:t>
            </w:r>
          </w:p>
        </w:tc>
        <w:tc>
          <w:tcPr>
            <w:tcW w:w="1552" w:type="dxa"/>
            <w:vAlign w:val="center"/>
          </w:tcPr>
          <w:p w14:paraId="3D27D5EA">
            <w:pPr>
              <w:pStyle w:val="66"/>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0</w:t>
            </w:r>
          </w:p>
        </w:tc>
        <w:tc>
          <w:tcPr>
            <w:tcW w:w="1428" w:type="dxa"/>
            <w:vAlign w:val="center"/>
          </w:tcPr>
          <w:p w14:paraId="3C4652BE">
            <w:pPr>
              <w:pStyle w:val="66"/>
              <w:rPr>
                <w:rFonts w:hint="eastAsia" w:eastAsia="宋体"/>
                <w:snapToGrid w:val="0"/>
                <w:color w:val="000000" w:themeColor="text1"/>
                <w:lang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c>
          <w:tcPr>
            <w:tcW w:w="1605" w:type="dxa"/>
            <w:vAlign w:val="center"/>
          </w:tcPr>
          <w:p w14:paraId="70E1099A">
            <w:pPr>
              <w:pStyle w:val="66"/>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0</w:t>
            </w:r>
          </w:p>
        </w:tc>
        <w:tc>
          <w:tcPr>
            <w:tcW w:w="1776" w:type="dxa"/>
            <w:vAlign w:val="center"/>
          </w:tcPr>
          <w:p w14:paraId="043A5D33">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snapToGrid w:val="0"/>
                <w:color w:val="000000" w:themeColor="text1"/>
                <w14:textFill>
                  <w14:solidFill>
                    <w14:schemeClr w14:val="tx1"/>
                  </w14:solidFill>
                </w14:textFill>
              </w:rPr>
              <w:t>.00</w:t>
            </w:r>
            <w:r>
              <w:rPr>
                <w:rFonts w:hint="eastAsia"/>
                <w:snapToGrid w:val="0"/>
                <w:color w:val="000000" w:themeColor="text1"/>
                <w:lang w:val="en-US" w:eastAsia="zh-CN"/>
                <w14:textFill>
                  <w14:solidFill>
                    <w14:schemeClr w14:val="tx1"/>
                  </w14:solidFill>
                </w14:textFill>
              </w:rPr>
              <w:t>4</w:t>
            </w:r>
          </w:p>
        </w:tc>
        <w:tc>
          <w:tcPr>
            <w:tcW w:w="949" w:type="dxa"/>
            <w:vAlign w:val="center"/>
          </w:tcPr>
          <w:p w14:paraId="4E161191">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r>
      <w:tr w14:paraId="0F58BA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6989C67F">
            <w:pPr>
              <w:pStyle w:val="66"/>
              <w:rPr>
                <w:snapToGrid w:val="0"/>
                <w:color w:val="000000" w:themeColor="text1"/>
                <w14:textFill>
                  <w14:solidFill>
                    <w14:schemeClr w14:val="tx1"/>
                  </w14:solidFill>
                </w14:textFill>
              </w:rPr>
            </w:pPr>
          </w:p>
        </w:tc>
        <w:tc>
          <w:tcPr>
            <w:tcW w:w="1307" w:type="dxa"/>
            <w:vAlign w:val="center"/>
          </w:tcPr>
          <w:p w14:paraId="6590F237">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T</w:t>
            </w:r>
            <w:r>
              <w:rPr>
                <w:snapToGrid w:val="0"/>
                <w:color w:val="000000" w:themeColor="text1"/>
                <w14:textFill>
                  <w14:solidFill>
                    <w14:schemeClr w14:val="tx1"/>
                  </w14:solidFill>
                </w14:textFill>
              </w:rPr>
              <w:t>P</w:t>
            </w:r>
          </w:p>
        </w:tc>
        <w:tc>
          <w:tcPr>
            <w:tcW w:w="1758" w:type="dxa"/>
            <w:vAlign w:val="center"/>
          </w:tcPr>
          <w:p w14:paraId="04A92065">
            <w:pPr>
              <w:pStyle w:val="66"/>
              <w:rPr>
                <w:rFonts w:eastAsia="等线"/>
                <w:color w:val="000000" w:themeColor="text1"/>
                <w14:textFill>
                  <w14:solidFill>
                    <w14:schemeClr w14:val="tx1"/>
                  </w14:solidFill>
                </w14:textFill>
              </w:rPr>
            </w:pPr>
            <w:r>
              <w:rPr>
                <w:rFonts w:hint="eastAsia" w:eastAsia="等线"/>
                <w:color w:val="000000" w:themeColor="text1"/>
                <w14:textFill>
                  <w14:solidFill>
                    <w14:schemeClr w14:val="tx1"/>
                  </w14:solidFill>
                </w14:textFill>
              </w:rPr>
              <w:t>0</w:t>
            </w:r>
            <w:r>
              <w:rPr>
                <w:rFonts w:eastAsia="等线"/>
                <w:color w:val="000000" w:themeColor="text1"/>
                <w14:textFill>
                  <w14:solidFill>
                    <w14:schemeClr w14:val="tx1"/>
                  </w14:solidFill>
                </w14:textFill>
              </w:rPr>
              <w:t>.001</w:t>
            </w:r>
          </w:p>
        </w:tc>
        <w:tc>
          <w:tcPr>
            <w:tcW w:w="1184" w:type="dxa"/>
            <w:vAlign w:val="center"/>
          </w:tcPr>
          <w:p w14:paraId="674C723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552" w:type="dxa"/>
            <w:vAlign w:val="center"/>
          </w:tcPr>
          <w:p w14:paraId="7AC5C825">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109C276F">
            <w:pPr>
              <w:pStyle w:val="66"/>
              <w:rPr>
                <w:rFonts w:hint="eastAsia" w:eastAsia="宋体"/>
                <w:snapToGrid w:val="0"/>
                <w:color w:val="000000" w:themeColor="text1"/>
                <w:lang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c>
          <w:tcPr>
            <w:tcW w:w="1605" w:type="dxa"/>
            <w:vAlign w:val="center"/>
          </w:tcPr>
          <w:p w14:paraId="51A187B1">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776" w:type="dxa"/>
            <w:vAlign w:val="center"/>
          </w:tcPr>
          <w:p w14:paraId="3CDF7E3F">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snapToGrid w:val="0"/>
                <w:color w:val="000000" w:themeColor="text1"/>
                <w14:textFill>
                  <w14:solidFill>
                    <w14:schemeClr w14:val="tx1"/>
                  </w14:solidFill>
                </w14:textFill>
              </w:rPr>
              <w:t>.00</w:t>
            </w:r>
            <w:r>
              <w:rPr>
                <w:rFonts w:hint="eastAsia"/>
                <w:snapToGrid w:val="0"/>
                <w:color w:val="000000" w:themeColor="text1"/>
                <w:lang w:val="en-US" w:eastAsia="zh-CN"/>
                <w14:textFill>
                  <w14:solidFill>
                    <w14:schemeClr w14:val="tx1"/>
                  </w14:solidFill>
                </w14:textFill>
              </w:rPr>
              <w:t>1</w:t>
            </w:r>
          </w:p>
        </w:tc>
        <w:tc>
          <w:tcPr>
            <w:tcW w:w="949" w:type="dxa"/>
            <w:vAlign w:val="center"/>
          </w:tcPr>
          <w:p w14:paraId="64FB14C5">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r>
      <w:tr w14:paraId="6F1680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restart"/>
            <w:vAlign w:val="center"/>
          </w:tcPr>
          <w:p w14:paraId="63A7FE2E">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一般工业</w:t>
            </w:r>
          </w:p>
          <w:p w14:paraId="3ECF1EDA">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固体废物</w:t>
            </w:r>
          </w:p>
        </w:tc>
        <w:tc>
          <w:tcPr>
            <w:tcW w:w="1307" w:type="dxa"/>
            <w:vAlign w:val="center"/>
          </w:tcPr>
          <w:p w14:paraId="2ADF5981">
            <w:pPr>
              <w:pStyle w:val="66"/>
              <w:rPr>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抛丸清理机收集的粉尘</w:t>
            </w:r>
          </w:p>
        </w:tc>
        <w:tc>
          <w:tcPr>
            <w:tcW w:w="1758" w:type="dxa"/>
            <w:vAlign w:val="center"/>
          </w:tcPr>
          <w:p w14:paraId="55796834">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4</w:t>
            </w:r>
          </w:p>
        </w:tc>
        <w:tc>
          <w:tcPr>
            <w:tcW w:w="1184" w:type="dxa"/>
            <w:vAlign w:val="center"/>
          </w:tcPr>
          <w:p w14:paraId="2D9F7187">
            <w:pPr>
              <w:pStyle w:val="66"/>
              <w:rPr>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552" w:type="dxa"/>
            <w:vAlign w:val="center"/>
          </w:tcPr>
          <w:p w14:paraId="58D30B54">
            <w:pPr>
              <w:pStyle w:val="66"/>
              <w:rPr>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428" w:type="dxa"/>
            <w:vAlign w:val="center"/>
          </w:tcPr>
          <w:p w14:paraId="336673B4">
            <w:pPr>
              <w:pStyle w:val="66"/>
              <w:rPr>
                <w:snapToGrid w:val="0"/>
                <w:color w:val="000000" w:themeColor="text1"/>
                <w14:textFill>
                  <w14:solidFill>
                    <w14:schemeClr w14:val="tx1"/>
                  </w14:solidFill>
                </w14:textFill>
              </w:rPr>
            </w:pPr>
            <w:r>
              <w:rPr>
                <w:color w:val="000000" w:themeColor="text1"/>
                <w14:textFill>
                  <w14:solidFill>
                    <w14:schemeClr w14:val="tx1"/>
                  </w14:solidFill>
                </w14:textFill>
              </w:rPr>
              <w:t>2</w:t>
            </w:r>
          </w:p>
        </w:tc>
        <w:tc>
          <w:tcPr>
            <w:tcW w:w="1605" w:type="dxa"/>
            <w:vAlign w:val="center"/>
          </w:tcPr>
          <w:p w14:paraId="7C71803A">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2</w:t>
            </w:r>
          </w:p>
        </w:tc>
        <w:tc>
          <w:tcPr>
            <w:tcW w:w="1776" w:type="dxa"/>
            <w:vAlign w:val="center"/>
          </w:tcPr>
          <w:p w14:paraId="295127FC">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4</w:t>
            </w:r>
          </w:p>
        </w:tc>
        <w:tc>
          <w:tcPr>
            <w:tcW w:w="949" w:type="dxa"/>
            <w:vAlign w:val="center"/>
          </w:tcPr>
          <w:p w14:paraId="2977AC37">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r>
      <w:tr w14:paraId="274FAC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4D4372B7">
            <w:pPr>
              <w:pStyle w:val="66"/>
              <w:rPr>
                <w:snapToGrid w:val="0"/>
                <w:color w:val="000000" w:themeColor="text1"/>
                <w14:textFill>
                  <w14:solidFill>
                    <w14:schemeClr w14:val="tx1"/>
                  </w14:solidFill>
                </w14:textFill>
              </w:rPr>
            </w:pPr>
          </w:p>
        </w:tc>
        <w:tc>
          <w:tcPr>
            <w:tcW w:w="1307" w:type="dxa"/>
            <w:vAlign w:val="center"/>
          </w:tcPr>
          <w:p w14:paraId="2F94B15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废钢丸</w:t>
            </w:r>
          </w:p>
        </w:tc>
        <w:tc>
          <w:tcPr>
            <w:tcW w:w="1758" w:type="dxa"/>
            <w:vAlign w:val="center"/>
          </w:tcPr>
          <w:p w14:paraId="766549A6">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1184" w:type="dxa"/>
            <w:vAlign w:val="center"/>
          </w:tcPr>
          <w:p w14:paraId="26C751B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552" w:type="dxa"/>
            <w:vAlign w:val="center"/>
          </w:tcPr>
          <w:p w14:paraId="4797201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428" w:type="dxa"/>
            <w:vAlign w:val="center"/>
          </w:tcPr>
          <w:p w14:paraId="0BB7E6AF">
            <w:pPr>
              <w:pStyle w:val="66"/>
              <w:rPr>
                <w:color w:val="000000" w:themeColor="text1"/>
                <w14:textFill>
                  <w14:solidFill>
                    <w14:schemeClr w14:val="tx1"/>
                  </w14:solidFill>
                </w14:textFill>
              </w:rPr>
            </w:pPr>
            <w:r>
              <w:rPr>
                <w:color w:val="000000" w:themeColor="text1"/>
                <w14:textFill>
                  <w14:solidFill>
                    <w14:schemeClr w14:val="tx1"/>
                  </w14:solidFill>
                </w14:textFill>
              </w:rPr>
              <w:t>1</w:t>
            </w:r>
          </w:p>
        </w:tc>
        <w:tc>
          <w:tcPr>
            <w:tcW w:w="1605" w:type="dxa"/>
            <w:vAlign w:val="center"/>
          </w:tcPr>
          <w:p w14:paraId="29197B80">
            <w:pPr>
              <w:pStyle w:val="66"/>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p>
        </w:tc>
        <w:tc>
          <w:tcPr>
            <w:tcW w:w="1776" w:type="dxa"/>
            <w:vAlign w:val="center"/>
          </w:tcPr>
          <w:p w14:paraId="51A3B29E">
            <w:pPr>
              <w:pStyle w:val="66"/>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949" w:type="dxa"/>
            <w:vAlign w:val="center"/>
          </w:tcPr>
          <w:p w14:paraId="10083E6E">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529C67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36890B87">
            <w:pPr>
              <w:pStyle w:val="66"/>
              <w:rPr>
                <w:snapToGrid w:val="0"/>
                <w:color w:val="000000" w:themeColor="text1"/>
                <w14:textFill>
                  <w14:solidFill>
                    <w14:schemeClr w14:val="tx1"/>
                  </w14:solidFill>
                </w14:textFill>
              </w:rPr>
            </w:pPr>
          </w:p>
        </w:tc>
        <w:tc>
          <w:tcPr>
            <w:tcW w:w="1307" w:type="dxa"/>
            <w:vAlign w:val="center"/>
          </w:tcPr>
          <w:p w14:paraId="428BFD7B">
            <w:pPr>
              <w:pStyle w:val="66"/>
              <w:rPr>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废树脂</w:t>
            </w:r>
          </w:p>
        </w:tc>
        <w:tc>
          <w:tcPr>
            <w:tcW w:w="1758" w:type="dxa"/>
            <w:vAlign w:val="center"/>
          </w:tcPr>
          <w:p w14:paraId="0F881D72">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1.308</w:t>
            </w:r>
          </w:p>
        </w:tc>
        <w:tc>
          <w:tcPr>
            <w:tcW w:w="1184" w:type="dxa"/>
            <w:vAlign w:val="center"/>
          </w:tcPr>
          <w:p w14:paraId="73DE5602">
            <w:pPr>
              <w:pStyle w:val="66"/>
              <w:rPr>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552" w:type="dxa"/>
            <w:vAlign w:val="center"/>
          </w:tcPr>
          <w:p w14:paraId="33968263">
            <w:pPr>
              <w:pStyle w:val="66"/>
              <w:rPr>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428" w:type="dxa"/>
            <w:vAlign w:val="center"/>
          </w:tcPr>
          <w:p w14:paraId="3014ECF4">
            <w:pPr>
              <w:pStyle w:val="66"/>
              <w:rPr>
                <w:snapToGrid w:val="0"/>
                <w:color w:val="000000" w:themeColor="text1"/>
                <w14:textFill>
                  <w14:solidFill>
                    <w14:schemeClr w14:val="tx1"/>
                  </w14:solidFill>
                </w14:textFill>
              </w:rPr>
            </w:pPr>
            <w:r>
              <w:rPr>
                <w:color w:val="000000" w:themeColor="text1"/>
                <w14:textFill>
                  <w14:solidFill>
                    <w14:schemeClr w14:val="tx1"/>
                  </w14:solidFill>
                </w14:textFill>
              </w:rPr>
              <w:t>1.308</w:t>
            </w:r>
          </w:p>
        </w:tc>
        <w:tc>
          <w:tcPr>
            <w:tcW w:w="1605" w:type="dxa"/>
            <w:vAlign w:val="center"/>
          </w:tcPr>
          <w:p w14:paraId="2DD31014">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1.308</w:t>
            </w:r>
          </w:p>
        </w:tc>
        <w:tc>
          <w:tcPr>
            <w:tcW w:w="1776" w:type="dxa"/>
            <w:vAlign w:val="center"/>
          </w:tcPr>
          <w:p w14:paraId="151C9507">
            <w:pPr>
              <w:pStyle w:val="66"/>
              <w:rPr>
                <w:snapToGrid w:val="0"/>
                <w:color w:val="000000" w:themeColor="text1"/>
                <w14:textFill>
                  <w14:solidFill>
                    <w14:schemeClr w14:val="tx1"/>
                  </w14:solidFill>
                </w14:textFill>
              </w:rPr>
            </w:pPr>
            <w:r>
              <w:rPr>
                <w:color w:val="000000" w:themeColor="text1"/>
                <w14:textFill>
                  <w14:solidFill>
                    <w14:schemeClr w14:val="tx1"/>
                  </w14:solidFill>
                </w14:textFill>
              </w:rPr>
              <w:t>1.308</w:t>
            </w:r>
          </w:p>
        </w:tc>
        <w:tc>
          <w:tcPr>
            <w:tcW w:w="949" w:type="dxa"/>
            <w:vAlign w:val="center"/>
          </w:tcPr>
          <w:p w14:paraId="048DE525">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r>
      <w:tr w14:paraId="6F6058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5536AAC9">
            <w:pPr>
              <w:pStyle w:val="66"/>
              <w:rPr>
                <w:snapToGrid w:val="0"/>
                <w:color w:val="000000" w:themeColor="text1"/>
                <w14:textFill>
                  <w14:solidFill>
                    <w14:schemeClr w14:val="tx1"/>
                  </w14:solidFill>
                </w14:textFill>
              </w:rPr>
            </w:pPr>
          </w:p>
        </w:tc>
        <w:tc>
          <w:tcPr>
            <w:tcW w:w="1307" w:type="dxa"/>
            <w:vAlign w:val="center"/>
          </w:tcPr>
          <w:p w14:paraId="2D42C3D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废布袋</w:t>
            </w:r>
          </w:p>
        </w:tc>
        <w:tc>
          <w:tcPr>
            <w:tcW w:w="1758" w:type="dxa"/>
            <w:vAlign w:val="center"/>
          </w:tcPr>
          <w:p w14:paraId="75604C12">
            <w:pPr>
              <w:pStyle w:val="66"/>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.01</w:t>
            </w:r>
          </w:p>
        </w:tc>
        <w:tc>
          <w:tcPr>
            <w:tcW w:w="1184" w:type="dxa"/>
            <w:vAlign w:val="center"/>
          </w:tcPr>
          <w:p w14:paraId="0A53527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552" w:type="dxa"/>
            <w:vAlign w:val="center"/>
          </w:tcPr>
          <w:p w14:paraId="39905A4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428" w:type="dxa"/>
            <w:vAlign w:val="center"/>
          </w:tcPr>
          <w:p w14:paraId="71E53474">
            <w:pPr>
              <w:pStyle w:val="66"/>
              <w:rPr>
                <w:color w:val="000000" w:themeColor="text1"/>
                <w14:textFill>
                  <w14:solidFill>
                    <w14:schemeClr w14:val="tx1"/>
                  </w14:solidFill>
                </w14:textFill>
              </w:rPr>
            </w:pPr>
            <w:r>
              <w:rPr>
                <w:color w:val="000000" w:themeColor="text1"/>
                <w14:textFill>
                  <w14:solidFill>
                    <w14:schemeClr w14:val="tx1"/>
                  </w14:solidFill>
                </w14:textFill>
              </w:rPr>
              <w:t>0.01</w:t>
            </w:r>
          </w:p>
        </w:tc>
        <w:tc>
          <w:tcPr>
            <w:tcW w:w="1605" w:type="dxa"/>
            <w:vAlign w:val="center"/>
          </w:tcPr>
          <w:p w14:paraId="011A4958">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0.01</w:t>
            </w:r>
          </w:p>
        </w:tc>
        <w:tc>
          <w:tcPr>
            <w:tcW w:w="1776" w:type="dxa"/>
            <w:vAlign w:val="center"/>
          </w:tcPr>
          <w:p w14:paraId="687C6A8A">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1.01</w:t>
            </w:r>
          </w:p>
        </w:tc>
        <w:tc>
          <w:tcPr>
            <w:tcW w:w="949" w:type="dxa"/>
            <w:vAlign w:val="center"/>
          </w:tcPr>
          <w:p w14:paraId="08102B78">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555E26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48207E96">
            <w:pPr>
              <w:pStyle w:val="66"/>
              <w:rPr>
                <w:snapToGrid w:val="0"/>
                <w:color w:val="000000" w:themeColor="text1"/>
                <w14:textFill>
                  <w14:solidFill>
                    <w14:schemeClr w14:val="tx1"/>
                  </w14:solidFill>
                </w14:textFill>
              </w:rPr>
            </w:pPr>
          </w:p>
        </w:tc>
        <w:tc>
          <w:tcPr>
            <w:tcW w:w="1307" w:type="dxa"/>
            <w:vAlign w:val="center"/>
          </w:tcPr>
          <w:p w14:paraId="21A523C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熔炉渣</w:t>
            </w:r>
          </w:p>
        </w:tc>
        <w:tc>
          <w:tcPr>
            <w:tcW w:w="1758" w:type="dxa"/>
            <w:vAlign w:val="center"/>
          </w:tcPr>
          <w:p w14:paraId="575A304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000</w:t>
            </w:r>
          </w:p>
        </w:tc>
        <w:tc>
          <w:tcPr>
            <w:tcW w:w="1184" w:type="dxa"/>
            <w:vAlign w:val="center"/>
          </w:tcPr>
          <w:p w14:paraId="39FA18D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552" w:type="dxa"/>
            <w:vAlign w:val="center"/>
          </w:tcPr>
          <w:p w14:paraId="4A97A0C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428" w:type="dxa"/>
            <w:vAlign w:val="center"/>
          </w:tcPr>
          <w:p w14:paraId="36010196">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605" w:type="dxa"/>
            <w:vAlign w:val="center"/>
          </w:tcPr>
          <w:p w14:paraId="5FA6AFE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776" w:type="dxa"/>
            <w:vAlign w:val="center"/>
          </w:tcPr>
          <w:p w14:paraId="18B73E03">
            <w:pPr>
              <w:pStyle w:val="66"/>
              <w:rPr>
                <w:color w:val="000000" w:themeColor="text1"/>
                <w14:textFill>
                  <w14:solidFill>
                    <w14:schemeClr w14:val="tx1"/>
                  </w14:solidFill>
                </w14:textFill>
              </w:rPr>
            </w:pPr>
            <w:r>
              <w:rPr>
                <w:color w:val="000000" w:themeColor="text1"/>
                <w14:textFill>
                  <w14:solidFill>
                    <w14:schemeClr w14:val="tx1"/>
                  </w14:solidFill>
                </w14:textFill>
              </w:rPr>
              <w:t>3000</w:t>
            </w:r>
          </w:p>
        </w:tc>
        <w:tc>
          <w:tcPr>
            <w:tcW w:w="949" w:type="dxa"/>
            <w:vAlign w:val="center"/>
          </w:tcPr>
          <w:p w14:paraId="48D2ADB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r>
      <w:tr w14:paraId="539261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41B30221">
            <w:pPr>
              <w:pStyle w:val="66"/>
              <w:rPr>
                <w:snapToGrid w:val="0"/>
                <w:color w:val="000000" w:themeColor="text1"/>
                <w14:textFill>
                  <w14:solidFill>
                    <w14:schemeClr w14:val="tx1"/>
                  </w14:solidFill>
                </w14:textFill>
              </w:rPr>
            </w:pPr>
          </w:p>
        </w:tc>
        <w:tc>
          <w:tcPr>
            <w:tcW w:w="1307" w:type="dxa"/>
            <w:vAlign w:val="center"/>
          </w:tcPr>
          <w:p w14:paraId="0B6576C5">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废砂轮</w:t>
            </w:r>
          </w:p>
        </w:tc>
        <w:tc>
          <w:tcPr>
            <w:tcW w:w="1758" w:type="dxa"/>
            <w:vAlign w:val="center"/>
          </w:tcPr>
          <w:p w14:paraId="4E8A21A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.5</w:t>
            </w:r>
          </w:p>
        </w:tc>
        <w:tc>
          <w:tcPr>
            <w:tcW w:w="1184" w:type="dxa"/>
            <w:vAlign w:val="center"/>
          </w:tcPr>
          <w:p w14:paraId="243B004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552" w:type="dxa"/>
            <w:vAlign w:val="center"/>
          </w:tcPr>
          <w:p w14:paraId="06877FF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428" w:type="dxa"/>
            <w:vAlign w:val="center"/>
          </w:tcPr>
          <w:p w14:paraId="1745C39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605" w:type="dxa"/>
            <w:vAlign w:val="center"/>
          </w:tcPr>
          <w:p w14:paraId="6A6E021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776" w:type="dxa"/>
            <w:vAlign w:val="center"/>
          </w:tcPr>
          <w:p w14:paraId="19527AE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.5</w:t>
            </w:r>
          </w:p>
        </w:tc>
        <w:tc>
          <w:tcPr>
            <w:tcW w:w="949" w:type="dxa"/>
            <w:vAlign w:val="center"/>
          </w:tcPr>
          <w:p w14:paraId="0C41CE4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r>
      <w:tr w14:paraId="0C7A95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356A0B67">
            <w:pPr>
              <w:pStyle w:val="66"/>
              <w:rPr>
                <w:snapToGrid w:val="0"/>
                <w:color w:val="000000" w:themeColor="text1"/>
                <w14:textFill>
                  <w14:solidFill>
                    <w14:schemeClr w14:val="tx1"/>
                  </w14:solidFill>
                </w14:textFill>
              </w:rPr>
            </w:pPr>
          </w:p>
        </w:tc>
        <w:tc>
          <w:tcPr>
            <w:tcW w:w="1307" w:type="dxa"/>
            <w:vAlign w:val="center"/>
          </w:tcPr>
          <w:p w14:paraId="40444E4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废砂</w:t>
            </w:r>
          </w:p>
        </w:tc>
        <w:tc>
          <w:tcPr>
            <w:tcW w:w="1758" w:type="dxa"/>
            <w:vAlign w:val="center"/>
          </w:tcPr>
          <w:p w14:paraId="177AD34E">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0</w:t>
            </w:r>
          </w:p>
        </w:tc>
        <w:tc>
          <w:tcPr>
            <w:tcW w:w="1184" w:type="dxa"/>
            <w:vAlign w:val="center"/>
          </w:tcPr>
          <w:p w14:paraId="5E0919F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552" w:type="dxa"/>
            <w:vAlign w:val="center"/>
          </w:tcPr>
          <w:p w14:paraId="1E35451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428" w:type="dxa"/>
            <w:vAlign w:val="center"/>
          </w:tcPr>
          <w:p w14:paraId="7CA9281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605" w:type="dxa"/>
            <w:vAlign w:val="center"/>
          </w:tcPr>
          <w:p w14:paraId="00743AA0">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776" w:type="dxa"/>
            <w:vAlign w:val="center"/>
          </w:tcPr>
          <w:p w14:paraId="05F9C33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0</w:t>
            </w:r>
          </w:p>
        </w:tc>
        <w:tc>
          <w:tcPr>
            <w:tcW w:w="949" w:type="dxa"/>
            <w:vAlign w:val="center"/>
          </w:tcPr>
          <w:p w14:paraId="59C2426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r>
      <w:tr w14:paraId="7438D1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5984B3DE">
            <w:pPr>
              <w:pStyle w:val="66"/>
              <w:rPr>
                <w:snapToGrid w:val="0"/>
                <w:color w:val="000000" w:themeColor="text1"/>
                <w14:textFill>
                  <w14:solidFill>
                    <w14:schemeClr w14:val="tx1"/>
                  </w14:solidFill>
                </w14:textFill>
              </w:rPr>
            </w:pPr>
          </w:p>
        </w:tc>
        <w:tc>
          <w:tcPr>
            <w:tcW w:w="1307" w:type="dxa"/>
            <w:vAlign w:val="center"/>
          </w:tcPr>
          <w:p w14:paraId="52F53E5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一般废包装材料</w:t>
            </w:r>
          </w:p>
        </w:tc>
        <w:tc>
          <w:tcPr>
            <w:tcW w:w="1758" w:type="dxa"/>
            <w:vAlign w:val="center"/>
          </w:tcPr>
          <w:p w14:paraId="25665326">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7.377</w:t>
            </w:r>
          </w:p>
        </w:tc>
        <w:tc>
          <w:tcPr>
            <w:tcW w:w="1184" w:type="dxa"/>
            <w:vAlign w:val="center"/>
          </w:tcPr>
          <w:p w14:paraId="619098B8">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552" w:type="dxa"/>
            <w:vAlign w:val="center"/>
          </w:tcPr>
          <w:p w14:paraId="033FA25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p>
        </w:tc>
        <w:tc>
          <w:tcPr>
            <w:tcW w:w="1428" w:type="dxa"/>
            <w:vAlign w:val="center"/>
          </w:tcPr>
          <w:p w14:paraId="3B44834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color w:val="000000" w:themeColor="text1"/>
                <w14:textFill>
                  <w14:solidFill>
                    <w14:schemeClr w14:val="tx1"/>
                  </w14:solidFill>
                </w14:textFill>
              </w:rPr>
              <w:t>.377</w:t>
            </w:r>
          </w:p>
        </w:tc>
        <w:tc>
          <w:tcPr>
            <w:tcW w:w="1605" w:type="dxa"/>
            <w:vAlign w:val="center"/>
          </w:tcPr>
          <w:p w14:paraId="4E6C3AAB">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7.377</w:t>
            </w:r>
          </w:p>
        </w:tc>
        <w:tc>
          <w:tcPr>
            <w:tcW w:w="1776" w:type="dxa"/>
            <w:vAlign w:val="center"/>
          </w:tcPr>
          <w:p w14:paraId="29138BB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color w:val="000000" w:themeColor="text1"/>
                <w14:textFill>
                  <w14:solidFill>
                    <w14:schemeClr w14:val="tx1"/>
                  </w14:solidFill>
                </w14:textFill>
              </w:rPr>
              <w:t>.377</w:t>
            </w:r>
          </w:p>
        </w:tc>
        <w:tc>
          <w:tcPr>
            <w:tcW w:w="949" w:type="dxa"/>
            <w:vAlign w:val="center"/>
          </w:tcPr>
          <w:p w14:paraId="6DE48E6D">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0D606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restart"/>
            <w:vAlign w:val="center"/>
          </w:tcPr>
          <w:p w14:paraId="31744AE0">
            <w:pPr>
              <w:pStyle w:val="66"/>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危险废物</w:t>
            </w:r>
          </w:p>
        </w:tc>
        <w:tc>
          <w:tcPr>
            <w:tcW w:w="1307" w:type="dxa"/>
            <w:vAlign w:val="center"/>
          </w:tcPr>
          <w:p w14:paraId="55692F51">
            <w:pPr>
              <w:pStyle w:val="66"/>
              <w:rPr>
                <w:color w:val="000000" w:themeColor="text1"/>
                <w14:textFill>
                  <w14:solidFill>
                    <w14:schemeClr w14:val="tx1"/>
                  </w14:solidFill>
                </w14:textFill>
              </w:rPr>
            </w:pPr>
            <w:r>
              <w:rPr>
                <w:color w:val="000000" w:themeColor="text1"/>
                <w14:textFill>
                  <w14:solidFill>
                    <w14:schemeClr w14:val="tx1"/>
                  </w14:solidFill>
                </w14:textFill>
              </w:rPr>
              <w:t>废机油</w:t>
            </w:r>
          </w:p>
        </w:tc>
        <w:tc>
          <w:tcPr>
            <w:tcW w:w="1758" w:type="dxa"/>
            <w:vAlign w:val="center"/>
          </w:tcPr>
          <w:p w14:paraId="3F491C41">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4</w:t>
            </w:r>
          </w:p>
        </w:tc>
        <w:tc>
          <w:tcPr>
            <w:tcW w:w="1184" w:type="dxa"/>
            <w:vAlign w:val="center"/>
          </w:tcPr>
          <w:p w14:paraId="72CDBDAE">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552" w:type="dxa"/>
            <w:vAlign w:val="center"/>
          </w:tcPr>
          <w:p w14:paraId="59F2B4C5">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4F0DCD72">
            <w:pPr>
              <w:pStyle w:val="66"/>
              <w:rPr>
                <w:color w:val="000000" w:themeColor="text1"/>
                <w14:textFill>
                  <w14:solidFill>
                    <w14:schemeClr w14:val="tx1"/>
                  </w14:solidFill>
                </w14:textFill>
              </w:rPr>
            </w:pPr>
            <w:r>
              <w:rPr>
                <w:color w:val="000000" w:themeColor="text1"/>
                <w14:textFill>
                  <w14:solidFill>
                    <w14:schemeClr w14:val="tx1"/>
                  </w14:solidFill>
                </w14:textFill>
              </w:rPr>
              <w:t>0.02</w:t>
            </w:r>
          </w:p>
        </w:tc>
        <w:tc>
          <w:tcPr>
            <w:tcW w:w="1605" w:type="dxa"/>
            <w:vAlign w:val="center"/>
          </w:tcPr>
          <w:p w14:paraId="5F8F6D1F">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0.02</w:t>
            </w:r>
          </w:p>
        </w:tc>
        <w:tc>
          <w:tcPr>
            <w:tcW w:w="1776" w:type="dxa"/>
            <w:vAlign w:val="center"/>
          </w:tcPr>
          <w:p w14:paraId="1C5A2EE2">
            <w:pPr>
              <w:pStyle w:val="66"/>
              <w:rPr>
                <w:color w:val="000000" w:themeColor="text1"/>
                <w14:textFill>
                  <w14:solidFill>
                    <w14:schemeClr w14:val="tx1"/>
                  </w14:solidFill>
                </w14:textFill>
              </w:rPr>
            </w:pPr>
            <w:r>
              <w:rPr>
                <w:color w:val="000000" w:themeColor="text1"/>
                <w14:textFill>
                  <w14:solidFill>
                    <w14:schemeClr w14:val="tx1"/>
                  </w14:solidFill>
                </w14:textFill>
              </w:rPr>
              <w:t>0.04</w:t>
            </w:r>
          </w:p>
        </w:tc>
        <w:tc>
          <w:tcPr>
            <w:tcW w:w="949" w:type="dxa"/>
            <w:vAlign w:val="center"/>
          </w:tcPr>
          <w:p w14:paraId="4AC547CD">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7155A9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457" w:type="dxa"/>
            <w:vMerge w:val="continue"/>
            <w:vAlign w:val="center"/>
          </w:tcPr>
          <w:p w14:paraId="46D141C0">
            <w:pPr>
              <w:pStyle w:val="66"/>
              <w:rPr>
                <w:snapToGrid w:val="0"/>
                <w:color w:val="000000" w:themeColor="text1"/>
                <w14:textFill>
                  <w14:solidFill>
                    <w14:schemeClr w14:val="tx1"/>
                  </w14:solidFill>
                </w14:textFill>
              </w:rPr>
            </w:pPr>
          </w:p>
        </w:tc>
        <w:tc>
          <w:tcPr>
            <w:tcW w:w="1307" w:type="dxa"/>
            <w:vAlign w:val="center"/>
          </w:tcPr>
          <w:p w14:paraId="64D4321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危险废包装材料</w:t>
            </w:r>
          </w:p>
        </w:tc>
        <w:tc>
          <w:tcPr>
            <w:tcW w:w="1758" w:type="dxa"/>
            <w:vAlign w:val="center"/>
          </w:tcPr>
          <w:p w14:paraId="3B92D0A2">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0.274</w:t>
            </w:r>
          </w:p>
        </w:tc>
        <w:tc>
          <w:tcPr>
            <w:tcW w:w="1184" w:type="dxa"/>
            <w:vAlign w:val="center"/>
          </w:tcPr>
          <w:p w14:paraId="0A5AB1BE">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552" w:type="dxa"/>
            <w:vAlign w:val="center"/>
          </w:tcPr>
          <w:p w14:paraId="54618629">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3C64BF51">
            <w:pPr>
              <w:pStyle w:val="66"/>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0.174</w:t>
            </w:r>
          </w:p>
        </w:tc>
        <w:tc>
          <w:tcPr>
            <w:tcW w:w="1605" w:type="dxa"/>
            <w:vAlign w:val="center"/>
          </w:tcPr>
          <w:p w14:paraId="000C59E6">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0.174</w:t>
            </w:r>
          </w:p>
        </w:tc>
        <w:tc>
          <w:tcPr>
            <w:tcW w:w="1776" w:type="dxa"/>
            <w:vAlign w:val="center"/>
          </w:tcPr>
          <w:p w14:paraId="74E18D5D">
            <w:pPr>
              <w:pStyle w:val="66"/>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0.</w:t>
            </w:r>
            <w:r>
              <w:rPr>
                <w:rFonts w:hint="eastAsia"/>
                <w:color w:val="000000" w:themeColor="text1"/>
                <w:lang w:val="en-US" w:eastAsia="zh-CN"/>
                <w14:textFill>
                  <w14:solidFill>
                    <w14:schemeClr w14:val="tx1"/>
                  </w14:solidFill>
                </w14:textFill>
              </w:rPr>
              <w:t>2</w:t>
            </w:r>
            <w:r>
              <w:rPr>
                <w:rFonts w:hint="eastAsia"/>
                <w:color w:val="000000" w:themeColor="text1"/>
                <w:lang w:eastAsia="zh-CN"/>
                <w14:textFill>
                  <w14:solidFill>
                    <w14:schemeClr w14:val="tx1"/>
                  </w14:solidFill>
                </w14:textFill>
              </w:rPr>
              <w:t>74</w:t>
            </w:r>
          </w:p>
        </w:tc>
        <w:tc>
          <w:tcPr>
            <w:tcW w:w="949" w:type="dxa"/>
            <w:vAlign w:val="center"/>
          </w:tcPr>
          <w:p w14:paraId="0BF92D90">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0C9D4B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457" w:type="dxa"/>
            <w:vMerge w:val="continue"/>
            <w:vAlign w:val="center"/>
          </w:tcPr>
          <w:p w14:paraId="7E53A80D">
            <w:pPr>
              <w:pStyle w:val="66"/>
              <w:rPr>
                <w:snapToGrid w:val="0"/>
                <w:color w:val="000000" w:themeColor="text1"/>
                <w14:textFill>
                  <w14:solidFill>
                    <w14:schemeClr w14:val="tx1"/>
                  </w14:solidFill>
                </w14:textFill>
              </w:rPr>
            </w:pPr>
          </w:p>
        </w:tc>
        <w:tc>
          <w:tcPr>
            <w:tcW w:w="1307" w:type="dxa"/>
            <w:vAlign w:val="center"/>
          </w:tcPr>
          <w:p w14:paraId="6A62E8F1">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废含油抹布及手套</w:t>
            </w:r>
          </w:p>
        </w:tc>
        <w:tc>
          <w:tcPr>
            <w:tcW w:w="1758" w:type="dxa"/>
            <w:vAlign w:val="center"/>
          </w:tcPr>
          <w:p w14:paraId="6F8F46E1">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4</w:t>
            </w:r>
          </w:p>
        </w:tc>
        <w:tc>
          <w:tcPr>
            <w:tcW w:w="1184" w:type="dxa"/>
            <w:vAlign w:val="center"/>
          </w:tcPr>
          <w:p w14:paraId="669F2411">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552" w:type="dxa"/>
            <w:vAlign w:val="center"/>
          </w:tcPr>
          <w:p w14:paraId="0237839C">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26C0AC9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.02</w:t>
            </w:r>
          </w:p>
        </w:tc>
        <w:tc>
          <w:tcPr>
            <w:tcW w:w="1605" w:type="dxa"/>
            <w:vAlign w:val="center"/>
          </w:tcPr>
          <w:p w14:paraId="48A94005">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0.02</w:t>
            </w:r>
          </w:p>
        </w:tc>
        <w:tc>
          <w:tcPr>
            <w:tcW w:w="1776" w:type="dxa"/>
            <w:vAlign w:val="center"/>
          </w:tcPr>
          <w:p w14:paraId="2009EEA3">
            <w:pPr>
              <w:pStyle w:val="66"/>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.04</w:t>
            </w:r>
          </w:p>
        </w:tc>
        <w:tc>
          <w:tcPr>
            <w:tcW w:w="949" w:type="dxa"/>
            <w:vAlign w:val="center"/>
          </w:tcPr>
          <w:p w14:paraId="3814AF7E">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5310BD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457" w:type="dxa"/>
            <w:vMerge w:val="continue"/>
            <w:vAlign w:val="center"/>
          </w:tcPr>
          <w:p w14:paraId="17F503E4">
            <w:pPr>
              <w:pStyle w:val="66"/>
              <w:rPr>
                <w:snapToGrid w:val="0"/>
                <w:color w:val="000000" w:themeColor="text1"/>
                <w14:textFill>
                  <w14:solidFill>
                    <w14:schemeClr w14:val="tx1"/>
                  </w14:solidFill>
                </w14:textFill>
              </w:rPr>
            </w:pPr>
          </w:p>
        </w:tc>
        <w:tc>
          <w:tcPr>
            <w:tcW w:w="1307" w:type="dxa"/>
            <w:vAlign w:val="center"/>
          </w:tcPr>
          <w:p w14:paraId="2DA2EFC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废切削液</w:t>
            </w:r>
          </w:p>
        </w:tc>
        <w:tc>
          <w:tcPr>
            <w:tcW w:w="1758" w:type="dxa"/>
            <w:vAlign w:val="center"/>
          </w:tcPr>
          <w:p w14:paraId="5ED4CC94">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2</w:t>
            </w:r>
          </w:p>
        </w:tc>
        <w:tc>
          <w:tcPr>
            <w:tcW w:w="1184" w:type="dxa"/>
            <w:vAlign w:val="center"/>
          </w:tcPr>
          <w:p w14:paraId="24B92135">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552" w:type="dxa"/>
            <w:vAlign w:val="center"/>
          </w:tcPr>
          <w:p w14:paraId="6D3BC71E">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2952B413">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605" w:type="dxa"/>
            <w:vAlign w:val="center"/>
          </w:tcPr>
          <w:p w14:paraId="64D2FF36">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2</w:t>
            </w:r>
          </w:p>
        </w:tc>
        <w:tc>
          <w:tcPr>
            <w:tcW w:w="1776" w:type="dxa"/>
            <w:vAlign w:val="center"/>
          </w:tcPr>
          <w:p w14:paraId="0D95B14F">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949" w:type="dxa"/>
            <w:vAlign w:val="center"/>
          </w:tcPr>
          <w:p w14:paraId="42BFCC63">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13A61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457" w:type="dxa"/>
            <w:vMerge w:val="continue"/>
            <w:vAlign w:val="center"/>
          </w:tcPr>
          <w:p w14:paraId="5DB6F1EA">
            <w:pPr>
              <w:pStyle w:val="66"/>
              <w:rPr>
                <w:snapToGrid w:val="0"/>
                <w:color w:val="000000" w:themeColor="text1"/>
                <w14:textFill>
                  <w14:solidFill>
                    <w14:schemeClr w14:val="tx1"/>
                  </w14:solidFill>
                </w14:textFill>
              </w:rPr>
            </w:pPr>
          </w:p>
        </w:tc>
        <w:tc>
          <w:tcPr>
            <w:tcW w:w="1307" w:type="dxa"/>
            <w:vAlign w:val="center"/>
          </w:tcPr>
          <w:p w14:paraId="4E6B7FD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废切削液包装桶</w:t>
            </w:r>
          </w:p>
        </w:tc>
        <w:tc>
          <w:tcPr>
            <w:tcW w:w="1758" w:type="dxa"/>
            <w:vAlign w:val="center"/>
          </w:tcPr>
          <w:p w14:paraId="0D1523AB">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.04</w:t>
            </w:r>
          </w:p>
        </w:tc>
        <w:tc>
          <w:tcPr>
            <w:tcW w:w="1184" w:type="dxa"/>
            <w:vAlign w:val="center"/>
          </w:tcPr>
          <w:p w14:paraId="7F061D8D">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552" w:type="dxa"/>
            <w:vAlign w:val="center"/>
          </w:tcPr>
          <w:p w14:paraId="28A8A089">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68237A6A">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.04</w:t>
            </w:r>
          </w:p>
        </w:tc>
        <w:tc>
          <w:tcPr>
            <w:tcW w:w="1605" w:type="dxa"/>
            <w:vAlign w:val="center"/>
          </w:tcPr>
          <w:p w14:paraId="341C1BC3">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0.04</w:t>
            </w:r>
          </w:p>
        </w:tc>
        <w:tc>
          <w:tcPr>
            <w:tcW w:w="1776" w:type="dxa"/>
            <w:vAlign w:val="center"/>
          </w:tcPr>
          <w:p w14:paraId="3561C6DB">
            <w:pPr>
              <w:pStyle w:val="66"/>
              <w:rPr>
                <w:rFonts w:hint="eastAsia"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4</w:t>
            </w:r>
          </w:p>
        </w:tc>
        <w:tc>
          <w:tcPr>
            <w:tcW w:w="949" w:type="dxa"/>
            <w:vAlign w:val="center"/>
          </w:tcPr>
          <w:p w14:paraId="0316902F">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29309D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457" w:type="dxa"/>
            <w:vMerge w:val="continue"/>
            <w:vAlign w:val="center"/>
          </w:tcPr>
          <w:p w14:paraId="1AF5F9A1">
            <w:pPr>
              <w:pStyle w:val="66"/>
              <w:rPr>
                <w:snapToGrid w:val="0"/>
                <w:color w:val="000000" w:themeColor="text1"/>
                <w14:textFill>
                  <w14:solidFill>
                    <w14:schemeClr w14:val="tx1"/>
                  </w14:solidFill>
                </w14:textFill>
              </w:rPr>
            </w:pPr>
          </w:p>
        </w:tc>
        <w:tc>
          <w:tcPr>
            <w:tcW w:w="1307" w:type="dxa"/>
            <w:vAlign w:val="center"/>
          </w:tcPr>
          <w:p w14:paraId="69764B22">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废金属边角料</w:t>
            </w:r>
          </w:p>
        </w:tc>
        <w:tc>
          <w:tcPr>
            <w:tcW w:w="1758" w:type="dxa"/>
            <w:vAlign w:val="center"/>
          </w:tcPr>
          <w:p w14:paraId="7A2D59A6">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2</w:t>
            </w:r>
          </w:p>
        </w:tc>
        <w:tc>
          <w:tcPr>
            <w:tcW w:w="1184" w:type="dxa"/>
            <w:vAlign w:val="center"/>
          </w:tcPr>
          <w:p w14:paraId="38D530A3">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552" w:type="dxa"/>
            <w:vAlign w:val="center"/>
          </w:tcPr>
          <w:p w14:paraId="65B7B674">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53DF66CB">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605" w:type="dxa"/>
            <w:vAlign w:val="center"/>
          </w:tcPr>
          <w:p w14:paraId="3C774DBE">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776" w:type="dxa"/>
            <w:vAlign w:val="center"/>
          </w:tcPr>
          <w:p w14:paraId="47EE3D40">
            <w:pPr>
              <w:pStyle w:val="66"/>
              <w:rPr>
                <w:color w:val="000000" w:themeColor="text1"/>
                <w14:textFill>
                  <w14:solidFill>
                    <w14:schemeClr w14:val="tx1"/>
                  </w14:solidFill>
                </w14:textFill>
              </w:rPr>
            </w:pPr>
            <w:r>
              <w:rPr>
                <w:color w:val="000000" w:themeColor="text1"/>
                <w14:textFill>
                  <w14:solidFill>
                    <w14:schemeClr w14:val="tx1"/>
                  </w14:solidFill>
                </w14:textFill>
              </w:rPr>
              <w:t>2</w:t>
            </w:r>
          </w:p>
        </w:tc>
        <w:tc>
          <w:tcPr>
            <w:tcW w:w="949" w:type="dxa"/>
            <w:vAlign w:val="center"/>
          </w:tcPr>
          <w:p w14:paraId="19B0A82E">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29EAE3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457" w:type="dxa"/>
            <w:vMerge w:val="continue"/>
            <w:vAlign w:val="center"/>
          </w:tcPr>
          <w:p w14:paraId="1F08BE7F">
            <w:pPr>
              <w:pStyle w:val="66"/>
              <w:rPr>
                <w:snapToGrid w:val="0"/>
                <w:color w:val="000000" w:themeColor="text1"/>
                <w14:textFill>
                  <w14:solidFill>
                    <w14:schemeClr w14:val="tx1"/>
                  </w14:solidFill>
                </w14:textFill>
              </w:rPr>
            </w:pPr>
          </w:p>
        </w:tc>
        <w:tc>
          <w:tcPr>
            <w:tcW w:w="1307" w:type="dxa"/>
            <w:vAlign w:val="center"/>
          </w:tcPr>
          <w:p w14:paraId="2D80CF2D">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含漆抹布及手套</w:t>
            </w:r>
          </w:p>
        </w:tc>
        <w:tc>
          <w:tcPr>
            <w:tcW w:w="1758" w:type="dxa"/>
            <w:vAlign w:val="center"/>
          </w:tcPr>
          <w:p w14:paraId="4198BE4D">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.02</w:t>
            </w:r>
          </w:p>
        </w:tc>
        <w:tc>
          <w:tcPr>
            <w:tcW w:w="1184" w:type="dxa"/>
            <w:vAlign w:val="center"/>
          </w:tcPr>
          <w:p w14:paraId="1BC9585B">
            <w:pPr>
              <w:pStyle w:val="66"/>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0</w:t>
            </w:r>
          </w:p>
        </w:tc>
        <w:tc>
          <w:tcPr>
            <w:tcW w:w="1552" w:type="dxa"/>
            <w:vAlign w:val="center"/>
          </w:tcPr>
          <w:p w14:paraId="164F605F">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7E30D0A9">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.02</w:t>
            </w:r>
          </w:p>
        </w:tc>
        <w:tc>
          <w:tcPr>
            <w:tcW w:w="1605" w:type="dxa"/>
            <w:vAlign w:val="center"/>
          </w:tcPr>
          <w:p w14:paraId="31C1CD6B">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0.02</w:t>
            </w:r>
          </w:p>
        </w:tc>
        <w:tc>
          <w:tcPr>
            <w:tcW w:w="1776" w:type="dxa"/>
            <w:vAlign w:val="center"/>
          </w:tcPr>
          <w:p w14:paraId="72F25C9B">
            <w:pPr>
              <w:pStyle w:val="66"/>
              <w:rPr>
                <w:rFonts w:hint="eastAsia"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2</w:t>
            </w:r>
          </w:p>
        </w:tc>
        <w:tc>
          <w:tcPr>
            <w:tcW w:w="949" w:type="dxa"/>
            <w:vAlign w:val="center"/>
          </w:tcPr>
          <w:p w14:paraId="56D7A53C">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63FFFF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457" w:type="dxa"/>
            <w:vMerge w:val="continue"/>
            <w:vAlign w:val="center"/>
          </w:tcPr>
          <w:p w14:paraId="3FFA9380">
            <w:pPr>
              <w:pStyle w:val="66"/>
              <w:rPr>
                <w:snapToGrid w:val="0"/>
                <w:color w:val="000000" w:themeColor="text1"/>
                <w14:textFill>
                  <w14:solidFill>
                    <w14:schemeClr w14:val="tx1"/>
                  </w14:solidFill>
                </w14:textFill>
              </w:rPr>
            </w:pPr>
          </w:p>
        </w:tc>
        <w:tc>
          <w:tcPr>
            <w:tcW w:w="1307" w:type="dxa"/>
            <w:vAlign w:val="center"/>
          </w:tcPr>
          <w:p w14:paraId="0AF97197">
            <w:pPr>
              <w:pStyle w:val="66"/>
              <w:rPr>
                <w:rFonts w:hint="eastAsia"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废干式过滤棉及</w:t>
            </w:r>
            <w:r>
              <w:rPr>
                <w:rFonts w:hint="eastAsia"/>
                <w:color w:val="000000" w:themeColor="text1"/>
                <w:lang w:val="en-US" w:eastAsia="zh-CN"/>
                <w14:textFill>
                  <w14:solidFill>
                    <w14:schemeClr w14:val="tx1"/>
                  </w14:solidFill>
                </w14:textFill>
              </w:rPr>
              <w:t>漆渣</w:t>
            </w:r>
          </w:p>
        </w:tc>
        <w:tc>
          <w:tcPr>
            <w:tcW w:w="1758" w:type="dxa"/>
            <w:vAlign w:val="center"/>
          </w:tcPr>
          <w:p w14:paraId="1E876A66">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0.533</w:t>
            </w:r>
          </w:p>
        </w:tc>
        <w:tc>
          <w:tcPr>
            <w:tcW w:w="1184" w:type="dxa"/>
            <w:vAlign w:val="center"/>
          </w:tcPr>
          <w:p w14:paraId="4C099BE7">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552" w:type="dxa"/>
            <w:vAlign w:val="center"/>
          </w:tcPr>
          <w:p w14:paraId="27AEC662">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76FD72CB">
            <w:pPr>
              <w:pStyle w:val="66"/>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.5</w:t>
            </w:r>
            <w:r>
              <w:rPr>
                <w:rFonts w:hint="eastAsia"/>
                <w:color w:val="000000" w:themeColor="text1"/>
                <w:lang w:val="en-US" w:eastAsia="zh-CN"/>
                <w14:textFill>
                  <w14:solidFill>
                    <w14:schemeClr w14:val="tx1"/>
                  </w14:solidFill>
                </w14:textFill>
              </w:rPr>
              <w:t>33</w:t>
            </w:r>
          </w:p>
        </w:tc>
        <w:tc>
          <w:tcPr>
            <w:tcW w:w="1605" w:type="dxa"/>
            <w:vAlign w:val="center"/>
          </w:tcPr>
          <w:p w14:paraId="7429C3BD">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.533</w:t>
            </w:r>
          </w:p>
        </w:tc>
        <w:tc>
          <w:tcPr>
            <w:tcW w:w="1776" w:type="dxa"/>
            <w:vAlign w:val="center"/>
          </w:tcPr>
          <w:p w14:paraId="01471C61">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0.533</w:t>
            </w:r>
          </w:p>
        </w:tc>
        <w:tc>
          <w:tcPr>
            <w:tcW w:w="949" w:type="dxa"/>
            <w:vAlign w:val="center"/>
          </w:tcPr>
          <w:p w14:paraId="20186C50">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10E167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457" w:type="dxa"/>
            <w:vMerge w:val="continue"/>
            <w:vAlign w:val="center"/>
          </w:tcPr>
          <w:p w14:paraId="783C6EDF">
            <w:pPr>
              <w:pStyle w:val="66"/>
              <w:rPr>
                <w:snapToGrid w:val="0"/>
                <w:color w:val="000000" w:themeColor="text1"/>
                <w14:textFill>
                  <w14:solidFill>
                    <w14:schemeClr w14:val="tx1"/>
                  </w14:solidFill>
                </w14:textFill>
              </w:rPr>
            </w:pPr>
          </w:p>
        </w:tc>
        <w:tc>
          <w:tcPr>
            <w:tcW w:w="1307" w:type="dxa"/>
            <w:vAlign w:val="center"/>
          </w:tcPr>
          <w:p w14:paraId="41764A5C">
            <w:pPr>
              <w:pStyle w:val="66"/>
              <w:rPr>
                <w:color w:val="000000" w:themeColor="text1"/>
                <w14:textFill>
                  <w14:solidFill>
                    <w14:schemeClr w14:val="tx1"/>
                  </w14:solidFill>
                </w14:textFill>
              </w:rPr>
            </w:pPr>
            <w:r>
              <w:rPr>
                <w:rFonts w:hint="eastAsia"/>
                <w:color w:val="000000" w:themeColor="text1"/>
                <w14:textFill>
                  <w14:solidFill>
                    <w14:schemeClr w14:val="tx1"/>
                  </w14:solidFill>
                </w14:textFill>
              </w:rPr>
              <w:t>清洗废液</w:t>
            </w:r>
          </w:p>
        </w:tc>
        <w:tc>
          <w:tcPr>
            <w:tcW w:w="1758" w:type="dxa"/>
            <w:vAlign w:val="center"/>
          </w:tcPr>
          <w:p w14:paraId="720F943E">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.101</w:t>
            </w:r>
          </w:p>
        </w:tc>
        <w:tc>
          <w:tcPr>
            <w:tcW w:w="1184" w:type="dxa"/>
            <w:vAlign w:val="center"/>
          </w:tcPr>
          <w:p w14:paraId="5AB71325">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552" w:type="dxa"/>
            <w:vAlign w:val="center"/>
          </w:tcPr>
          <w:p w14:paraId="3C665FC3">
            <w:pPr>
              <w:pStyle w:val="66"/>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0</w:t>
            </w:r>
          </w:p>
        </w:tc>
        <w:tc>
          <w:tcPr>
            <w:tcW w:w="1428" w:type="dxa"/>
            <w:vAlign w:val="center"/>
          </w:tcPr>
          <w:p w14:paraId="3E749634">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0.101</w:t>
            </w:r>
          </w:p>
        </w:tc>
        <w:tc>
          <w:tcPr>
            <w:tcW w:w="1605" w:type="dxa"/>
            <w:vAlign w:val="center"/>
          </w:tcPr>
          <w:p w14:paraId="19B324FB">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14:textFill>
                  <w14:solidFill>
                    <w14:schemeClr w14:val="tx1"/>
                  </w14:solidFill>
                </w14:textFill>
              </w:rPr>
              <w:t>0</w:t>
            </w:r>
            <w:r>
              <w:rPr>
                <w:rFonts w:hint="eastAsia"/>
                <w:snapToGrid w:val="0"/>
                <w:color w:val="000000" w:themeColor="text1"/>
                <w:lang w:val="en-US" w:eastAsia="zh-CN"/>
                <w14:textFill>
                  <w14:solidFill>
                    <w14:schemeClr w14:val="tx1"/>
                  </w14:solidFill>
                </w14:textFill>
              </w:rPr>
              <w:t>.101</w:t>
            </w:r>
          </w:p>
        </w:tc>
        <w:tc>
          <w:tcPr>
            <w:tcW w:w="1776" w:type="dxa"/>
            <w:vAlign w:val="center"/>
          </w:tcPr>
          <w:p w14:paraId="089E6DBB">
            <w:pPr>
              <w:pStyle w:val="66"/>
              <w:rPr>
                <w:rFonts w:hint="eastAsia" w:eastAsia="宋体"/>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0.101</w:t>
            </w:r>
          </w:p>
        </w:tc>
        <w:tc>
          <w:tcPr>
            <w:tcW w:w="949" w:type="dxa"/>
            <w:vAlign w:val="center"/>
          </w:tcPr>
          <w:p w14:paraId="40E4496B">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708931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457" w:type="dxa"/>
            <w:vMerge w:val="continue"/>
            <w:vAlign w:val="center"/>
          </w:tcPr>
          <w:p w14:paraId="69B436FE">
            <w:pPr>
              <w:pStyle w:val="66"/>
              <w:rPr>
                <w:snapToGrid w:val="0"/>
                <w:color w:val="000000" w:themeColor="text1"/>
                <w14:textFill>
                  <w14:solidFill>
                    <w14:schemeClr w14:val="tx1"/>
                  </w14:solidFill>
                </w14:textFill>
              </w:rPr>
            </w:pPr>
          </w:p>
        </w:tc>
        <w:tc>
          <w:tcPr>
            <w:tcW w:w="1307" w:type="dxa"/>
            <w:vAlign w:val="center"/>
          </w:tcPr>
          <w:p w14:paraId="3F9BF68A">
            <w:pPr>
              <w:pStyle w:val="66"/>
              <w:rPr>
                <w:rFonts w:hint="eastAsia"/>
                <w:color w:val="000000" w:themeColor="text1"/>
                <w14:textFill>
                  <w14:solidFill>
                    <w14:schemeClr w14:val="tx1"/>
                  </w14:solidFill>
                </w14:textFill>
              </w:rPr>
            </w:pPr>
            <w:r>
              <w:rPr>
                <w:rFonts w:hint="eastAsia"/>
                <w:lang w:val="en-US" w:eastAsia="zh-CN"/>
              </w:rPr>
              <w:t>喷淋废液及沉渣</w:t>
            </w:r>
          </w:p>
        </w:tc>
        <w:tc>
          <w:tcPr>
            <w:tcW w:w="1758" w:type="dxa"/>
            <w:vAlign w:val="center"/>
          </w:tcPr>
          <w:p w14:paraId="4DACEF90">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65.066</w:t>
            </w:r>
          </w:p>
        </w:tc>
        <w:tc>
          <w:tcPr>
            <w:tcW w:w="1184" w:type="dxa"/>
            <w:vAlign w:val="center"/>
          </w:tcPr>
          <w:p w14:paraId="4A715245">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c>
          <w:tcPr>
            <w:tcW w:w="1552" w:type="dxa"/>
            <w:vAlign w:val="center"/>
          </w:tcPr>
          <w:p w14:paraId="404C90F1">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c>
          <w:tcPr>
            <w:tcW w:w="1428" w:type="dxa"/>
            <w:vAlign w:val="center"/>
          </w:tcPr>
          <w:p w14:paraId="61B39F1B">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65.066</w:t>
            </w:r>
          </w:p>
        </w:tc>
        <w:tc>
          <w:tcPr>
            <w:tcW w:w="1605" w:type="dxa"/>
            <w:vAlign w:val="center"/>
          </w:tcPr>
          <w:p w14:paraId="1D1BECE0">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65.066</w:t>
            </w:r>
          </w:p>
        </w:tc>
        <w:tc>
          <w:tcPr>
            <w:tcW w:w="1776" w:type="dxa"/>
            <w:vAlign w:val="center"/>
          </w:tcPr>
          <w:p w14:paraId="196A2820">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65.066</w:t>
            </w:r>
          </w:p>
        </w:tc>
        <w:tc>
          <w:tcPr>
            <w:tcW w:w="949" w:type="dxa"/>
            <w:vAlign w:val="center"/>
          </w:tcPr>
          <w:p w14:paraId="6775C322">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14:paraId="0C293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457" w:type="dxa"/>
            <w:vMerge w:val="continue"/>
            <w:vAlign w:val="center"/>
          </w:tcPr>
          <w:p w14:paraId="1F5141BB">
            <w:pPr>
              <w:pStyle w:val="66"/>
              <w:rPr>
                <w:snapToGrid w:val="0"/>
                <w:color w:val="000000" w:themeColor="text1"/>
                <w14:textFill>
                  <w14:solidFill>
                    <w14:schemeClr w14:val="tx1"/>
                  </w14:solidFill>
                </w14:textFill>
              </w:rPr>
            </w:pPr>
          </w:p>
        </w:tc>
        <w:tc>
          <w:tcPr>
            <w:tcW w:w="1307" w:type="dxa"/>
            <w:vAlign w:val="center"/>
          </w:tcPr>
          <w:p w14:paraId="27A5389D">
            <w:pPr>
              <w:pStyle w:val="66"/>
              <w:rPr>
                <w:rFonts w:hint="eastAsia"/>
                <w:color w:val="000000" w:themeColor="text1"/>
                <w14:textFill>
                  <w14:solidFill>
                    <w14:schemeClr w14:val="tx1"/>
                  </w14:solidFill>
                </w14:textFill>
              </w:rPr>
            </w:pPr>
            <w:r>
              <w:rPr>
                <w:rFonts w:hint="eastAsia"/>
                <w:lang w:val="en-US" w:eastAsia="zh-CN"/>
              </w:rPr>
              <w:t>废活性炭</w:t>
            </w:r>
          </w:p>
        </w:tc>
        <w:tc>
          <w:tcPr>
            <w:tcW w:w="1758" w:type="dxa"/>
            <w:vAlign w:val="center"/>
          </w:tcPr>
          <w:p w14:paraId="402667E0">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6.867</w:t>
            </w:r>
          </w:p>
        </w:tc>
        <w:tc>
          <w:tcPr>
            <w:tcW w:w="1184" w:type="dxa"/>
            <w:vAlign w:val="center"/>
          </w:tcPr>
          <w:p w14:paraId="4488AABC">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c>
          <w:tcPr>
            <w:tcW w:w="1552" w:type="dxa"/>
            <w:vAlign w:val="center"/>
          </w:tcPr>
          <w:p w14:paraId="3C9E545F">
            <w:pPr>
              <w:pStyle w:val="66"/>
              <w:rPr>
                <w:rFonts w:hint="eastAsia"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0</w:t>
            </w:r>
          </w:p>
        </w:tc>
        <w:tc>
          <w:tcPr>
            <w:tcW w:w="1428" w:type="dxa"/>
            <w:vAlign w:val="center"/>
          </w:tcPr>
          <w:p w14:paraId="4119D319">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18.26</w:t>
            </w:r>
          </w:p>
        </w:tc>
        <w:tc>
          <w:tcPr>
            <w:tcW w:w="1605" w:type="dxa"/>
            <w:vAlign w:val="center"/>
          </w:tcPr>
          <w:p w14:paraId="7B82435F">
            <w:pPr>
              <w:pStyle w:val="66"/>
              <w:rPr>
                <w:rFonts w:hint="default" w:eastAsia="宋体"/>
                <w:snapToGrid w:val="0"/>
                <w:color w:val="000000" w:themeColor="text1"/>
                <w:lang w:val="en-US" w:eastAsia="zh-CN"/>
                <w14:textFill>
                  <w14:solidFill>
                    <w14:schemeClr w14:val="tx1"/>
                  </w14:solidFill>
                </w14:textFill>
              </w:rPr>
            </w:pPr>
            <w:r>
              <w:rPr>
                <w:rFonts w:hint="eastAsia"/>
                <w:snapToGrid w:val="0"/>
                <w:color w:val="000000" w:themeColor="text1"/>
                <w:lang w:val="en-US" w:eastAsia="zh-CN"/>
                <w14:textFill>
                  <w14:solidFill>
                    <w14:schemeClr w14:val="tx1"/>
                  </w14:solidFill>
                </w14:textFill>
              </w:rPr>
              <w:t>6.867</w:t>
            </w:r>
          </w:p>
        </w:tc>
        <w:tc>
          <w:tcPr>
            <w:tcW w:w="1776" w:type="dxa"/>
            <w:vAlign w:val="center"/>
          </w:tcPr>
          <w:p w14:paraId="2A7C9BDF">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18.26</w:t>
            </w:r>
          </w:p>
        </w:tc>
        <w:tc>
          <w:tcPr>
            <w:tcW w:w="949" w:type="dxa"/>
            <w:vAlign w:val="center"/>
          </w:tcPr>
          <w:p w14:paraId="054B7127">
            <w:pPr>
              <w:pStyle w:val="66"/>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+11.393</w:t>
            </w:r>
          </w:p>
        </w:tc>
      </w:tr>
    </w:tbl>
    <w:p w14:paraId="0A1BCC8F"/>
    <w:p w14:paraId="5AA86AAA">
      <w:pPr>
        <w:sectPr>
          <w:pgSz w:w="15840" w:h="12240" w:orient="landscape"/>
          <w:pgMar w:top="1797" w:right="1440" w:bottom="1797" w:left="1440" w:header="720" w:footer="720" w:gutter="0"/>
          <w:cols w:space="425" w:num="1"/>
          <w:docGrid w:linePitch="312" w:charSpace="0"/>
        </w:sectPr>
      </w:pPr>
      <w:r>
        <w:rPr>
          <w:rFonts w:hint="eastAsia"/>
        </w:rPr>
        <w:t>注：⑥=①+③+④-⑤；⑦=⑥-①  单位：t/</w:t>
      </w:r>
      <w:r>
        <w:t>a</w:t>
      </w:r>
    </w:p>
    <w:p w14:paraId="09C2D07A">
      <w:pPr>
        <w:pStyle w:val="39"/>
        <w:spacing w:before="100" w:after="100"/>
        <w:outlineLvl w:val="0"/>
        <w:rPr>
          <w:rFonts w:hint="default" w:ascii="Times New Roman" w:hAnsi="Times New Roman"/>
          <w:b/>
          <w:sz w:val="21"/>
          <w:szCs w:val="21"/>
        </w:rPr>
      </w:pPr>
      <w:bookmarkStart w:id="21" w:name="_Toc2314"/>
      <w:r>
        <w:rPr>
          <w:rFonts w:hint="default" w:ascii="Times New Roman" w:hAnsi="Times New Roman"/>
          <w:b/>
          <w:sz w:val="21"/>
          <w:szCs w:val="21"/>
        </w:rPr>
        <w:t>附件</w:t>
      </w:r>
      <w:bookmarkEnd w:id="21"/>
    </w:p>
    <w:p w14:paraId="3AC11377">
      <w:pPr>
        <w:pStyle w:val="39"/>
        <w:spacing w:before="100" w:after="100"/>
        <w:outlineLvl w:val="0"/>
        <w:rPr>
          <w:rFonts w:ascii="Times New Roman" w:hAnsi="Times New Roman"/>
          <w:b/>
          <w:sz w:val="21"/>
          <w:szCs w:val="21"/>
        </w:rPr>
      </w:pPr>
      <w:bookmarkStart w:id="22" w:name="_Toc20922"/>
      <w:r>
        <w:rPr>
          <w:rFonts w:ascii="Times New Roman" w:hAnsi="Times New Roman"/>
          <w:b/>
          <w:sz w:val="21"/>
          <w:szCs w:val="21"/>
        </w:rPr>
        <w:t>附件1 项目工作委托书</w:t>
      </w:r>
      <w:bookmarkEnd w:id="22"/>
    </w:p>
    <w:p w14:paraId="1ED0FEAE">
      <w:pPr>
        <w:pStyle w:val="39"/>
        <w:spacing w:before="100" w:after="100"/>
        <w:outlineLvl w:val="9"/>
        <w:rPr>
          <w:rFonts w:hint="eastAsia" w:ascii="Times New Roman" w:hAnsi="Times New Roman" w:eastAsia="宋体"/>
          <w:b/>
          <w:sz w:val="21"/>
          <w:szCs w:val="21"/>
          <w:lang w:eastAsia="zh-CN"/>
        </w:rPr>
      </w:pPr>
      <w:r>
        <w:rPr>
          <w:rFonts w:hint="eastAsia" w:ascii="Times New Roman" w:hAnsi="Times New Roman" w:eastAsia="宋体"/>
          <w:b/>
          <w:sz w:val="21"/>
          <w:szCs w:val="21"/>
          <w:lang w:eastAsia="zh-CN"/>
        </w:rPr>
        <w:drawing>
          <wp:inline distT="0" distB="0" distL="114300" distR="114300">
            <wp:extent cx="4676140" cy="7052310"/>
            <wp:effectExtent l="0" t="0" r="10160" b="15240"/>
            <wp:docPr id="84" name="图片 84" descr="5f59003cc0ae737e107f2fa33059b9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5f59003cc0ae737e107f2fa33059b92c"/>
                    <pic:cNvPicPr>
                      <a:picLocks noChangeAspect="1"/>
                    </pic:cNvPicPr>
                  </pic:nvPicPr>
                  <pic:blipFill>
                    <a:blip r:embed="rId26"/>
                    <a:stretch>
                      <a:fillRect/>
                    </a:stretch>
                  </pic:blipFill>
                  <pic:spPr>
                    <a:xfrm>
                      <a:off x="0" y="0"/>
                      <a:ext cx="4676140" cy="7052310"/>
                    </a:xfrm>
                    <a:prstGeom prst="rect">
                      <a:avLst/>
                    </a:prstGeom>
                  </pic:spPr>
                </pic:pic>
              </a:graphicData>
            </a:graphic>
          </wp:inline>
        </w:drawing>
      </w:r>
    </w:p>
    <w:p w14:paraId="55E65E59">
      <w:pPr>
        <w:pStyle w:val="39"/>
        <w:spacing w:before="100" w:after="100"/>
        <w:outlineLvl w:val="0"/>
        <w:rPr>
          <w:rFonts w:hint="default" w:ascii="Times New Roman" w:hAnsi="Times New Roman"/>
          <w:b/>
          <w:sz w:val="21"/>
          <w:szCs w:val="21"/>
        </w:rPr>
        <w:sectPr>
          <w:footerReference r:id="rId5" w:type="default"/>
          <w:pgSz w:w="12240" w:h="15840"/>
          <w:pgMar w:top="1440" w:right="1797" w:bottom="1440" w:left="1797" w:header="720" w:footer="720" w:gutter="0"/>
          <w:cols w:space="425" w:num="1"/>
          <w:docGrid w:linePitch="312" w:charSpace="0"/>
        </w:sectPr>
      </w:pPr>
      <w:bookmarkStart w:id="23" w:name="_Toc17823"/>
      <w:r>
        <w:rPr>
          <w:b/>
          <w:sz w:val="21"/>
          <w:szCs w:val="21"/>
        </w:rPr>
        <w:t>附件2</w:t>
      </w:r>
      <w:r>
        <w:rPr>
          <w:rFonts w:hint="default"/>
          <w:b/>
          <w:sz w:val="21"/>
          <w:szCs w:val="21"/>
        </w:rPr>
        <w:t xml:space="preserve"> 监测报告（特征污染物）</w:t>
      </w:r>
      <w:r>
        <w:rPr>
          <w:rFonts w:hint="default"/>
          <w:b/>
          <w:sz w:val="21"/>
          <w:szCs w:val="21"/>
        </w:rPr>
        <w:drawing>
          <wp:inline distT="0" distB="0" distL="0" distR="0">
            <wp:extent cx="5486400" cy="7696835"/>
            <wp:effectExtent l="0" t="0" r="0" b="18415"/>
            <wp:docPr id="36" name="图片 36" descr="F:\微信文件\WeChat Files\wxid_jd3m5y2h7v8o22\FileStorage\Temp\1d8d501c10f9fd41368fc364a1791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F:\微信文件\WeChat Files\wxid_jd3m5y2h7v8o22\FileStorage\Temp\1d8d501c10f9fd41368fc364a17919d.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486400" cy="7696835"/>
                    </a:xfrm>
                    <a:prstGeom prst="rect">
                      <a:avLst/>
                    </a:prstGeom>
                    <a:noFill/>
                    <a:ln>
                      <a:noFill/>
                    </a:ln>
                  </pic:spPr>
                </pic:pic>
              </a:graphicData>
            </a:graphic>
          </wp:inline>
        </w:drawing>
      </w:r>
      <w:r>
        <w:rPr>
          <w:rFonts w:hint="default"/>
          <w:b/>
          <w:sz w:val="21"/>
          <w:szCs w:val="21"/>
        </w:rPr>
        <w:drawing>
          <wp:inline distT="0" distB="0" distL="0" distR="0">
            <wp:extent cx="5486400" cy="7458075"/>
            <wp:effectExtent l="0" t="0" r="0" b="9525"/>
            <wp:docPr id="64" name="图片 64" descr="F:\微信文件\WeChat Files\wxid_jd3m5y2h7v8o22\FileStorage\Temp\fb0ad806172261e2d284aedc6a1e3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F:\微信文件\WeChat Files\wxid_jd3m5y2h7v8o22\FileStorage\Temp\fb0ad806172261e2d284aedc6a1e3f8.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486400" cy="7458075"/>
                    </a:xfrm>
                    <a:prstGeom prst="rect">
                      <a:avLst/>
                    </a:prstGeom>
                    <a:noFill/>
                    <a:ln>
                      <a:noFill/>
                    </a:ln>
                  </pic:spPr>
                </pic:pic>
              </a:graphicData>
            </a:graphic>
          </wp:inline>
        </w:drawing>
      </w:r>
      <w:r>
        <w:rPr>
          <w:rFonts w:hint="default"/>
          <w:b/>
          <w:sz w:val="21"/>
          <w:szCs w:val="21"/>
        </w:rPr>
        <w:drawing>
          <wp:inline distT="0" distB="0" distL="0" distR="0">
            <wp:extent cx="5486400" cy="7832090"/>
            <wp:effectExtent l="0" t="0" r="0" b="16510"/>
            <wp:docPr id="67" name="图片 67" descr="F:\微信文件\WeChat Files\wxid_jd3m5y2h7v8o22\FileStorage\Temp\21b25ef3817e1315017adaef8fb96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F:\微信文件\WeChat Files\wxid_jd3m5y2h7v8o22\FileStorage\Temp\21b25ef3817e1315017adaef8fb96e3.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486400" cy="7832090"/>
                    </a:xfrm>
                    <a:prstGeom prst="rect">
                      <a:avLst/>
                    </a:prstGeom>
                    <a:noFill/>
                    <a:ln>
                      <a:noFill/>
                    </a:ln>
                  </pic:spPr>
                </pic:pic>
              </a:graphicData>
            </a:graphic>
          </wp:inline>
        </w:drawing>
      </w:r>
      <w:r>
        <w:rPr>
          <w:rFonts w:hint="default"/>
          <w:b/>
          <w:sz w:val="21"/>
          <w:szCs w:val="21"/>
        </w:rPr>
        <w:drawing>
          <wp:inline distT="0" distB="0" distL="0" distR="0">
            <wp:extent cx="5486400" cy="7529830"/>
            <wp:effectExtent l="0" t="0" r="0" b="13970"/>
            <wp:docPr id="68" name="图片 68" descr="F:\微信文件\WeChat Files\wxid_jd3m5y2h7v8o22\FileStorage\Temp\d11e90e55859591aa81a35273575a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F:\微信文件\WeChat Files\wxid_jd3m5y2h7v8o22\FileStorage\Temp\d11e90e55859591aa81a35273575a1e.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486400" cy="7529830"/>
                    </a:xfrm>
                    <a:prstGeom prst="rect">
                      <a:avLst/>
                    </a:prstGeom>
                    <a:noFill/>
                    <a:ln>
                      <a:noFill/>
                    </a:ln>
                  </pic:spPr>
                </pic:pic>
              </a:graphicData>
            </a:graphic>
          </wp:inline>
        </w:drawing>
      </w:r>
      <w:r>
        <w:rPr>
          <w:rFonts w:hint="default"/>
          <w:b/>
          <w:sz w:val="21"/>
          <w:szCs w:val="21"/>
        </w:rPr>
        <w:drawing>
          <wp:inline distT="0" distB="0" distL="0" distR="0">
            <wp:extent cx="5486400" cy="7792085"/>
            <wp:effectExtent l="0" t="0" r="0" b="18415"/>
            <wp:docPr id="69" name="图片 69" descr="F:\微信文件\WeChat Files\wxid_jd3m5y2h7v8o22\FileStorage\Temp\ad48f1c5d523907e46a3a3cf156ad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F:\微信文件\WeChat Files\wxid_jd3m5y2h7v8o22\FileStorage\Temp\ad48f1c5d523907e46a3a3cf156adb9.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486400" cy="7792085"/>
                    </a:xfrm>
                    <a:prstGeom prst="rect">
                      <a:avLst/>
                    </a:prstGeom>
                    <a:noFill/>
                    <a:ln>
                      <a:noFill/>
                    </a:ln>
                  </pic:spPr>
                </pic:pic>
              </a:graphicData>
            </a:graphic>
          </wp:inline>
        </w:drawing>
      </w:r>
      <w:r>
        <w:rPr>
          <w:rFonts w:hint="default"/>
          <w:b/>
          <w:sz w:val="21"/>
          <w:szCs w:val="21"/>
        </w:rPr>
        <w:drawing>
          <wp:inline distT="0" distB="0" distL="0" distR="0">
            <wp:extent cx="5486400" cy="7426325"/>
            <wp:effectExtent l="0" t="0" r="0" b="3175"/>
            <wp:docPr id="70" name="图片 70" descr="F:\微信文件\WeChat Files\wxid_jd3m5y2h7v8o22\FileStorage\Temp\b8f30811f327406a7b03a2ff7eadb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F:\微信文件\WeChat Files\wxid_jd3m5y2h7v8o22\FileStorage\Temp\b8f30811f327406a7b03a2ff7eadbc6.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486400" cy="7426325"/>
                    </a:xfrm>
                    <a:prstGeom prst="rect">
                      <a:avLst/>
                    </a:prstGeom>
                    <a:noFill/>
                    <a:ln>
                      <a:noFill/>
                    </a:ln>
                  </pic:spPr>
                </pic:pic>
              </a:graphicData>
            </a:graphic>
          </wp:inline>
        </w:drawing>
      </w:r>
      <w:bookmarkEnd w:id="23"/>
    </w:p>
    <w:p w14:paraId="083A891E">
      <w:pPr>
        <w:pStyle w:val="39"/>
        <w:outlineLvl w:val="0"/>
        <w:rPr>
          <w:rFonts w:hint="eastAsia" w:eastAsia="宋体"/>
          <w:b/>
          <w:sz w:val="21"/>
          <w:szCs w:val="21"/>
          <w:lang w:eastAsia="zh-CN"/>
        </w:rPr>
      </w:pPr>
      <w:bookmarkStart w:id="24" w:name="_Toc8454"/>
      <w:r>
        <w:rPr>
          <w:rFonts w:hint="default"/>
          <w:b/>
          <w:sz w:val="21"/>
          <w:szCs w:val="21"/>
        </w:rPr>
        <w:t>附件</w:t>
      </w:r>
      <w:r>
        <w:rPr>
          <w:b/>
          <w:sz w:val="21"/>
          <w:szCs w:val="21"/>
        </w:rPr>
        <w:t>3 建设单位营业执照</w:t>
      </w:r>
      <w:bookmarkEnd w:id="24"/>
      <w:r>
        <w:rPr>
          <w:rFonts w:hint="eastAsia" w:eastAsia="宋体"/>
          <w:b/>
          <w:sz w:val="21"/>
          <w:szCs w:val="21"/>
          <w:lang w:eastAsia="zh-CN"/>
        </w:rPr>
        <w:drawing>
          <wp:inline distT="0" distB="0" distL="114300" distR="114300">
            <wp:extent cx="5478145" cy="3983355"/>
            <wp:effectExtent l="0" t="0" r="8255" b="17145"/>
            <wp:docPr id="74" name="图片 74" descr="e4e3677085251da6c31dc2dcd26d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e4e3677085251da6c31dc2dcd26d4179"/>
                    <pic:cNvPicPr>
                      <a:picLocks noChangeAspect="1"/>
                    </pic:cNvPicPr>
                  </pic:nvPicPr>
                  <pic:blipFill>
                    <a:blip r:embed="rId33"/>
                    <a:stretch>
                      <a:fillRect/>
                    </a:stretch>
                  </pic:blipFill>
                  <pic:spPr>
                    <a:xfrm>
                      <a:off x="0" y="0"/>
                      <a:ext cx="5478145" cy="3983355"/>
                    </a:xfrm>
                    <a:prstGeom prst="rect">
                      <a:avLst/>
                    </a:prstGeom>
                  </pic:spPr>
                </pic:pic>
              </a:graphicData>
            </a:graphic>
          </wp:inline>
        </w:drawing>
      </w:r>
    </w:p>
    <w:p w14:paraId="472D1C69">
      <w:pPr>
        <w:pStyle w:val="39"/>
        <w:spacing w:before="100" w:after="100"/>
        <w:outlineLvl w:val="0"/>
        <w:rPr>
          <w:rFonts w:hint="default" w:ascii="Times New Roman" w:hAnsi="Times New Roman"/>
          <w:sz w:val="21"/>
          <w:szCs w:val="21"/>
        </w:rPr>
        <w:sectPr>
          <w:pgSz w:w="12240" w:h="15840"/>
          <w:pgMar w:top="1440" w:right="1797" w:bottom="1440" w:left="1797" w:header="720" w:footer="720" w:gutter="0"/>
          <w:cols w:space="425" w:num="1"/>
          <w:docGrid w:linePitch="312" w:charSpace="0"/>
        </w:sectPr>
      </w:pPr>
      <w:bookmarkStart w:id="25" w:name="_Toc18112"/>
      <w:r>
        <w:rPr>
          <w:sz w:val="21"/>
        </w:rPr>
        <mc:AlternateContent>
          <mc:Choice Requires="wps">
            <w:drawing>
              <wp:anchor distT="0" distB="0" distL="114300" distR="114300" simplePos="0" relativeHeight="251734016" behindDoc="0" locked="0" layoutInCell="1" allowOverlap="1">
                <wp:simplePos x="0" y="0"/>
                <wp:positionH relativeFrom="column">
                  <wp:posOffset>755650</wp:posOffset>
                </wp:positionH>
                <wp:positionV relativeFrom="paragraph">
                  <wp:posOffset>1733550</wp:posOffset>
                </wp:positionV>
                <wp:extent cx="4584700" cy="5511800"/>
                <wp:effectExtent l="6350" t="6350" r="19050" b="6350"/>
                <wp:wrapNone/>
                <wp:docPr id="90" name="矩形 90"/>
                <wp:cNvGraphicFramePr/>
                <a:graphic xmlns:a="http://schemas.openxmlformats.org/drawingml/2006/main">
                  <a:graphicData uri="http://schemas.microsoft.com/office/word/2010/wordprocessingShape">
                    <wps:wsp>
                      <wps:cNvSpPr/>
                      <wps:spPr>
                        <a:xfrm>
                          <a:off x="1896745" y="2343150"/>
                          <a:ext cx="4584700" cy="551180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9.5pt;margin-top:136.5pt;height:434pt;width:361pt;z-index:251734016;v-text-anchor:middle;mso-width-relative:page;mso-height-relative:page;" fillcolor="#FFFFFF [3212]" filled="t" stroked="t" coordsize="21600,21600" o:gfxdata="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BFDcy7VAAAADAEAAA8AAAAAAAAAAQAgAAAAIgAAAGRycy9k&#10;b3ducmV2LnhtbFBLAQIUABQAAAAIAIdO4kALhfCDdwIAAAMFAAAOAAAAAAAAAAEAIAAAACQBAABk&#10;cnMvZTJvRG9jLnhtbFBLBQYAAAAABgAGAFkBAAANBgAAAAA=&#10;">
                <v:fill on="t" focussize="0,0"/>
                <v:stroke weight="1pt" color="#FFFFFF [3212]" miterlimit="8" joinstyle="miter"/>
                <v:imagedata o:title=""/>
                <o:lock v:ext="edit" aspectratio="f"/>
              </v:rect>
            </w:pict>
          </mc:Fallback>
        </mc:AlternateContent>
      </w:r>
      <w:r>
        <w:rPr>
          <w:rFonts w:hint="default" w:ascii="Times New Roman" w:hAnsi="Times New Roman"/>
          <w:b/>
          <w:sz w:val="21"/>
          <w:szCs w:val="21"/>
        </w:rPr>
        <w:t>附件</w:t>
      </w:r>
      <w:r>
        <w:rPr>
          <w:rFonts w:hint="eastAsia" w:ascii="Times New Roman" w:hAnsi="Times New Roman"/>
          <w:b/>
          <w:sz w:val="21"/>
          <w:szCs w:val="21"/>
          <w:lang w:val="en-US" w:eastAsia="zh-CN"/>
        </w:rPr>
        <w:t>4</w:t>
      </w:r>
      <w:r>
        <w:rPr>
          <w:rFonts w:hint="default" w:ascii="Times New Roman" w:hAnsi="Times New Roman"/>
          <w:b/>
          <w:sz w:val="21"/>
          <w:szCs w:val="21"/>
        </w:rPr>
        <w:t xml:space="preserve"> 租赁合同</w:t>
      </w:r>
      <w:r>
        <w:rPr>
          <w:rFonts w:hint="default"/>
        </w:rPr>
        <w:drawing>
          <wp:inline distT="0" distB="0" distL="0" distR="0">
            <wp:extent cx="5486400" cy="7301865"/>
            <wp:effectExtent l="0" t="0" r="0" b="13335"/>
            <wp:docPr id="97" name="图片 97" descr="F:\微信文件\WeChat Files\wxid_jd3m5y2h7v8o22\FileStorage\Temp\b8dd0631b9766dcae086c6c6f7ccf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F:\微信文件\WeChat Files\wxid_jd3m5y2h7v8o22\FileStorage\Temp\b8dd0631b9766dcae086c6c6f7ccfdc.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486400" cy="7301865"/>
                    </a:xfrm>
                    <a:prstGeom prst="rect">
                      <a:avLst/>
                    </a:prstGeom>
                    <a:noFill/>
                    <a:ln>
                      <a:noFill/>
                    </a:ln>
                  </pic:spPr>
                </pic:pic>
              </a:graphicData>
            </a:graphic>
          </wp:inline>
        </w:drawing>
      </w:r>
      <w:r>
        <w:rPr>
          <w:sz w:val="24"/>
        </w:rPr>
        <mc:AlternateContent>
          <mc:Choice Requires="wps">
            <w:drawing>
              <wp:anchor distT="0" distB="0" distL="114300" distR="114300" simplePos="0" relativeHeight="251735040" behindDoc="0" locked="0" layoutInCell="1" allowOverlap="1">
                <wp:simplePos x="0" y="0"/>
                <wp:positionH relativeFrom="column">
                  <wp:posOffset>692150</wp:posOffset>
                </wp:positionH>
                <wp:positionV relativeFrom="paragraph">
                  <wp:posOffset>429895</wp:posOffset>
                </wp:positionV>
                <wp:extent cx="5092700" cy="4248150"/>
                <wp:effectExtent l="6350" t="6350" r="6350" b="12700"/>
                <wp:wrapNone/>
                <wp:docPr id="91" name="矩形 91"/>
                <wp:cNvGraphicFramePr/>
                <a:graphic xmlns:a="http://schemas.openxmlformats.org/drawingml/2006/main">
                  <a:graphicData uri="http://schemas.microsoft.com/office/word/2010/wordprocessingShape">
                    <wps:wsp>
                      <wps:cNvSpPr/>
                      <wps:spPr>
                        <a:xfrm>
                          <a:off x="1833245" y="1344295"/>
                          <a:ext cx="5092700" cy="424815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5pt;margin-top:33.85pt;height:334.5pt;width:401pt;z-index:251735040;v-text-anchor:middle;mso-width-relative:page;mso-height-relative:page;" fillcolor="#FFFFFF [3212]" filled="t" stroked="t" coordsize="21600,21600" o:gfxdata="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Kd27y/YAAAACgEAAA8AAAAAAAAAAQAgAAAAIgAAAGRy&#10;cy9kb3ducmV2LnhtbFBLAQIUABQAAAAIAIdO4kB98W9jdwIAAAMFAAAOAAAAAAAAAAEAIAAAACcB&#10;AABkcnMvZTJvRG9jLnhtbFBLBQYAAAAABgAGAFkBAAAQBgAAAAA=&#10;">
                <v:fill on="t" focussize="0,0"/>
                <v:stroke weight="1pt" color="#FFFFFF [3212]" miterlimit="8" joinstyle="miter"/>
                <v:imagedata o:title=""/>
                <o:lock v:ext="edit" aspectratio="f"/>
              </v:rect>
            </w:pict>
          </mc:Fallback>
        </mc:AlternateContent>
      </w:r>
      <w:r>
        <w:rPr>
          <w:rFonts w:hint="default"/>
        </w:rPr>
        <w:drawing>
          <wp:inline distT="0" distB="0" distL="0" distR="0">
            <wp:extent cx="5486400" cy="7404100"/>
            <wp:effectExtent l="0" t="0" r="0" b="6350"/>
            <wp:docPr id="105" name="图片 105" descr="F:\微信文件\WeChat Files\wxid_jd3m5y2h7v8o22\FileStorage\Temp\8b6c51e857c2b1a1aaa3c84122216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F:\微信文件\WeChat Files\wxid_jd3m5y2h7v8o22\FileStorage\Temp\8b6c51e857c2b1a1aaa3c8412221676.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486400" cy="7404100"/>
                    </a:xfrm>
                    <a:prstGeom prst="rect">
                      <a:avLst/>
                    </a:prstGeom>
                    <a:noFill/>
                    <a:ln>
                      <a:noFill/>
                    </a:ln>
                  </pic:spPr>
                </pic:pic>
              </a:graphicData>
            </a:graphic>
          </wp:inline>
        </w:drawing>
      </w:r>
      <w:r>
        <w:rPr>
          <w:rFonts w:hint="default"/>
        </w:rPr>
        <w:drawing>
          <wp:inline distT="0" distB="0" distL="0" distR="0">
            <wp:extent cx="5486400" cy="7131050"/>
            <wp:effectExtent l="0" t="0" r="0" b="12700"/>
            <wp:docPr id="106" name="图片 106" descr="F:\微信文件\WeChat Files\wxid_jd3m5y2h7v8o22\FileStorage\Temp\45c891a3a3911335c6f000924a19f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F:\微信文件\WeChat Files\wxid_jd3m5y2h7v8o22\FileStorage\Temp\45c891a3a3911335c6f000924a19f9b.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486400" cy="7131050"/>
                    </a:xfrm>
                    <a:prstGeom prst="rect">
                      <a:avLst/>
                    </a:prstGeom>
                    <a:noFill/>
                    <a:ln>
                      <a:noFill/>
                    </a:ln>
                  </pic:spPr>
                </pic:pic>
              </a:graphicData>
            </a:graphic>
          </wp:inline>
        </w:drawing>
      </w:r>
      <w:r>
        <w:rPr>
          <w:sz w:val="24"/>
        </w:rPr>
        <mc:AlternateContent>
          <mc:Choice Requires="wps">
            <w:drawing>
              <wp:anchor distT="0" distB="0" distL="114300" distR="114300" simplePos="0" relativeHeight="251736064" behindDoc="0" locked="0" layoutInCell="1" allowOverlap="1">
                <wp:simplePos x="0" y="0"/>
                <wp:positionH relativeFrom="column">
                  <wp:posOffset>558800</wp:posOffset>
                </wp:positionH>
                <wp:positionV relativeFrom="paragraph">
                  <wp:posOffset>2769235</wp:posOffset>
                </wp:positionV>
                <wp:extent cx="4146550" cy="3714750"/>
                <wp:effectExtent l="6350" t="6350" r="19050" b="12700"/>
                <wp:wrapNone/>
                <wp:docPr id="92" name="矩形 92"/>
                <wp:cNvGraphicFramePr/>
                <a:graphic xmlns:a="http://schemas.openxmlformats.org/drawingml/2006/main">
                  <a:graphicData uri="http://schemas.microsoft.com/office/word/2010/wordprocessingShape">
                    <wps:wsp>
                      <wps:cNvSpPr/>
                      <wps:spPr>
                        <a:xfrm>
                          <a:off x="1699895" y="3683635"/>
                          <a:ext cx="4146550" cy="3714750"/>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pt;margin-top:218.05pt;height:292.5pt;width:326.5pt;z-index:251736064;v-text-anchor:middle;mso-width-relative:page;mso-height-relative:page;" fillcolor="#FFFFFF [3212]" filled="t" stroked="t" coordsize="21600,21600" o:gfxdata="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EiFfzjYAAAACwEAAA8AAAAAAAAAAQAgAAAAIgAAAGRy&#10;cy9kb3ducmV2LnhtbFBLAQIUABQAAAAIAIdO4kDNtfU2dwIAAAMFAAAOAAAAAAAAAAEAIAAAACcB&#10;AABkcnMvZTJvRG9jLnhtbFBLBQYAAAAABgAGAFkBAAAQBgAAAAA=&#10;">
                <v:fill on="t" focussize="0,0"/>
                <v:stroke weight="1pt" color="#FFFFFF [3212]" miterlimit="8" joinstyle="miter"/>
                <v:imagedata o:title=""/>
                <o:lock v:ext="edit" aspectratio="f"/>
              </v:rect>
            </w:pict>
          </mc:Fallback>
        </mc:AlternateContent>
      </w:r>
      <w:r>
        <w:rPr>
          <w:rFonts w:hint="default"/>
        </w:rPr>
        <w:drawing>
          <wp:inline distT="0" distB="0" distL="0" distR="0">
            <wp:extent cx="5486400" cy="7144385"/>
            <wp:effectExtent l="0" t="0" r="0" b="18415"/>
            <wp:docPr id="107" name="图片 107" descr="F:\微信文件\WeChat Files\wxid_jd3m5y2h7v8o22\FileStorage\Temp\6e330da0baba13401c35e6368ee52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F:\微信文件\WeChat Files\wxid_jd3m5y2h7v8o22\FileStorage\Temp\6e330da0baba13401c35e6368ee52d1.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486400" cy="7144385"/>
                    </a:xfrm>
                    <a:prstGeom prst="rect">
                      <a:avLst/>
                    </a:prstGeom>
                    <a:noFill/>
                    <a:ln>
                      <a:noFill/>
                    </a:ln>
                  </pic:spPr>
                </pic:pic>
              </a:graphicData>
            </a:graphic>
          </wp:inline>
        </w:drawing>
      </w:r>
      <w:bookmarkEnd w:id="25"/>
    </w:p>
    <w:p w14:paraId="0A12A99D">
      <w:pPr>
        <w:pStyle w:val="39"/>
        <w:spacing w:before="100" w:after="100"/>
        <w:outlineLvl w:val="0"/>
        <w:rPr>
          <w:rFonts w:hint="default"/>
          <w:b/>
          <w:sz w:val="21"/>
          <w:szCs w:val="21"/>
        </w:rPr>
      </w:pPr>
      <w:bookmarkStart w:id="26" w:name="_Toc22068"/>
      <w:r>
        <w:rPr>
          <w:rFonts w:hint="default"/>
          <w:b/>
          <w:sz w:val="21"/>
          <w:szCs w:val="21"/>
        </w:rPr>
        <w:t>附件</w:t>
      </w:r>
      <w:r>
        <w:rPr>
          <w:b/>
          <w:sz w:val="21"/>
          <w:szCs w:val="21"/>
        </w:rPr>
        <w:t>5</w:t>
      </w:r>
      <w:r>
        <w:rPr>
          <w:rFonts w:hint="default"/>
          <w:b/>
          <w:sz w:val="21"/>
          <w:szCs w:val="21"/>
        </w:rPr>
        <w:t xml:space="preserve"> 原环评批复文件</w:t>
      </w:r>
      <w:r>
        <w:rPr>
          <w:rFonts w:hint="default"/>
          <w:b/>
          <w:sz w:val="21"/>
          <w:szCs w:val="21"/>
        </w:rPr>
        <w:drawing>
          <wp:inline distT="0" distB="0" distL="0" distR="0">
            <wp:extent cx="5486400" cy="7663815"/>
            <wp:effectExtent l="0" t="0" r="0" b="0"/>
            <wp:docPr id="2" name="图片 2" descr="F:\微信文件\WeChat Files\wxid_jd3m5y2h7v8o22\FileStorage\Temp\682df19aee835992c8d6b3f82e49d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微信文件\WeChat Files\wxid_jd3m5y2h7v8o22\FileStorage\Temp\682df19aee835992c8d6b3f82e49d57.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486400" cy="7663815"/>
                    </a:xfrm>
                    <a:prstGeom prst="rect">
                      <a:avLst/>
                    </a:prstGeom>
                    <a:noFill/>
                    <a:ln>
                      <a:noFill/>
                    </a:ln>
                  </pic:spPr>
                </pic:pic>
              </a:graphicData>
            </a:graphic>
          </wp:inline>
        </w:drawing>
      </w:r>
      <w:r>
        <w:rPr>
          <w:rFonts w:hint="default"/>
          <w:b/>
          <w:sz w:val="21"/>
          <w:szCs w:val="21"/>
        </w:rPr>
        <w:drawing>
          <wp:inline distT="0" distB="0" distL="0" distR="0">
            <wp:extent cx="5486400" cy="7341870"/>
            <wp:effectExtent l="0" t="0" r="0" b="0"/>
            <wp:docPr id="3" name="图片 3" descr="F:\微信文件\WeChat Files\wxid_jd3m5y2h7v8o22\FileStorage\Temp\37892128745255505a354f55f7936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微信文件\WeChat Files\wxid_jd3m5y2h7v8o22\FileStorage\Temp\37892128745255505a354f55f7936d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486400" cy="7341870"/>
                    </a:xfrm>
                    <a:prstGeom prst="rect">
                      <a:avLst/>
                    </a:prstGeom>
                    <a:noFill/>
                    <a:ln>
                      <a:noFill/>
                    </a:ln>
                  </pic:spPr>
                </pic:pic>
              </a:graphicData>
            </a:graphic>
          </wp:inline>
        </w:drawing>
      </w:r>
      <w:r>
        <w:rPr>
          <w:rFonts w:hint="default"/>
          <w:b/>
          <w:sz w:val="21"/>
          <w:szCs w:val="21"/>
        </w:rPr>
        <w:drawing>
          <wp:inline distT="0" distB="0" distL="0" distR="0">
            <wp:extent cx="5486400" cy="7669530"/>
            <wp:effectExtent l="0" t="0" r="0" b="7620"/>
            <wp:docPr id="4" name="图片 4" descr="F:\微信文件\WeChat Files\wxid_jd3m5y2h7v8o22\FileStorage\Temp\5898f5a2307843a4851eb0c49e4f8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微信文件\WeChat Files\wxid_jd3m5y2h7v8o22\FileStorage\Temp\5898f5a2307843a4851eb0c49e4f878.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486400" cy="7669530"/>
                    </a:xfrm>
                    <a:prstGeom prst="rect">
                      <a:avLst/>
                    </a:prstGeom>
                    <a:noFill/>
                    <a:ln>
                      <a:noFill/>
                    </a:ln>
                  </pic:spPr>
                </pic:pic>
              </a:graphicData>
            </a:graphic>
          </wp:inline>
        </w:drawing>
      </w:r>
      <w:r>
        <w:rPr>
          <w:rFonts w:hint="default"/>
          <w:b/>
          <w:sz w:val="21"/>
          <w:szCs w:val="21"/>
        </w:rPr>
        <w:drawing>
          <wp:inline distT="0" distB="0" distL="0" distR="0">
            <wp:extent cx="5491480" cy="7785735"/>
            <wp:effectExtent l="0" t="0" r="0" b="5715"/>
            <wp:docPr id="8" name="图片 8" descr="F:\微信文件\WeChat Files\wxid_jd3m5y2h7v8o22\FileStorage\Temp\8a997dbf30eea71718d98ff699e48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微信文件\WeChat Files\wxid_jd3m5y2h7v8o22\FileStorage\Temp\8a997dbf30eea71718d98ff699e48cf.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491480" cy="7785735"/>
                    </a:xfrm>
                    <a:prstGeom prst="rect">
                      <a:avLst/>
                    </a:prstGeom>
                    <a:noFill/>
                    <a:ln>
                      <a:noFill/>
                    </a:ln>
                  </pic:spPr>
                </pic:pic>
              </a:graphicData>
            </a:graphic>
          </wp:inline>
        </w:drawing>
      </w:r>
      <w:bookmarkEnd w:id="26"/>
    </w:p>
    <w:p w14:paraId="3CB17F7A">
      <w:pPr>
        <w:pStyle w:val="39"/>
        <w:spacing w:before="100" w:after="100"/>
        <w:jc w:val="center"/>
        <w:outlineLvl w:val="0"/>
        <w:rPr>
          <w:rFonts w:hint="default" w:ascii="Times New Roman" w:hAnsi="Times New Roman"/>
          <w:b/>
          <w:sz w:val="21"/>
          <w:szCs w:val="21"/>
        </w:rPr>
        <w:sectPr>
          <w:pgSz w:w="12240" w:h="15840"/>
          <w:pgMar w:top="1440" w:right="1797" w:bottom="1440" w:left="1797" w:header="720" w:footer="720" w:gutter="0"/>
          <w:cols w:space="425" w:num="1"/>
          <w:docGrid w:linePitch="312" w:charSpace="0"/>
        </w:sectPr>
      </w:pPr>
    </w:p>
    <w:p w14:paraId="50D61986">
      <w:pPr>
        <w:pStyle w:val="39"/>
        <w:spacing w:before="100" w:after="100"/>
        <w:outlineLvl w:val="0"/>
        <w:rPr>
          <w:rFonts w:hint="default"/>
          <w:b/>
          <w:sz w:val="21"/>
          <w:szCs w:val="21"/>
        </w:rPr>
      </w:pPr>
      <w:bookmarkStart w:id="27" w:name="_Toc27810"/>
      <w:r>
        <w:rPr>
          <w:sz w:val="21"/>
        </w:rPr>
        <mc:AlternateContent>
          <mc:Choice Requires="wps">
            <w:drawing>
              <wp:anchor distT="0" distB="0" distL="114300" distR="114300" simplePos="0" relativeHeight="251737088" behindDoc="0" locked="0" layoutInCell="1" allowOverlap="1">
                <wp:simplePos x="0" y="0"/>
                <wp:positionH relativeFrom="column">
                  <wp:posOffset>609600</wp:posOffset>
                </wp:positionH>
                <wp:positionV relativeFrom="paragraph">
                  <wp:posOffset>2469515</wp:posOffset>
                </wp:positionV>
                <wp:extent cx="4025900" cy="3759835"/>
                <wp:effectExtent l="6350" t="6350" r="6350" b="24765"/>
                <wp:wrapNone/>
                <wp:docPr id="93" name="矩形 93"/>
                <wp:cNvGraphicFramePr/>
                <a:graphic xmlns:a="http://schemas.openxmlformats.org/drawingml/2006/main">
                  <a:graphicData uri="http://schemas.microsoft.com/office/word/2010/wordprocessingShape">
                    <wps:wsp>
                      <wps:cNvSpPr/>
                      <wps:spPr>
                        <a:xfrm>
                          <a:off x="1750695" y="3035300"/>
                          <a:ext cx="4025900" cy="3759835"/>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pt;margin-top:194.45pt;height:296.05pt;width:317pt;z-index:251737088;v-text-anchor:middle;mso-width-relative:page;mso-height-relative:page;" fillcolor="#FFFFFF [3212]" filled="t" stroked="t" coordsize="21600,21600" o:gfxdata="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&#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ENOk+2AAAAAoBAAAPAAAAAAAAAAEAIAAAACIAAABk&#10;cnMvZG93bnJldi54bWxQSwECFAAUAAAACACHTuJAgZYnV3gCAAADBQAADgAAAAAAAAABACAAAAAn&#10;AQAAZHJzL2Uyb0RvYy54bWxQSwUGAAAAAAYABgBZAQAAEQYAAAAA&#10;">
                <v:fill on="t" focussize="0,0"/>
                <v:stroke weight="1pt" color="#FFFFFF [3212]" miterlimit="8" joinstyle="miter"/>
                <v:imagedata o:title=""/>
                <o:lock v:ext="edit" aspectratio="f"/>
              </v:rect>
            </w:pict>
          </mc:Fallback>
        </mc:AlternateContent>
      </w:r>
      <w:r>
        <w:rPr>
          <w:rFonts w:hint="default"/>
          <w:b/>
          <w:sz w:val="21"/>
          <w:szCs w:val="21"/>
        </w:rPr>
        <w:t>附件</w:t>
      </w:r>
      <w:r>
        <w:rPr>
          <w:b/>
          <w:sz w:val="21"/>
          <w:szCs w:val="21"/>
        </w:rPr>
        <w:t>6</w:t>
      </w:r>
      <w:r>
        <w:rPr>
          <w:rFonts w:hint="default"/>
          <w:b/>
          <w:sz w:val="21"/>
          <w:szCs w:val="21"/>
        </w:rPr>
        <w:t xml:space="preserve"> 法人身份证</w:t>
      </w:r>
      <w:r>
        <w:rPr>
          <w:rFonts w:hint="default"/>
        </w:rPr>
        <w:drawing>
          <wp:inline distT="0" distB="0" distL="0" distR="0">
            <wp:extent cx="5479415" cy="7540625"/>
            <wp:effectExtent l="0" t="0" r="6985" b="3175"/>
            <wp:docPr id="108" name="图片 108" descr="F:\微信文件\WeChat Files\wxid_jd3m5y2h7v8o22\FileStorage\Temp\db4e02030fa481e9e0a758ffb67be9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F:\微信文件\WeChat Files\wxid_jd3m5y2h7v8o22\FileStorage\Temp\db4e02030fa481e9e0a758ffb67be94.b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479415" cy="7540625"/>
                    </a:xfrm>
                    <a:prstGeom prst="rect">
                      <a:avLst/>
                    </a:prstGeom>
                    <a:noFill/>
                    <a:ln>
                      <a:noFill/>
                    </a:ln>
                  </pic:spPr>
                </pic:pic>
              </a:graphicData>
            </a:graphic>
          </wp:inline>
        </w:drawing>
      </w:r>
      <w:bookmarkEnd w:id="27"/>
    </w:p>
    <w:p w14:paraId="0B30A8E6">
      <w:pPr>
        <w:pStyle w:val="39"/>
        <w:spacing w:before="100" w:after="100"/>
        <w:jc w:val="center"/>
        <w:outlineLvl w:val="0"/>
        <w:rPr>
          <w:rFonts w:hint="default" w:ascii="Times New Roman" w:hAnsi="Times New Roman"/>
          <w:b/>
          <w:sz w:val="21"/>
          <w:szCs w:val="21"/>
        </w:rPr>
        <w:sectPr>
          <w:pgSz w:w="12240" w:h="15840"/>
          <w:pgMar w:top="1440" w:right="1797" w:bottom="1440" w:left="1797" w:header="720" w:footer="720" w:gutter="0"/>
          <w:cols w:space="425" w:num="1"/>
          <w:docGrid w:linePitch="312" w:charSpace="0"/>
        </w:sectPr>
      </w:pPr>
    </w:p>
    <w:p w14:paraId="5D9650EF">
      <w:pPr>
        <w:pStyle w:val="39"/>
        <w:spacing w:before="100" w:after="100"/>
        <w:outlineLvl w:val="0"/>
        <w:rPr>
          <w:rFonts w:hint="default"/>
        </w:rPr>
      </w:pPr>
      <w:bookmarkStart w:id="28" w:name="_Toc18152"/>
      <w:r>
        <w:rPr>
          <w:rFonts w:hint="default"/>
          <w:b/>
          <w:sz w:val="21"/>
          <w:szCs w:val="21"/>
        </w:rPr>
        <w:t>附件</w:t>
      </w:r>
      <w:r>
        <w:rPr>
          <w:b/>
          <w:sz w:val="21"/>
          <w:szCs w:val="21"/>
        </w:rPr>
        <w:t>7</w:t>
      </w:r>
      <w:r>
        <w:rPr>
          <w:rFonts w:hint="default"/>
          <w:b/>
          <w:sz w:val="21"/>
          <w:szCs w:val="21"/>
        </w:rPr>
        <w:t xml:space="preserve"> 面漆检测报告</w:t>
      </w:r>
      <w:r>
        <w:rPr>
          <w:rFonts w:hint="default"/>
        </w:rPr>
        <w:drawing>
          <wp:inline distT="0" distB="0" distL="0" distR="0">
            <wp:extent cx="5487035" cy="777303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487035" cy="7773035"/>
                    </a:xfrm>
                    <a:prstGeom prst="rect">
                      <a:avLst/>
                    </a:prstGeom>
                    <a:noFill/>
                  </pic:spPr>
                </pic:pic>
              </a:graphicData>
            </a:graphic>
          </wp:inline>
        </w:drawing>
      </w:r>
      <w:r>
        <w:t xml:space="preserve"> </w:t>
      </w:r>
      <w:r>
        <w:drawing>
          <wp:inline distT="0" distB="0" distL="0" distR="0">
            <wp:extent cx="5486400" cy="7781925"/>
            <wp:effectExtent l="0" t="0" r="0" b="9525"/>
            <wp:docPr id="80" name="图片 80" descr="C:\Users\pxe\AppData\Local\Temp\360zip$Temp\360$16\W202210211 ACROLON 891E VOC(1)_01.jpg"/>
            <wp:cNvGraphicFramePr/>
            <a:graphic xmlns:a="http://schemas.openxmlformats.org/drawingml/2006/main">
              <a:graphicData uri="http://schemas.openxmlformats.org/drawingml/2006/picture">
                <pic:pic xmlns:pic="http://schemas.openxmlformats.org/drawingml/2006/picture">
                  <pic:nvPicPr>
                    <pic:cNvPr id="80" name="图片 80" descr="C:\Users\pxe\AppData\Local\Temp\360zip$Temp\360$16\W202210211 ACROLON 891E VOC(1)_01.jpg"/>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486400" cy="7781925"/>
                    </a:xfrm>
                    <a:prstGeom prst="rect">
                      <a:avLst/>
                    </a:prstGeom>
                    <a:noFill/>
                    <a:ln>
                      <a:noFill/>
                    </a:ln>
                  </pic:spPr>
                </pic:pic>
              </a:graphicData>
            </a:graphic>
          </wp:inline>
        </w:drawing>
      </w:r>
      <w:r>
        <w:rPr>
          <w:rFonts w:hint="default"/>
        </w:rPr>
        <w:drawing>
          <wp:inline distT="0" distB="0" distL="0" distR="0">
            <wp:extent cx="5487035" cy="776097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487035" cy="7760970"/>
                    </a:xfrm>
                    <a:prstGeom prst="rect">
                      <a:avLst/>
                    </a:prstGeom>
                    <a:noFill/>
                  </pic:spPr>
                </pic:pic>
              </a:graphicData>
            </a:graphic>
          </wp:inline>
        </w:drawing>
      </w:r>
      <w:r>
        <w:rPr>
          <w:rFonts w:hint="default"/>
        </w:rPr>
        <w:drawing>
          <wp:inline distT="0" distB="0" distL="0" distR="0">
            <wp:extent cx="5487035" cy="7809865"/>
            <wp:effectExtent l="0" t="0" r="0" b="63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487035" cy="7809865"/>
                    </a:xfrm>
                    <a:prstGeom prst="rect">
                      <a:avLst/>
                    </a:prstGeom>
                    <a:noFill/>
                  </pic:spPr>
                </pic:pic>
              </a:graphicData>
            </a:graphic>
          </wp:inline>
        </w:drawing>
      </w:r>
      <w:bookmarkEnd w:id="28"/>
    </w:p>
    <w:p w14:paraId="670F8A11">
      <w:pPr>
        <w:pStyle w:val="39"/>
        <w:spacing w:before="100" w:after="100"/>
        <w:outlineLvl w:val="0"/>
        <w:rPr>
          <w:rFonts w:hint="default"/>
        </w:rPr>
        <w:sectPr>
          <w:pgSz w:w="12240" w:h="15840"/>
          <w:pgMar w:top="1440" w:right="1797" w:bottom="1440" w:left="1797" w:header="720" w:footer="720" w:gutter="0"/>
          <w:cols w:space="425" w:num="1"/>
          <w:docGrid w:linePitch="312" w:charSpace="0"/>
        </w:sectPr>
      </w:pPr>
      <w:bookmarkStart w:id="29" w:name="_Toc23444"/>
      <w:r>
        <w:rPr>
          <w:rFonts w:hint="default"/>
          <w:b/>
          <w:sz w:val="21"/>
          <w:szCs w:val="21"/>
        </w:rPr>
        <w:t>附件</w:t>
      </w:r>
      <w:r>
        <w:rPr>
          <w:b/>
          <w:sz w:val="21"/>
          <w:szCs w:val="21"/>
        </w:rPr>
        <w:t>8</w:t>
      </w:r>
      <w:r>
        <w:rPr>
          <w:rFonts w:hint="default"/>
          <w:b/>
          <w:sz w:val="21"/>
          <w:szCs w:val="21"/>
        </w:rPr>
        <w:t xml:space="preserve"> 面漆稀释剂</w:t>
      </w:r>
      <w:r>
        <w:rPr>
          <w:b/>
          <w:sz w:val="21"/>
          <w:szCs w:val="21"/>
        </w:rPr>
        <w:t>M</w:t>
      </w:r>
      <w:r>
        <w:rPr>
          <w:rFonts w:hint="default"/>
          <w:b/>
          <w:sz w:val="21"/>
          <w:szCs w:val="21"/>
        </w:rPr>
        <w:t>SDS</w:t>
      </w:r>
      <w:r>
        <w:rPr>
          <w:rFonts w:hint="default"/>
        </w:rPr>
        <w:drawing>
          <wp:inline distT="0" distB="0" distL="0" distR="0">
            <wp:extent cx="5487035" cy="710882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r>
        <w:rPr>
          <w:rFonts w:hint="default"/>
        </w:rPr>
        <w:drawing>
          <wp:inline distT="0" distB="0" distL="0" distR="0">
            <wp:extent cx="5487035" cy="710882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5487035" cy="7108825"/>
                    </a:xfrm>
                    <a:prstGeom prst="rect">
                      <a:avLst/>
                    </a:prstGeom>
                    <a:noFill/>
                  </pic:spPr>
                </pic:pic>
              </a:graphicData>
            </a:graphic>
          </wp:inline>
        </w:drawing>
      </w:r>
      <w:bookmarkEnd w:id="29"/>
    </w:p>
    <w:p w14:paraId="437C6C6E">
      <w:pPr>
        <w:pStyle w:val="39"/>
        <w:spacing w:before="100" w:after="100"/>
        <w:outlineLvl w:val="0"/>
        <w:rPr>
          <w:rFonts w:hint="default" w:ascii="Times New Roman" w:hAnsi="Times New Roman"/>
          <w:b/>
          <w:sz w:val="21"/>
          <w:szCs w:val="21"/>
        </w:rPr>
        <w:sectPr>
          <w:pgSz w:w="12240" w:h="15840"/>
          <w:pgMar w:top="1440" w:right="1797" w:bottom="1440" w:left="1797" w:header="720" w:footer="720" w:gutter="0"/>
          <w:cols w:space="425" w:num="1"/>
          <w:docGrid w:linePitch="312" w:charSpace="0"/>
        </w:sectPr>
      </w:pPr>
      <w:bookmarkStart w:id="30" w:name="_Toc32394"/>
      <w:r>
        <w:rPr>
          <w:rFonts w:hint="default"/>
          <w:b/>
          <w:sz w:val="21"/>
          <w:szCs w:val="21"/>
        </w:rPr>
        <w:t>附件9 项目硅酮胶MSDS和挥发性有机物监测报告</w:t>
      </w:r>
      <w:r>
        <w:drawing>
          <wp:inline distT="0" distB="0" distL="0" distR="0">
            <wp:extent cx="5695315" cy="7077075"/>
            <wp:effectExtent l="0" t="0" r="63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5695771" cy="7078261"/>
                    </a:xfrm>
                    <a:prstGeom prst="rect">
                      <a:avLst/>
                    </a:prstGeom>
                    <a:noFill/>
                  </pic:spPr>
                </pic:pic>
              </a:graphicData>
            </a:graphic>
          </wp:inline>
        </w:drawing>
      </w:r>
      <w:r>
        <w:drawing>
          <wp:inline distT="0" distB="0" distL="0" distR="0">
            <wp:extent cx="5609590" cy="793305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5609590" cy="7933055"/>
                    </a:xfrm>
                    <a:prstGeom prst="rect">
                      <a:avLst/>
                    </a:prstGeom>
                    <a:noFill/>
                  </pic:spPr>
                </pic:pic>
              </a:graphicData>
            </a:graphic>
          </wp:inline>
        </w:drawing>
      </w:r>
      <w:r>
        <w:drawing>
          <wp:inline distT="0" distB="0" distL="0" distR="0">
            <wp:extent cx="5781040" cy="818070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5781040" cy="8180705"/>
                    </a:xfrm>
                    <a:prstGeom prst="rect">
                      <a:avLst/>
                    </a:prstGeom>
                    <a:noFill/>
                  </pic:spPr>
                </pic:pic>
              </a:graphicData>
            </a:graphic>
          </wp:inline>
        </w:drawing>
      </w:r>
      <w:r>
        <w:drawing>
          <wp:inline distT="0" distB="0" distL="0" distR="0">
            <wp:extent cx="6095365" cy="8618855"/>
            <wp:effectExtent l="0" t="0" r="63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6095365" cy="8618855"/>
                    </a:xfrm>
                    <a:prstGeom prst="rect">
                      <a:avLst/>
                    </a:prstGeom>
                    <a:noFill/>
                  </pic:spPr>
                </pic:pic>
              </a:graphicData>
            </a:graphic>
          </wp:inline>
        </w:drawing>
      </w:r>
      <w:bookmarkEnd w:id="30"/>
    </w:p>
    <w:p w14:paraId="0473D6B4">
      <w:pPr>
        <w:pStyle w:val="39"/>
        <w:spacing w:before="100" w:after="100"/>
        <w:outlineLvl w:val="0"/>
        <w:rPr>
          <w:rFonts w:hint="default" w:ascii="宋体" w:hAnsi="宋体" w:eastAsia="宋体" w:cs="Times New Roman"/>
          <w:b/>
          <w:kern w:val="0"/>
          <w:sz w:val="21"/>
          <w:szCs w:val="21"/>
          <w:lang w:val="en-US" w:eastAsia="zh-CN" w:bidi="ar-SA"/>
        </w:rPr>
      </w:pPr>
      <w:bookmarkStart w:id="31" w:name="_Toc20583"/>
      <w:r>
        <w:rPr>
          <w:rFonts w:hint="eastAsia" w:cs="Times New Roman"/>
          <w:b/>
          <w:kern w:val="0"/>
          <w:sz w:val="21"/>
          <w:szCs w:val="21"/>
          <w:lang w:val="en-US" w:eastAsia="zh-CN" w:bidi="ar-SA"/>
        </w:rPr>
        <w:t>附件10 VOCs总量申请指标</w:t>
      </w:r>
      <w:r>
        <w:rPr>
          <w:rFonts w:hint="eastAsia" w:cs="Times New Roman"/>
          <w:b/>
          <w:kern w:val="0"/>
          <w:sz w:val="21"/>
          <w:szCs w:val="21"/>
          <w:lang w:val="en-US" w:eastAsia="zh-CN" w:bidi="ar-SA"/>
        </w:rPr>
        <w:drawing>
          <wp:inline distT="0" distB="0" distL="114300" distR="114300">
            <wp:extent cx="8223250" cy="3323590"/>
            <wp:effectExtent l="0" t="0" r="6350" b="10160"/>
            <wp:docPr id="73" name="图片 73" descr="3b841e627548b22c96d6a7d6a507c7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3b841e627548b22c96d6a7d6a507c73d"/>
                    <pic:cNvPicPr>
                      <a:picLocks noChangeAspect="1"/>
                    </pic:cNvPicPr>
                  </pic:nvPicPr>
                  <pic:blipFill>
                    <a:blip r:embed="rId69"/>
                    <a:stretch>
                      <a:fillRect/>
                    </a:stretch>
                  </pic:blipFill>
                  <pic:spPr>
                    <a:xfrm>
                      <a:off x="0" y="0"/>
                      <a:ext cx="8223250" cy="3323590"/>
                    </a:xfrm>
                    <a:prstGeom prst="rect">
                      <a:avLst/>
                    </a:prstGeom>
                  </pic:spPr>
                </pic:pic>
              </a:graphicData>
            </a:graphic>
          </wp:inline>
        </w:drawing>
      </w:r>
      <w:bookmarkEnd w:id="31"/>
    </w:p>
    <w:p w14:paraId="0A10E63C">
      <w:pPr>
        <w:pStyle w:val="39"/>
        <w:spacing w:before="100" w:after="100"/>
        <w:jc w:val="center"/>
        <w:outlineLvl w:val="0"/>
        <w:rPr>
          <w:rFonts w:hint="default" w:ascii="Times New Roman" w:hAnsi="Times New Roman"/>
          <w:b/>
        </w:rPr>
      </w:pPr>
      <w:bookmarkStart w:id="32" w:name="_Toc20872"/>
      <w:r>
        <w:rPr>
          <w:rFonts w:hint="default" w:ascii="Times New Roman" w:hAnsi="Times New Roman"/>
          <w:b/>
          <w:sz w:val="21"/>
          <w:szCs w:val="21"/>
        </w:rPr>
        <mc:AlternateContent>
          <mc:Choice Requires="wps">
            <w:drawing>
              <wp:anchor distT="0" distB="0" distL="114300" distR="114300" simplePos="0" relativeHeight="251708416" behindDoc="0" locked="0" layoutInCell="1" allowOverlap="1">
                <wp:simplePos x="0" y="0"/>
                <wp:positionH relativeFrom="column">
                  <wp:posOffset>2538095</wp:posOffset>
                </wp:positionH>
                <wp:positionV relativeFrom="paragraph">
                  <wp:posOffset>1083310</wp:posOffset>
                </wp:positionV>
                <wp:extent cx="934720" cy="327025"/>
                <wp:effectExtent l="0" t="0" r="17780" b="377825"/>
                <wp:wrapNone/>
                <wp:docPr id="724048302" name="矩形标注 724048302"/>
                <wp:cNvGraphicFramePr/>
                <a:graphic xmlns:a="http://schemas.openxmlformats.org/drawingml/2006/main">
                  <a:graphicData uri="http://schemas.microsoft.com/office/word/2010/wordprocessingShape">
                    <wps:wsp>
                      <wps:cNvSpPr/>
                      <wps:spPr>
                        <a:xfrm>
                          <a:off x="0" y="0"/>
                          <a:ext cx="934720" cy="327025"/>
                        </a:xfrm>
                        <a:prstGeom prst="wedgeRectCallout">
                          <a:avLst>
                            <a:gd name="adj1" fmla="val -23753"/>
                            <a:gd name="adj2" fmla="val 152226"/>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A23F05">
                            <w:pPr>
                              <w:jc w:val="center"/>
                              <w:rPr>
                                <w:color w:val="FF0000"/>
                              </w:rPr>
                            </w:pPr>
                            <w:r>
                              <w:rPr>
                                <w:rFonts w:hint="eastAsia"/>
                                <w:color w:val="FF0000"/>
                              </w:rPr>
                              <w:t>项目</w:t>
                            </w:r>
                            <w:r>
                              <w:rPr>
                                <w:color w:val="FF0000"/>
                              </w:rPr>
                              <w:t>所在</w:t>
                            </w:r>
                            <w:r>
                              <w:rPr>
                                <w:rFonts w:hint="eastAsia"/>
                                <w:color w:val="FF0000"/>
                              </w:rPr>
                              <w:t>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99.85pt;margin-top:85.3pt;height:25.75pt;width:73.6pt;z-index:251708416;v-text-anchor:middle;mso-width-relative:page;mso-height-relative:page;" filled="f" stroked="t" coordsize="21600,21600" o:gfxdata="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&#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BI1IOL2QAAAAsBAAAPAAAAAAAAAAEAIAAAACIAAABk&#10;cnMvZG93bnJldi54bWxQSwECFAAUAAAACACHTuJA3F8fLLACAABKBQAADgAAAAAAAAABACAAAAAo&#10;AQAAZHJzL2Uyb0RvYy54bWxQSwUGAAAAAAYABgBZAQAASgYAAAAA&#10;" adj="5669,43681">
                <v:fill on="f" focussize="0,0"/>
                <v:stroke weight="1pt" color="#FF0000 [3204]" miterlimit="8" joinstyle="miter"/>
                <v:imagedata o:title=""/>
                <o:lock v:ext="edit" aspectratio="f"/>
                <v:textbox>
                  <w:txbxContent>
                    <w:p w14:paraId="46A23F05">
                      <w:pPr>
                        <w:jc w:val="center"/>
                        <w:rPr>
                          <w:color w:val="FF0000"/>
                        </w:rPr>
                      </w:pPr>
                      <w:r>
                        <w:rPr>
                          <w:rFonts w:hint="eastAsia"/>
                          <w:color w:val="FF0000"/>
                        </w:rPr>
                        <w:t>项目</w:t>
                      </w:r>
                      <w:r>
                        <w:rPr>
                          <w:color w:val="FF0000"/>
                        </w:rPr>
                        <w:t>所在</w:t>
                      </w:r>
                      <w:r>
                        <w:rPr>
                          <w:rFonts w:hint="eastAsia"/>
                          <w:color w:val="FF0000"/>
                        </w:rPr>
                        <w:t>地</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707392" behindDoc="0" locked="0" layoutInCell="1" allowOverlap="1">
                <wp:simplePos x="0" y="0"/>
                <wp:positionH relativeFrom="column">
                  <wp:posOffset>2736215</wp:posOffset>
                </wp:positionH>
                <wp:positionV relativeFrom="paragraph">
                  <wp:posOffset>1799590</wp:posOffset>
                </wp:positionV>
                <wp:extent cx="102235" cy="95250"/>
                <wp:effectExtent l="19050" t="38100" r="31115" b="38100"/>
                <wp:wrapNone/>
                <wp:docPr id="724048301" name="五角星 724048301"/>
                <wp:cNvGraphicFramePr/>
                <a:graphic xmlns:a="http://schemas.openxmlformats.org/drawingml/2006/main">
                  <a:graphicData uri="http://schemas.microsoft.com/office/word/2010/wordprocessingShape">
                    <wps:wsp>
                      <wps:cNvSpPr/>
                      <wps:spPr>
                        <a:xfrm>
                          <a:off x="0" y="0"/>
                          <a:ext cx="102358" cy="95534"/>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15.45pt;margin-top:141.7pt;height:7.5pt;width:8.05pt;z-index:251707392;v-text-anchor:middle;mso-width-relative:page;mso-height-relative:page;" fillcolor="#FF0000" filled="t" stroked="t" coordsize="102358,95534" o:gfxdata="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bLBYL9sAAAALAQAADwAAAAAAAAABACAAAAAi&#10;AAAAZHJzL2Rvd25yZXYueG1sUEsBAhQAFAAAAAgAh07iQGHXdFJ5AgAABgUAAA4AAAAAAAAAAQAg&#10;AAAAKgEAAGRycy9lMm9Eb2MueG1sUEsFBgAAAAAGAAYAWQEAABUGAAAAAA==&#10;" path="m0,36490l39097,36490,51179,0,63260,36490,102357,36490,70727,59043,82809,95533,51179,72980,19548,95533,31630,59043xe">
                <v:path o:connectlocs="51179,0;0,36490;19548,95533;82809,95533;102357,36490" o:connectangles="247,164,82,82,0"/>
                <v:fill on="t" focussize="0,0"/>
                <v:stroke weight="1pt" color="#FF0000 [3204]" miterlimit="8" joinstyle="miter"/>
                <v:imagedata o:title=""/>
                <o:lock v:ext="edit" aspectratio="f"/>
              </v:shape>
            </w:pict>
          </mc:Fallback>
        </mc:AlternateContent>
      </w:r>
      <w:r>
        <w:rPr>
          <w:rFonts w:hint="default" w:ascii="Times New Roman" w:hAnsi="Times New Roman"/>
          <w:b/>
          <w:sz w:val="21"/>
          <w:szCs w:val="21"/>
        </w:rPr>
        <w:drawing>
          <wp:anchor distT="0" distB="0" distL="114300" distR="114300" simplePos="0" relativeHeight="251706368" behindDoc="0" locked="0" layoutInCell="1" allowOverlap="1">
            <wp:simplePos x="0" y="0"/>
            <wp:positionH relativeFrom="column">
              <wp:posOffset>722630</wp:posOffset>
            </wp:positionH>
            <wp:positionV relativeFrom="paragraph">
              <wp:posOffset>980440</wp:posOffset>
            </wp:positionV>
            <wp:extent cx="3339465" cy="2115185"/>
            <wp:effectExtent l="19050" t="19050" r="13970" b="18415"/>
            <wp:wrapNone/>
            <wp:docPr id="724048300" name="图片 724048300" descr="F:\微信文件\WeChat Files\wxid_jd3m5y2h7v8o22\FileStorage\Temp\a4b1c1cb7da699b56e4e864c8f4c5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48300" name="图片 724048300" descr="F:\微信文件\WeChat Files\wxid_jd3m5y2h7v8o22\FileStorage\Temp\a4b1c1cb7da699b56e4e864c8f4c504.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3339294" cy="2115403"/>
                    </a:xfrm>
                    <a:prstGeom prst="rect">
                      <a:avLst/>
                    </a:prstGeom>
                    <a:noFill/>
                    <a:ln>
                      <a:solidFill>
                        <a:srgbClr val="FF0000"/>
                      </a:solidFill>
                    </a:ln>
                  </pic:spPr>
                </pic:pic>
              </a:graphicData>
            </a:graphic>
          </wp:anchor>
        </w:drawing>
      </w:r>
      <w:r>
        <w:rPr>
          <w:rFonts w:hint="default" w:ascii="Times New Roman" w:hAnsi="Times New Roman"/>
          <w:b/>
          <w:sz w:val="21"/>
          <w:szCs w:val="21"/>
        </w:rPr>
        <mc:AlternateContent>
          <mc:Choice Requires="wps">
            <w:drawing>
              <wp:anchor distT="0" distB="0" distL="114300" distR="114300" simplePos="0" relativeHeight="251699200" behindDoc="0" locked="0" layoutInCell="1" allowOverlap="1">
                <wp:simplePos x="0" y="0"/>
                <wp:positionH relativeFrom="column">
                  <wp:posOffset>5295265</wp:posOffset>
                </wp:positionH>
                <wp:positionV relativeFrom="paragraph">
                  <wp:posOffset>2700020</wp:posOffset>
                </wp:positionV>
                <wp:extent cx="880110" cy="347980"/>
                <wp:effectExtent l="0" t="0" r="15240" b="471170"/>
                <wp:wrapNone/>
                <wp:docPr id="724048288" name="矩形标注 724048288"/>
                <wp:cNvGraphicFramePr/>
                <a:graphic xmlns:a="http://schemas.openxmlformats.org/drawingml/2006/main">
                  <a:graphicData uri="http://schemas.microsoft.com/office/word/2010/wordprocessingShape">
                    <wps:wsp>
                      <wps:cNvSpPr/>
                      <wps:spPr>
                        <a:xfrm>
                          <a:off x="0" y="0"/>
                          <a:ext cx="880110" cy="348009"/>
                        </a:xfrm>
                        <a:prstGeom prst="wedgeRectCallout">
                          <a:avLst>
                            <a:gd name="adj1" fmla="val -40217"/>
                            <a:gd name="adj2" fmla="val 172026"/>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068F5B">
                            <w:pPr>
                              <w:jc w:val="center"/>
                              <w:rPr>
                                <w:color w:val="FF0000"/>
                              </w:rPr>
                            </w:pPr>
                            <w:r>
                              <w:rPr>
                                <w:rFonts w:hint="eastAsia"/>
                                <w:color w:val="FF0000"/>
                              </w:rPr>
                              <w:t>项目</w:t>
                            </w:r>
                            <w:r>
                              <w:rPr>
                                <w:color w:val="FF0000"/>
                              </w:rPr>
                              <w:t>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16.95pt;margin-top:212.6pt;height:27.4pt;width:69.3pt;z-index:251699200;v-text-anchor:middle;mso-width-relative:page;mso-height-relative:page;" filled="f" stroked="t" coordsize="21600,21600" o:gfxdata="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EYzfNzcAAAACwEAAA8AAAAAAAAAAQAgAAAAIgAA&#10;AGRycy9kb3ducmV2LnhtbFBLAQIUABQAAAAIAIdO4kASIEANrwIAAEoFAAAOAAAAAAAAAAEAIAAA&#10;ACsBAABkcnMvZTJvRG9jLnhtbFBLBQYAAAAABgAGAFkBAABMBgAAAAA=&#10;" adj="2113,47958">
                <v:fill on="f" focussize="0,0"/>
                <v:stroke weight="1pt" color="#FF0000 [3204]" miterlimit="8" joinstyle="miter"/>
                <v:imagedata o:title=""/>
                <o:lock v:ext="edit" aspectratio="f"/>
                <v:textbox>
                  <w:txbxContent>
                    <w:p w14:paraId="29068F5B">
                      <w:pPr>
                        <w:jc w:val="center"/>
                        <w:rPr>
                          <w:color w:val="FF0000"/>
                        </w:rPr>
                      </w:pPr>
                      <w:r>
                        <w:rPr>
                          <w:rFonts w:hint="eastAsia"/>
                          <w:color w:val="FF0000"/>
                        </w:rPr>
                        <w:t>项目</w:t>
                      </w:r>
                      <w:r>
                        <w:rPr>
                          <w:color w:val="FF0000"/>
                        </w:rPr>
                        <w:t>所在地</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98176" behindDoc="0" locked="0" layoutInCell="1" allowOverlap="1">
                <wp:simplePos x="0" y="0"/>
                <wp:positionH relativeFrom="column">
                  <wp:posOffset>5349875</wp:posOffset>
                </wp:positionH>
                <wp:positionV relativeFrom="paragraph">
                  <wp:posOffset>3512185</wp:posOffset>
                </wp:positionV>
                <wp:extent cx="54610" cy="45720"/>
                <wp:effectExtent l="38100" t="19050" r="60325" b="31115"/>
                <wp:wrapNone/>
                <wp:docPr id="724048265" name="五角星 724048265"/>
                <wp:cNvGraphicFramePr/>
                <a:graphic xmlns:a="http://schemas.openxmlformats.org/drawingml/2006/main">
                  <a:graphicData uri="http://schemas.microsoft.com/office/word/2010/wordprocessingShape">
                    <wps:wsp>
                      <wps:cNvSpPr/>
                      <wps:spPr>
                        <a:xfrm>
                          <a:off x="0" y="0"/>
                          <a:ext cx="54591" cy="45719"/>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21.25pt;margin-top:276.55pt;height:3.6pt;width:4.3pt;z-index:251698176;v-text-anchor:middle;mso-width-relative:page;mso-height-relative:page;" fillcolor="#FF0000" filled="t" stroked="t" coordsize="54591,45719" o:gfxdata="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&#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hXQ6L2QAAAAsBAAAPAAAAAAAAAAEAIAAAACIAAABk&#10;cnMvZG93bnJldi54bWxQSwECFAAUAAAACACHTuJAYHe8hXcCAAAFBQAADgAAAAAAAAABACAAAAAo&#10;AQAAZHJzL2Uyb0RvYy54bWxQSwUGAAAAAAYABgBZAQAAEQYAAAAA&#10;" path="m0,17463l20852,17463,27295,0,33738,17463,54590,17463,37721,28255,44165,45718,27295,34925,10425,45718,16869,28255xe">
                <v:path o:connectlocs="27295,0;0,17463;10425,45718;44165,45718;54590,17463" o:connectangles="247,164,82,82,0"/>
                <v:fill on="t" focussize="0,0"/>
                <v:stroke weight="1pt" color="#FF0000 [3204]" miterlimit="8" joinstyle="miter"/>
                <v:imagedata o:title=""/>
                <o:lock v:ext="edit" aspectratio="f"/>
              </v:shape>
            </w:pict>
          </mc:Fallback>
        </mc:AlternateContent>
      </w:r>
      <w:r>
        <w:rPr>
          <w:rFonts w:ascii="Times New Roman" w:hAnsi="Times New Roman"/>
          <w:b/>
          <w:sz w:val="21"/>
          <w:szCs w:val="21"/>
        </w:rPr>
        <w:pict>
          <v:shape id="_x0000_i1028" o:spt="75" type="#_x0000_t75" style="height:409.55pt;width:641.45pt;" filled="f" o:preferrelative="t" stroked="f" coordsize="21600,21600">
            <v:path/>
            <v:fill on="f" focussize="0,0"/>
            <v:stroke on="f" joinstyle="miter"/>
            <v:imagedata r:id="rId71" o:title="乐昌市地图"/>
            <o:lock v:ext="edit" aspectratio="t"/>
            <w10:wrap type="none"/>
            <w10:anchorlock/>
          </v:shape>
        </w:pict>
      </w:r>
      <w:r>
        <w:rPr>
          <w:rFonts w:hint="default" w:ascii="Times New Roman" w:hAnsi="Times New Roman"/>
          <w:b/>
          <w:sz w:val="21"/>
          <w:szCs w:val="21"/>
        </w:rPr>
        <w:t>附图1 地理位置图</w:t>
      </w:r>
      <w:bookmarkEnd w:id="32"/>
    </w:p>
    <w:p w14:paraId="455D438B">
      <w:pPr>
        <w:pStyle w:val="39"/>
        <w:tabs>
          <w:tab w:val="left" w:pos="2365"/>
        </w:tabs>
        <w:spacing w:before="100" w:after="100"/>
        <w:jc w:val="center"/>
        <w:outlineLvl w:val="0"/>
        <w:rPr>
          <w:rFonts w:hint="default" w:ascii="Times New Roman" w:hAnsi="Times New Roman"/>
          <w:b/>
        </w:rPr>
        <w:sectPr>
          <w:pgSz w:w="15840" w:h="12240" w:orient="landscape"/>
          <w:pgMar w:top="1797" w:right="1440" w:bottom="1797" w:left="1440" w:header="720" w:footer="720" w:gutter="0"/>
          <w:cols w:space="425" w:num="1"/>
          <w:docGrid w:linePitch="312" w:charSpace="0"/>
        </w:sectPr>
      </w:pPr>
    </w:p>
    <w:p w14:paraId="25F50ABB">
      <w:pPr>
        <w:pStyle w:val="39"/>
        <w:spacing w:before="100" w:after="100"/>
        <w:jc w:val="center"/>
        <w:outlineLvl w:val="0"/>
        <w:rPr>
          <w:rFonts w:hint="default" w:ascii="Times New Roman" w:hAnsi="Times New Roman"/>
          <w:b/>
          <w:sz w:val="21"/>
          <w:szCs w:val="21"/>
        </w:rPr>
      </w:pPr>
      <w:bookmarkStart w:id="33" w:name="_Toc13610"/>
      <w:r>
        <w:rPr>
          <w:rFonts w:hint="default" w:ascii="Times New Roman" w:hAnsi="Times New Roman"/>
          <w:b/>
          <w:sz w:val="21"/>
          <w:szCs w:val="21"/>
        </w:rPr>
        <mc:AlternateContent>
          <mc:Choice Requires="wps">
            <w:drawing>
              <wp:anchor distT="0" distB="0" distL="114300" distR="114300" simplePos="0" relativeHeight="251726848" behindDoc="0" locked="0" layoutInCell="1" allowOverlap="1">
                <wp:simplePos x="0" y="0"/>
                <wp:positionH relativeFrom="column">
                  <wp:posOffset>3797300</wp:posOffset>
                </wp:positionH>
                <wp:positionV relativeFrom="paragraph">
                  <wp:posOffset>1041400</wp:posOffset>
                </wp:positionV>
                <wp:extent cx="838200" cy="311150"/>
                <wp:effectExtent l="0" t="0" r="19050" b="12700"/>
                <wp:wrapNone/>
                <wp:docPr id="66" name="矩形 66"/>
                <wp:cNvGraphicFramePr/>
                <a:graphic xmlns:a="http://schemas.openxmlformats.org/drawingml/2006/main">
                  <a:graphicData uri="http://schemas.microsoft.com/office/word/2010/wordprocessingShape">
                    <wps:wsp>
                      <wps:cNvSpPr/>
                      <wps:spPr>
                        <a:xfrm>
                          <a:off x="0" y="0"/>
                          <a:ext cx="838200" cy="311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9pt;margin-top:82pt;height:24.5pt;width:66pt;z-index:251726848;v-text-anchor:middle;mso-width-relative:page;mso-height-relative:page;" fillcolor="#FFFFFF [3212]" filled="t" stroked="t" coordsize="21600,21600" o:gfxdata="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E2ZHU2QAAAAsBAAAPAAAAAAAAAAEAIAAAACIAAABkcnMvZG93bnJldi54&#10;bWxQSwECFAAUAAAACACHTuJAbdAP72sCAAD1BAAADgAAAAAAAAABACAAAAAoAQAAZHJzL2Uyb0Rv&#10;Yy54bWxQSwUGAAAAAAYABgBZAQAABQYAAAAA&#10;">
                <v:fill on="t" focussize="0,0"/>
                <v:stroke weight="1pt" color="#FFFFFF [3212]"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717632" behindDoc="0" locked="0" layoutInCell="1" allowOverlap="1">
                <wp:simplePos x="0" y="0"/>
                <wp:positionH relativeFrom="column">
                  <wp:posOffset>3837940</wp:posOffset>
                </wp:positionH>
                <wp:positionV relativeFrom="paragraph">
                  <wp:posOffset>736600</wp:posOffset>
                </wp:positionV>
                <wp:extent cx="694690" cy="300990"/>
                <wp:effectExtent l="0" t="0" r="0" b="3810"/>
                <wp:wrapNone/>
                <wp:docPr id="724048311" name="文本框 724048311"/>
                <wp:cNvGraphicFramePr/>
                <a:graphic xmlns:a="http://schemas.openxmlformats.org/drawingml/2006/main">
                  <a:graphicData uri="http://schemas.microsoft.com/office/word/2010/wordprocessingShape">
                    <wps:wsp>
                      <wps:cNvSpPr txBox="1"/>
                      <wps:spPr>
                        <a:xfrm>
                          <a:off x="0" y="0"/>
                          <a:ext cx="694690"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C038F2">
                            <w:r>
                              <w:rPr>
                                <w:rFonts w:hint="eastAsia"/>
                              </w:rPr>
                              <w:t>DA005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2.2pt;margin-top:58pt;height:23.7pt;width:54.7pt;z-index:251717632;mso-width-relative:page;mso-height-relative:page;" filled="f" stroked="f" coordsize="21600,21600" o:gfxdata="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Rmw8H2wAAAAsBAAAPAAAAAAAA&#10;AAEAIAAAACIAAABkcnMvZG93bnJldi54bWxQSwECFAAUAAAACACHTuJAUc8Y+kgCAACDBAAADgAA&#10;AAAAAAABACAAAAAqAQAAZHJzL2Uyb0RvYy54bWxQSwUGAAAAAAYABgBZAQAA5AUAAAAA&#10;">
                <v:fill on="f" focussize="0,0"/>
                <v:stroke on="f" weight="0.5pt"/>
                <v:imagedata o:title=""/>
                <o:lock v:ext="edit" aspectratio="f"/>
                <v:textbox>
                  <w:txbxContent>
                    <w:p w14:paraId="5FC038F2">
                      <w:r>
                        <w:rPr>
                          <w:rFonts w:hint="eastAsia"/>
                        </w:rPr>
                        <w:t>DA005</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716608" behindDoc="0" locked="0" layoutInCell="1" allowOverlap="1">
                <wp:simplePos x="0" y="0"/>
                <wp:positionH relativeFrom="column">
                  <wp:posOffset>3783965</wp:posOffset>
                </wp:positionH>
                <wp:positionV relativeFrom="paragraph">
                  <wp:posOffset>812800</wp:posOffset>
                </wp:positionV>
                <wp:extent cx="147955" cy="124460"/>
                <wp:effectExtent l="0" t="0" r="23495" b="27940"/>
                <wp:wrapNone/>
                <wp:docPr id="724048310" name="椭圆 724048310"/>
                <wp:cNvGraphicFramePr/>
                <a:graphic xmlns:a="http://schemas.openxmlformats.org/drawingml/2006/main">
                  <a:graphicData uri="http://schemas.microsoft.com/office/word/2010/wordprocessingShape">
                    <wps:wsp>
                      <wps:cNvSpPr/>
                      <wps:spPr>
                        <a:xfrm>
                          <a:off x="0" y="0"/>
                          <a:ext cx="147955" cy="1244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97.95pt;margin-top:64pt;height:9.8pt;width:11.65pt;z-index:251716608;v-text-anchor:middle;mso-width-relative:page;mso-height-relative:page;" fillcolor="#4874CB [3204]" filled="t" stroked="t" coordsize="21600,21600" o:gfxdata="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ctdLv1wAAAAsB&#10;AAAPAAAAAAAAAAEAIAAAACIAAABkcnMvZG93bnJldi54bWxQSwECFAAUAAAACACHTuJAcj3yV44C&#10;AAAnBQAADgAAAAAAAAABACAAAAAmAQAAZHJzL2Uyb0RvYy54bWxQSwUGAAAAAAYABgBZAQAAJgYA&#10;AAAA&#10;">
                <v:fill on="t" focussize="0,0"/>
                <v:stroke weight="1pt" color="#325395 [3204]" miterlimit="8" joinstyle="miter"/>
                <v:imagedata o:title=""/>
                <o:lock v:ext="edit" aspectratio="f"/>
              </v:shape>
            </w:pict>
          </mc:Fallback>
        </mc:AlternateContent>
      </w:r>
      <w:r>
        <w:rPr>
          <w:rFonts w:hint="default" w:ascii="Times New Roman" w:hAnsi="Times New Roman"/>
          <w:b/>
          <w:sz w:val="21"/>
          <w:szCs w:val="21"/>
        </w:rPr>
        <mc:AlternateContent>
          <mc:Choice Requires="wps">
            <w:drawing>
              <wp:anchor distT="0" distB="0" distL="114300" distR="114300" simplePos="0" relativeHeight="251725824" behindDoc="0" locked="0" layoutInCell="1" allowOverlap="1">
                <wp:simplePos x="0" y="0"/>
                <wp:positionH relativeFrom="column">
                  <wp:posOffset>1625600</wp:posOffset>
                </wp:positionH>
                <wp:positionV relativeFrom="paragraph">
                  <wp:posOffset>393700</wp:posOffset>
                </wp:positionV>
                <wp:extent cx="2374900" cy="4445000"/>
                <wp:effectExtent l="19050" t="0" r="25400" b="31750"/>
                <wp:wrapNone/>
                <wp:docPr id="65" name="任意多边形 65"/>
                <wp:cNvGraphicFramePr/>
                <a:graphic xmlns:a="http://schemas.openxmlformats.org/drawingml/2006/main">
                  <a:graphicData uri="http://schemas.microsoft.com/office/word/2010/wordprocessingShape">
                    <wps:wsp>
                      <wps:cNvSpPr/>
                      <wps:spPr>
                        <a:xfrm>
                          <a:off x="0" y="0"/>
                          <a:ext cx="2374900" cy="4445000"/>
                        </a:xfrm>
                        <a:custGeom>
                          <a:avLst/>
                          <a:gdLst>
                            <a:gd name="connsiteX0" fmla="*/ 31750 w 2374900"/>
                            <a:gd name="connsiteY0" fmla="*/ 114300 h 4445000"/>
                            <a:gd name="connsiteX1" fmla="*/ 12700 w 2374900"/>
                            <a:gd name="connsiteY1" fmla="*/ 4445000 h 4445000"/>
                            <a:gd name="connsiteX2" fmla="*/ 2374900 w 2374900"/>
                            <a:gd name="connsiteY2" fmla="*/ 4400550 h 4445000"/>
                            <a:gd name="connsiteX3" fmla="*/ 2374900 w 2374900"/>
                            <a:gd name="connsiteY3" fmla="*/ 3073400 h 4445000"/>
                            <a:gd name="connsiteX4" fmla="*/ 1492250 w 2374900"/>
                            <a:gd name="connsiteY4" fmla="*/ 3060700 h 4445000"/>
                            <a:gd name="connsiteX5" fmla="*/ 1498600 w 2374900"/>
                            <a:gd name="connsiteY5" fmla="*/ 469900 h 4445000"/>
                            <a:gd name="connsiteX6" fmla="*/ 2051050 w 2374900"/>
                            <a:gd name="connsiteY6" fmla="*/ 457200 h 4445000"/>
                            <a:gd name="connsiteX7" fmla="*/ 2044700 w 2374900"/>
                            <a:gd name="connsiteY7" fmla="*/ 25400 h 4445000"/>
                            <a:gd name="connsiteX8" fmla="*/ 2038350 w 2374900"/>
                            <a:gd name="connsiteY8" fmla="*/ 0 h 4445000"/>
                            <a:gd name="connsiteX9" fmla="*/ 0 w 2374900"/>
                            <a:gd name="connsiteY9" fmla="*/ 0 h 4445000"/>
                            <a:gd name="connsiteX10" fmla="*/ 31750 w 2374900"/>
                            <a:gd name="connsiteY10" fmla="*/ 114300 h 4445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374900" h="4445000">
                              <a:moveTo>
                                <a:pt x="31750" y="114300"/>
                              </a:moveTo>
                              <a:lnTo>
                                <a:pt x="12700" y="4445000"/>
                              </a:lnTo>
                              <a:lnTo>
                                <a:pt x="2374900" y="4400550"/>
                              </a:lnTo>
                              <a:lnTo>
                                <a:pt x="2374900" y="3073400"/>
                              </a:lnTo>
                              <a:lnTo>
                                <a:pt x="1492250" y="3060700"/>
                              </a:lnTo>
                              <a:cubicBezTo>
                                <a:pt x="1494367" y="2197100"/>
                                <a:pt x="1496483" y="1333500"/>
                                <a:pt x="1498600" y="469900"/>
                              </a:cubicBezTo>
                              <a:lnTo>
                                <a:pt x="2051050" y="457200"/>
                              </a:lnTo>
                              <a:cubicBezTo>
                                <a:pt x="2048933" y="313267"/>
                                <a:pt x="2046817" y="169333"/>
                                <a:pt x="2044700" y="25400"/>
                              </a:cubicBezTo>
                              <a:lnTo>
                                <a:pt x="2038350" y="0"/>
                              </a:lnTo>
                              <a:lnTo>
                                <a:pt x="0" y="0"/>
                              </a:lnTo>
                              <a:lnTo>
                                <a:pt x="31750" y="114300"/>
                              </a:lnTo>
                              <a:close/>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128pt;margin-top:31pt;height:350pt;width:187pt;z-index:251725824;v-text-anchor:middle;mso-width-relative:page;mso-height-relative:page;" filled="f" stroked="t" coordsize="2374900,4445000" o:gfxdata="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" path="m31750,114300l12700,4445000,2374900,4400550,2374900,3073400,1492250,3060700c1494367,2197100,1496483,1333500,1498600,469900l2051050,457200c2048933,313267,2046817,169333,2044700,25400l2038350,0,0,0,31750,114300xe">
                <v:path o:connectlocs="31750,114300;12700,4445000;2374900,4400550;2374900,3073400;1492250,3060700;1498600,469900;2051050,457200;2044700,25400;2038350,0;0,0;31750,114300" o:connectangles="0,0,0,0,0,0,0,0,0,0,0"/>
                <v:fill on="f" focussize="0,0"/>
                <v:stroke weight="1pt" color="#FFFF00 [3204]" miterlimit="8" joinstyle="miter"/>
                <v:imagedata o:title=""/>
                <o:lock v:ext="edit" aspectratio="f"/>
              </v:shape>
            </w:pict>
          </mc:Fallback>
        </mc:AlternateContent>
      </w:r>
      <w:r>
        <w:rPr>
          <w:rFonts w:hint="default" w:ascii="Times New Roman" w:hAnsi="Times New Roman"/>
          <w:b/>
          <w:sz w:val="21"/>
          <w:szCs w:val="21"/>
        </w:rPr>
        <mc:AlternateContent>
          <mc:Choice Requires="wps">
            <w:drawing>
              <wp:anchor distT="0" distB="0" distL="114300" distR="114300" simplePos="0" relativeHeight="251724800" behindDoc="0" locked="0" layoutInCell="1" allowOverlap="1">
                <wp:simplePos x="0" y="0"/>
                <wp:positionH relativeFrom="column">
                  <wp:posOffset>3149600</wp:posOffset>
                </wp:positionH>
                <wp:positionV relativeFrom="paragraph">
                  <wp:posOffset>590550</wp:posOffset>
                </wp:positionV>
                <wp:extent cx="615950" cy="241300"/>
                <wp:effectExtent l="0" t="0" r="0" b="6350"/>
                <wp:wrapNone/>
                <wp:docPr id="724048318" name="文本框 724048318"/>
                <wp:cNvGraphicFramePr/>
                <a:graphic xmlns:a="http://schemas.openxmlformats.org/drawingml/2006/main">
                  <a:graphicData uri="http://schemas.microsoft.com/office/word/2010/wordprocessingShape">
                    <wps:wsp>
                      <wps:cNvSpPr txBox="1"/>
                      <wps:spPr>
                        <a:xfrm>
                          <a:off x="0" y="0"/>
                          <a:ext cx="61595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44358C">
                            <w:r>
                              <w:rPr>
                                <w:rFonts w:hint="eastAsia"/>
                              </w:rPr>
                              <w:t>DA002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8pt;margin-top:46.5pt;height:19pt;width:48.5pt;z-index:251724800;mso-width-relative:page;mso-height-relative:page;" filled="f" stroked="f" coordsize="21600,21600" o:gfxdata="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FK5wf3bAAAACgEAAA8AAAAAAAAA&#10;AQAgAAAAIgAAAGRycy9kb3ducmV2LnhtbFBLAQIUABQAAAAIAIdO4kBrFE/GRwIAAIMEAAAOAAAA&#10;AAAAAAEAIAAAACoBAABkcnMvZTJvRG9jLnhtbFBLBQYAAAAABgAGAFkBAADjBQAAAAA=&#10;">
                <v:fill on="f" focussize="0,0"/>
                <v:stroke on="f" weight="0.5pt"/>
                <v:imagedata o:title=""/>
                <o:lock v:ext="edit" aspectratio="f"/>
                <v:textbox>
                  <w:txbxContent>
                    <w:p w14:paraId="7C44358C">
                      <w:r>
                        <w:rPr>
                          <w:rFonts w:hint="eastAsia"/>
                        </w:rPr>
                        <w:t>DA002</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723776" behindDoc="0" locked="0" layoutInCell="1" allowOverlap="1">
                <wp:simplePos x="0" y="0"/>
                <wp:positionH relativeFrom="column">
                  <wp:posOffset>2997200</wp:posOffset>
                </wp:positionH>
                <wp:positionV relativeFrom="paragraph">
                  <wp:posOffset>654050</wp:posOffset>
                </wp:positionV>
                <wp:extent cx="107950" cy="95250"/>
                <wp:effectExtent l="0" t="0" r="25400" b="19050"/>
                <wp:wrapNone/>
                <wp:docPr id="724048317" name="椭圆 724048317"/>
                <wp:cNvGraphicFramePr/>
                <a:graphic xmlns:a="http://schemas.openxmlformats.org/drawingml/2006/main">
                  <a:graphicData uri="http://schemas.microsoft.com/office/word/2010/wordprocessingShape">
                    <wps:wsp>
                      <wps:cNvSpPr/>
                      <wps:spPr>
                        <a:xfrm>
                          <a:off x="0" y="0"/>
                          <a:ext cx="107950" cy="952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36pt;margin-top:51.5pt;height:7.5pt;width:8.5pt;z-index:251723776;v-text-anchor:middle;mso-width-relative:page;mso-height-relative:page;" fillcolor="#4874CB [3204]" filled="t" stroked="t" coordsize="21600,21600" o:gfxdata="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cCrgONQAAAALAQAADwAA&#10;AAAAAAABACAAAAAiAAAAZHJzL2Rvd25yZXYueG1sUEsBAhQAFAAAAAgAh07iQKCGsZOMAgAAJgUA&#10;AA4AAAAAAAAAAQAgAAAAIwEAAGRycy9lMm9Eb2MueG1sUEsFBgAAAAAGAAYAWQEAACEGAAAAAA==&#10;">
                <v:fill on="t" focussize="0,0"/>
                <v:stroke weight="1pt" color="#325395 [3204]" miterlimit="8" joinstyle="miter"/>
                <v:imagedata o:title=""/>
                <o:lock v:ext="edit" aspectratio="f"/>
              </v:shape>
            </w:pict>
          </mc:Fallback>
        </mc:AlternateContent>
      </w:r>
      <w:r>
        <w:rPr>
          <w:rFonts w:hint="default" w:ascii="Times New Roman" w:hAnsi="Times New Roman"/>
          <w:b/>
          <w:sz w:val="21"/>
          <w:szCs w:val="21"/>
        </w:rPr>
        <mc:AlternateContent>
          <mc:Choice Requires="wps">
            <w:drawing>
              <wp:anchor distT="0" distB="0" distL="114300" distR="114300" simplePos="0" relativeHeight="251722752" behindDoc="0" locked="0" layoutInCell="1" allowOverlap="1">
                <wp:simplePos x="0" y="0"/>
                <wp:positionH relativeFrom="column">
                  <wp:posOffset>3162300</wp:posOffset>
                </wp:positionH>
                <wp:positionV relativeFrom="paragraph">
                  <wp:posOffset>361950</wp:posOffset>
                </wp:positionV>
                <wp:extent cx="590550" cy="241300"/>
                <wp:effectExtent l="0" t="0" r="0" b="6350"/>
                <wp:wrapNone/>
                <wp:docPr id="724048316" name="文本框 724048316"/>
                <wp:cNvGraphicFramePr/>
                <a:graphic xmlns:a="http://schemas.openxmlformats.org/drawingml/2006/main">
                  <a:graphicData uri="http://schemas.microsoft.com/office/word/2010/wordprocessingShape">
                    <wps:wsp>
                      <wps:cNvSpPr txBox="1"/>
                      <wps:spPr>
                        <a:xfrm>
                          <a:off x="0" y="0"/>
                          <a:ext cx="59055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FA645E">
                            <w:r>
                              <w:rPr>
                                <w:rFonts w:hint="eastAsia"/>
                              </w:rPr>
                              <w:t>DA001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28.5pt;height:19pt;width:46.5pt;z-index:251722752;mso-width-relative:page;mso-height-relative:page;" filled="f" stroked="f" coordsize="21600,21600" o:gfxdata="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jzl/f2gAAAAkBAAAPAAAAAAAA&#10;AAEAIAAAACIAAABkcnMvZG93bnJldi54bWxQSwECFAAUAAAACACHTuJAaN9q+UkCAACDBAAADgAA&#10;AAAAAAABACAAAAApAQAAZHJzL2Uyb0RvYy54bWxQSwUGAAAAAAYABgBZAQAA5AUAAAAA&#10;">
                <v:fill on="f" focussize="0,0"/>
                <v:stroke on="f" weight="0.5pt"/>
                <v:imagedata o:title=""/>
                <o:lock v:ext="edit" aspectratio="f"/>
                <v:textbox>
                  <w:txbxContent>
                    <w:p w14:paraId="56FA645E">
                      <w:r>
                        <w:rPr>
                          <w:rFonts w:hint="eastAsia"/>
                        </w:rPr>
                        <w:t>DA001</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721728" behindDoc="0" locked="0" layoutInCell="1" allowOverlap="1">
                <wp:simplePos x="0" y="0"/>
                <wp:positionH relativeFrom="column">
                  <wp:posOffset>3009900</wp:posOffset>
                </wp:positionH>
                <wp:positionV relativeFrom="paragraph">
                  <wp:posOffset>406400</wp:posOffset>
                </wp:positionV>
                <wp:extent cx="120650" cy="120650"/>
                <wp:effectExtent l="0" t="0" r="12700" b="12700"/>
                <wp:wrapNone/>
                <wp:docPr id="724048315" name="椭圆 724048315"/>
                <wp:cNvGraphicFramePr/>
                <a:graphic xmlns:a="http://schemas.openxmlformats.org/drawingml/2006/main">
                  <a:graphicData uri="http://schemas.microsoft.com/office/word/2010/wordprocessingShape">
                    <wps:wsp>
                      <wps:cNvSpPr/>
                      <wps:spPr>
                        <a:xfrm>
                          <a:off x="0" y="0"/>
                          <a:ext cx="120650" cy="1206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37pt;margin-top:32pt;height:9.5pt;width:9.5pt;z-index:251721728;v-text-anchor:middle;mso-width-relative:page;mso-height-relative:page;" fillcolor="#4874CB [3204]" filled="t" stroked="t" coordsize="21600,21600" o:gfxdata="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DAdZmdQAAAAJAQAADwAAAAAA&#10;AAABACAAAAAiAAAAZHJzL2Rvd25yZXYueG1sUEsBAhQAFAAAAAgAh07iQHbVWwGJAgAAJwUAAA4A&#10;AAAAAAAAAQAgAAAAIwEAAGRycy9lMm9Eb2MueG1sUEsFBgAAAAAGAAYAWQEAAB4GAAAAAA==&#10;">
                <v:fill on="t" focussize="0,0"/>
                <v:stroke weight="1pt" color="#325395 [3204]" miterlimit="8" joinstyle="miter"/>
                <v:imagedata o:title=""/>
                <o:lock v:ext="edit" aspectratio="f"/>
              </v:shape>
            </w:pict>
          </mc:Fallback>
        </mc:AlternateContent>
      </w:r>
      <w:r>
        <w:rPr>
          <w:rFonts w:hint="default" w:ascii="Times New Roman" w:hAnsi="Times New Roman"/>
          <w:b/>
          <w:sz w:val="21"/>
          <w:szCs w:val="21"/>
        </w:rPr>
        <mc:AlternateContent>
          <mc:Choice Requires="wps">
            <w:drawing>
              <wp:anchor distT="0" distB="0" distL="114300" distR="114300" simplePos="0" relativeHeight="251720704" behindDoc="0" locked="0" layoutInCell="1" allowOverlap="1">
                <wp:simplePos x="0" y="0"/>
                <wp:positionH relativeFrom="column">
                  <wp:posOffset>3206750</wp:posOffset>
                </wp:positionH>
                <wp:positionV relativeFrom="paragraph">
                  <wp:posOffset>355600</wp:posOffset>
                </wp:positionV>
                <wp:extent cx="2419350" cy="1873250"/>
                <wp:effectExtent l="0" t="19050" r="38100" b="31750"/>
                <wp:wrapNone/>
                <wp:docPr id="724048314" name="任意多边形 724048314"/>
                <wp:cNvGraphicFramePr/>
                <a:graphic xmlns:a="http://schemas.openxmlformats.org/drawingml/2006/main">
                  <a:graphicData uri="http://schemas.microsoft.com/office/word/2010/wordprocessingShape">
                    <wps:wsp>
                      <wps:cNvSpPr/>
                      <wps:spPr>
                        <a:xfrm>
                          <a:off x="0" y="0"/>
                          <a:ext cx="2419350" cy="1873250"/>
                        </a:xfrm>
                        <a:custGeom>
                          <a:avLst/>
                          <a:gdLst>
                            <a:gd name="connsiteX0" fmla="*/ 488950 w 2419350"/>
                            <a:gd name="connsiteY0" fmla="*/ 95250 h 1873250"/>
                            <a:gd name="connsiteX1" fmla="*/ 508000 w 2419350"/>
                            <a:gd name="connsiteY1" fmla="*/ 711200 h 1873250"/>
                            <a:gd name="connsiteX2" fmla="*/ 0 w 2419350"/>
                            <a:gd name="connsiteY2" fmla="*/ 704850 h 1873250"/>
                            <a:gd name="connsiteX3" fmla="*/ 0 w 2419350"/>
                            <a:gd name="connsiteY3" fmla="*/ 1873250 h 1873250"/>
                            <a:gd name="connsiteX4" fmla="*/ 1752600 w 2419350"/>
                            <a:gd name="connsiteY4" fmla="*/ 1866900 h 1873250"/>
                            <a:gd name="connsiteX5" fmla="*/ 1752600 w 2419350"/>
                            <a:gd name="connsiteY5" fmla="*/ 552450 h 1873250"/>
                            <a:gd name="connsiteX6" fmla="*/ 2419350 w 2419350"/>
                            <a:gd name="connsiteY6" fmla="*/ 552450 h 1873250"/>
                            <a:gd name="connsiteX7" fmla="*/ 2400300 w 2419350"/>
                            <a:gd name="connsiteY7" fmla="*/ 0 h 1873250"/>
                            <a:gd name="connsiteX8" fmla="*/ 476250 w 2419350"/>
                            <a:gd name="connsiteY8" fmla="*/ 19050 h 1873250"/>
                            <a:gd name="connsiteX9" fmla="*/ 488950 w 2419350"/>
                            <a:gd name="connsiteY9" fmla="*/ 95250 h 1873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19350" h="1873250">
                              <a:moveTo>
                                <a:pt x="488950" y="95250"/>
                              </a:moveTo>
                              <a:lnTo>
                                <a:pt x="508000" y="711200"/>
                              </a:lnTo>
                              <a:lnTo>
                                <a:pt x="0" y="704850"/>
                              </a:lnTo>
                              <a:lnTo>
                                <a:pt x="0" y="1873250"/>
                              </a:lnTo>
                              <a:lnTo>
                                <a:pt x="1752600" y="1866900"/>
                              </a:lnTo>
                              <a:lnTo>
                                <a:pt x="1752600" y="552450"/>
                              </a:lnTo>
                              <a:lnTo>
                                <a:pt x="2419350" y="552450"/>
                              </a:lnTo>
                              <a:lnTo>
                                <a:pt x="2400300" y="0"/>
                              </a:lnTo>
                              <a:lnTo>
                                <a:pt x="476250" y="19050"/>
                              </a:lnTo>
                              <a:lnTo>
                                <a:pt x="488950" y="95250"/>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252.5pt;margin-top:28pt;height:147.5pt;width:190.5pt;z-index:251720704;v-text-anchor:middle;mso-width-relative:page;mso-height-relative:page;" filled="f" stroked="t" coordsize="2419350,1873250" o:gfxdata="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&#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" path="m488950,95250l508000,711200,0,704850,0,1873250,1752600,1866900,1752600,552450,2419350,552450,2400300,0,476250,19050,488950,95250xe">
                <v:path o:connectlocs="488950,95250;508000,711200;0,704850;0,1873250;1752600,1866900;1752600,552450;2419350,552450;2400300,0;476250,19050;488950,95250" o:connectangles="0,0,0,0,0,0,0,0,0,0"/>
                <v:fill on="f" focussize="0,0"/>
                <v:stroke weight="1pt" color="#FF0000 [3204]" miterlimit="8" joinstyle="miter"/>
                <v:imagedata o:title=""/>
                <o:lock v:ext="edit" aspectratio="f"/>
              </v:shape>
            </w:pict>
          </mc:Fallback>
        </mc:AlternateContent>
      </w:r>
      <w:r>
        <w:rPr>
          <w:rFonts w:hint="default" w:ascii="Times New Roman" w:hAnsi="Times New Roman"/>
          <w:b/>
          <w:sz w:val="21"/>
          <w:szCs w:val="21"/>
        </w:rPr>
        <mc:AlternateContent>
          <mc:Choice Requires="wps">
            <w:drawing>
              <wp:anchor distT="0" distB="0" distL="114300" distR="114300" simplePos="0" relativeHeight="251714560" behindDoc="0" locked="0" layoutInCell="1" allowOverlap="1">
                <wp:simplePos x="0" y="0"/>
                <wp:positionH relativeFrom="column">
                  <wp:posOffset>3733800</wp:posOffset>
                </wp:positionH>
                <wp:positionV relativeFrom="paragraph">
                  <wp:posOffset>497205</wp:posOffset>
                </wp:positionV>
                <wp:extent cx="147955" cy="142240"/>
                <wp:effectExtent l="0" t="0" r="23495" b="10160"/>
                <wp:wrapNone/>
                <wp:docPr id="724048307" name="椭圆 724048307"/>
                <wp:cNvGraphicFramePr/>
                <a:graphic xmlns:a="http://schemas.openxmlformats.org/drawingml/2006/main">
                  <a:graphicData uri="http://schemas.microsoft.com/office/word/2010/wordprocessingShape">
                    <wps:wsp>
                      <wps:cNvSpPr/>
                      <wps:spPr>
                        <a:xfrm>
                          <a:off x="0" y="0"/>
                          <a:ext cx="147955" cy="1422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94pt;margin-top:39.15pt;height:11.2pt;width:11.65pt;z-index:251714560;v-text-anchor:middle;mso-width-relative:page;mso-height-relative:page;" fillcolor="#4874CB [3204]" filled="t" stroked="t" coordsize="21600,21600" o:gfxdata="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AXQFv7WAAAACgEA&#10;AA8AAAAAAAAAAQAgAAAAIgAAAGRycy9kb3ducmV2LnhtbFBLAQIUABQAAAAIAIdO4kBoYjcvjgIA&#10;ACcFAAAOAAAAAAAAAAEAIAAAACUBAABkcnMvZTJvRG9jLnhtbFBLBQYAAAAABgAGAFkBAAAlBgAA&#10;AAA=&#10;">
                <v:fill on="t" focussize="0,0"/>
                <v:stroke weight="1pt" color="#325395 [3204]" miterlimit="8" joinstyle="miter"/>
                <v:imagedata o:title=""/>
                <o:lock v:ext="edit" aspectratio="f"/>
              </v:shape>
            </w:pict>
          </mc:Fallback>
        </mc:AlternateContent>
      </w:r>
      <w:r>
        <w:rPr>
          <w:rFonts w:hint="default" w:ascii="Times New Roman" w:hAnsi="Times New Roman"/>
          <w:b/>
          <w:sz w:val="21"/>
          <w:szCs w:val="21"/>
        </w:rPr>
        <mc:AlternateContent>
          <mc:Choice Requires="wps">
            <w:drawing>
              <wp:anchor distT="0" distB="0" distL="114300" distR="114300" simplePos="0" relativeHeight="251719680" behindDoc="0" locked="0" layoutInCell="1" allowOverlap="1">
                <wp:simplePos x="0" y="0"/>
                <wp:positionH relativeFrom="column">
                  <wp:posOffset>2070100</wp:posOffset>
                </wp:positionH>
                <wp:positionV relativeFrom="paragraph">
                  <wp:posOffset>571500</wp:posOffset>
                </wp:positionV>
                <wp:extent cx="615950" cy="241300"/>
                <wp:effectExtent l="0" t="0" r="0" b="6350"/>
                <wp:wrapNone/>
                <wp:docPr id="724048312" name="文本框 724048312"/>
                <wp:cNvGraphicFramePr/>
                <a:graphic xmlns:a="http://schemas.openxmlformats.org/drawingml/2006/main">
                  <a:graphicData uri="http://schemas.microsoft.com/office/word/2010/wordprocessingShape">
                    <wps:wsp>
                      <wps:cNvSpPr txBox="1"/>
                      <wps:spPr>
                        <a:xfrm>
                          <a:off x="0" y="0"/>
                          <a:ext cx="61595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FFF67D">
                            <w:r>
                              <w:rPr>
                                <w:rFonts w:hint="eastAsia"/>
                              </w:rPr>
                              <w:t>DA003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3pt;margin-top:45pt;height:19pt;width:48.5pt;z-index:251719680;mso-width-relative:page;mso-height-relative:page;" filled="f" stroked="f" coordsize="21600,21600" o:gfxdata="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bIy1PaAAAACgEAAA8AAAAAAAAA&#10;AQAgAAAAIgAAAGRycy9kb3ducmV2LnhtbFBLAQIUABQAAAAIAIdO4kCYdWrOSAIAAIMEAAAOAAAA&#10;AAAAAAEAIAAAACkBAABkcnMvZTJvRG9jLnhtbFBLBQYAAAAABgAGAFkBAADjBQAAAAA=&#10;">
                <v:fill on="f" focussize="0,0"/>
                <v:stroke on="f" weight="0.5pt"/>
                <v:imagedata o:title=""/>
                <o:lock v:ext="edit" aspectratio="f"/>
                <v:textbox>
                  <w:txbxContent>
                    <w:p w14:paraId="16FFF67D">
                      <w:r>
                        <w:rPr>
                          <w:rFonts w:hint="eastAsia"/>
                        </w:rPr>
                        <w:t>DA003</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718656" behindDoc="0" locked="0" layoutInCell="1" allowOverlap="1">
                <wp:simplePos x="0" y="0"/>
                <wp:positionH relativeFrom="column">
                  <wp:posOffset>1816100</wp:posOffset>
                </wp:positionH>
                <wp:positionV relativeFrom="paragraph">
                  <wp:posOffset>647700</wp:posOffset>
                </wp:positionV>
                <wp:extent cx="146050" cy="146050"/>
                <wp:effectExtent l="0" t="0" r="25400" b="25400"/>
                <wp:wrapNone/>
                <wp:docPr id="39" name="椭圆 39"/>
                <wp:cNvGraphicFramePr/>
                <a:graphic xmlns:a="http://schemas.openxmlformats.org/drawingml/2006/main">
                  <a:graphicData uri="http://schemas.microsoft.com/office/word/2010/wordprocessingShape">
                    <wps:wsp>
                      <wps:cNvSpPr/>
                      <wps:spPr>
                        <a:xfrm>
                          <a:off x="0" y="0"/>
                          <a:ext cx="146050" cy="146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43pt;margin-top:51pt;height:11.5pt;width:11.5pt;z-index:251718656;v-text-anchor:middle;mso-width-relative:page;mso-height-relative:page;" fillcolor="#4874CB [3204]" filled="t" stroked="t" coordsize="21600,21600" o:gfxdata="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Bi9KoF1QAAAAsBAAAPAAAAAAAAAAEA&#10;IAAAACIAAABkcnMvZG93bnJldi54bWxQSwECFAAUAAAACACHTuJA79SYZIQCAAAZBQAADgAAAAAA&#10;AAABACAAAAAkAQAAZHJzL2Uyb0RvYy54bWxQSwUGAAAAAAYABgBZAQAAGgYAAAAA&#10;">
                <v:fill on="t" focussize="0,0"/>
                <v:stroke weight="1pt" color="#325395 [3204]" miterlimit="8" joinstyle="miter"/>
                <v:imagedata o:title=""/>
                <o:lock v:ext="edit" aspectratio="f"/>
              </v:shape>
            </w:pict>
          </mc:Fallback>
        </mc:AlternateContent>
      </w:r>
      <w:r>
        <w:rPr>
          <w:rFonts w:hint="default" w:ascii="Times New Roman" w:hAnsi="Times New Roman"/>
          <w:b/>
          <w:sz w:val="21"/>
          <w:szCs w:val="21"/>
        </w:rPr>
        <mc:AlternateContent>
          <mc:Choice Requires="wps">
            <w:drawing>
              <wp:anchor distT="0" distB="0" distL="114300" distR="114300" simplePos="0" relativeHeight="251713536" behindDoc="0" locked="0" layoutInCell="1" allowOverlap="1">
                <wp:simplePos x="0" y="0"/>
                <wp:positionH relativeFrom="column">
                  <wp:posOffset>3657600</wp:posOffset>
                </wp:positionH>
                <wp:positionV relativeFrom="paragraph">
                  <wp:posOffset>431800</wp:posOffset>
                </wp:positionV>
                <wp:extent cx="730250" cy="308610"/>
                <wp:effectExtent l="0" t="0" r="13335" b="15240"/>
                <wp:wrapNone/>
                <wp:docPr id="724048290" name="矩形 724048290"/>
                <wp:cNvGraphicFramePr/>
                <a:graphic xmlns:a="http://schemas.openxmlformats.org/drawingml/2006/main">
                  <a:graphicData uri="http://schemas.microsoft.com/office/word/2010/wordprocessingShape">
                    <wps:wsp>
                      <wps:cNvSpPr/>
                      <wps:spPr>
                        <a:xfrm>
                          <a:off x="0" y="0"/>
                          <a:ext cx="730102" cy="30875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8pt;margin-top:34pt;height:24.3pt;width:57.5pt;z-index:251713536;v-text-anchor:middle;mso-width-relative:page;mso-height-relative:page;" fillcolor="#FFFFFF [3212]" filled="t" stroked="t" coordsize="21600,21600" o:gfxdata="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GQt0PYAAAACgEAAA8AAAAAAAAAAQAgAAAAIgAAAGRycy9kb3du&#10;cmV2LnhtbFBLAQIUABQAAAAIAIdO4kCzphn8cQIAAAMFAAAOAAAAAAAAAAEAIAAAACcBAABkcnMv&#10;ZTJvRG9jLnhtbFBLBQYAAAAABgAGAFkBAAAKBgAAAAA=&#10;">
                <v:fill on="t" focussize="0,0"/>
                <v:stroke weight="1pt" color="#FFFFFF [3212]"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715584" behindDoc="0" locked="0" layoutInCell="1" allowOverlap="1">
                <wp:simplePos x="0" y="0"/>
                <wp:positionH relativeFrom="column">
                  <wp:posOffset>3805555</wp:posOffset>
                </wp:positionH>
                <wp:positionV relativeFrom="paragraph">
                  <wp:posOffset>431800</wp:posOffset>
                </wp:positionV>
                <wp:extent cx="581660" cy="249555"/>
                <wp:effectExtent l="0" t="0" r="0" b="0"/>
                <wp:wrapNone/>
                <wp:docPr id="724048309" name="文本框 724048309"/>
                <wp:cNvGraphicFramePr/>
                <a:graphic xmlns:a="http://schemas.openxmlformats.org/drawingml/2006/main">
                  <a:graphicData uri="http://schemas.microsoft.com/office/word/2010/wordprocessingShape">
                    <wps:wsp>
                      <wps:cNvSpPr txBox="1"/>
                      <wps:spPr>
                        <a:xfrm>
                          <a:off x="0" y="0"/>
                          <a:ext cx="581808" cy="24938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CC0251">
                            <w:r>
                              <w:t>DA004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9.65pt;margin-top:34pt;height:19.65pt;width:45.8pt;z-index:251715584;mso-width-relative:page;mso-height-relative:page;" filled="f" stroked="f" coordsize="21600,21600" o:gfxdata="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h41STbAAAACgEAAA8AAAAA&#10;AAAAAQAgAAAAIgAAAGRycy9kb3ducmV2LnhtbFBLAQIUABQAAAAIAIdO4kAdHawMSgIAAIMEAAAO&#10;AAAAAAAAAAEAIAAAACoBAABkcnMvZTJvRG9jLnhtbFBLBQYAAAAABgAGAFkBAADmBQAAAAA=&#10;">
                <v:fill on="f" focussize="0,0"/>
                <v:stroke on="f" weight="0.5pt"/>
                <v:imagedata o:title=""/>
                <o:lock v:ext="edit" aspectratio="f"/>
                <v:textbox>
                  <w:txbxContent>
                    <w:p w14:paraId="78CC0251">
                      <w:r>
                        <w:t>DA004</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705344" behindDoc="0" locked="0" layoutInCell="1" allowOverlap="1">
                <wp:simplePos x="0" y="0"/>
                <wp:positionH relativeFrom="column">
                  <wp:posOffset>4728845</wp:posOffset>
                </wp:positionH>
                <wp:positionV relativeFrom="paragraph">
                  <wp:posOffset>3601085</wp:posOffset>
                </wp:positionV>
                <wp:extent cx="204470" cy="122555"/>
                <wp:effectExtent l="0" t="0" r="24130" b="11430"/>
                <wp:wrapNone/>
                <wp:docPr id="724048299" name="矩形 724048299"/>
                <wp:cNvGraphicFramePr/>
                <a:graphic xmlns:a="http://schemas.openxmlformats.org/drawingml/2006/main">
                  <a:graphicData uri="http://schemas.microsoft.com/office/word/2010/wordprocessingShape">
                    <wps:wsp>
                      <wps:cNvSpPr/>
                      <wps:spPr>
                        <a:xfrm>
                          <a:off x="0" y="0"/>
                          <a:ext cx="204470" cy="122242"/>
                        </a:xfrm>
                        <a:prstGeom prst="rect">
                          <a:avLst/>
                        </a:prstGeom>
                        <a:solidFill>
                          <a:schemeClr val="bg1">
                            <a:alpha val="30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2.35pt;margin-top:283.55pt;height:9.65pt;width:16.1pt;z-index:251705344;v-text-anchor:middle;mso-width-relative:page;mso-height-relative:page;" fillcolor="#FFFFFF [3212]" filled="t" stroked="t" coordsize="21600,21600" o:gfxdata="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pojsM1wAAAAsBAAAPAAAAAAAAAAEA&#10;IAAAACIAAABkcnMvZG93bnJldi54bWxQSwECFAAUAAAACACHTuJAuNTwB4ICAAAkBQAADgAAAAAA&#10;AAABACAAAAAmAQAAZHJzL2Uyb0RvYy54bWxQSwUGAAAAAAYABgBZAQAAGgYAAAAA&#10;">
                <v:fill on="t" opacity="19660f" focussize="0,0"/>
                <v:stroke weight="1pt" color="#FF0000 [3204]"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704320" behindDoc="0" locked="0" layoutInCell="1" allowOverlap="1">
                <wp:simplePos x="0" y="0"/>
                <wp:positionH relativeFrom="column">
                  <wp:posOffset>4980940</wp:posOffset>
                </wp:positionH>
                <wp:positionV relativeFrom="paragraph">
                  <wp:posOffset>3130550</wp:posOffset>
                </wp:positionV>
                <wp:extent cx="798195" cy="593725"/>
                <wp:effectExtent l="0" t="0" r="0" b="0"/>
                <wp:wrapNone/>
                <wp:docPr id="724048298" name="文本框 724048298"/>
                <wp:cNvGraphicFramePr/>
                <a:graphic xmlns:a="http://schemas.openxmlformats.org/drawingml/2006/main">
                  <a:graphicData uri="http://schemas.microsoft.com/office/word/2010/wordprocessingShape">
                    <wps:wsp>
                      <wps:cNvSpPr txBox="1"/>
                      <wps:spPr>
                        <a:xfrm>
                          <a:off x="0" y="0"/>
                          <a:ext cx="798252" cy="5936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C82EB4">
                            <w:r>
                              <w:rPr>
                                <w:rFonts w:hint="eastAsia"/>
                              </w:rPr>
                              <w:t>原项目</w:t>
                            </w:r>
                          </w:p>
                          <w:p w14:paraId="77F1C01A"/>
                          <w:p w14:paraId="1063A833">
                            <w:r>
                              <w:rPr>
                                <w:rFonts w:hint="eastAsia"/>
                                <w:lang w:val="en-US" w:eastAsia="zh-CN"/>
                              </w:rPr>
                              <w:t>本</w:t>
                            </w:r>
                            <w:r>
                              <w:t>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2.2pt;margin-top:246.5pt;height:46.75pt;width:62.85pt;z-index:251704320;mso-width-relative:page;mso-height-relative:page;" filled="f" stroked="f" coordsize="21600,21600" o:gfxdata="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Gdf0hdwAAAALAQAADwAA&#10;AAAAAAABACAAAAAiAAAAZHJzL2Rvd25yZXYueG1sUEsBAhQAFAAAAAgAh07iQGpKad5LAgAAgwQA&#10;AA4AAAAAAAAAAQAgAAAAKwEAAGRycy9lMm9Eb2MueG1sUEsFBgAAAAAGAAYAWQEAAOgFAAAAAA==&#10;">
                <v:fill on="f" focussize="0,0"/>
                <v:stroke on="f" weight="0.5pt"/>
                <v:imagedata o:title=""/>
                <o:lock v:ext="edit" aspectratio="f"/>
                <v:textbox>
                  <w:txbxContent>
                    <w:p w14:paraId="3CC82EB4">
                      <w:r>
                        <w:rPr>
                          <w:rFonts w:hint="eastAsia"/>
                        </w:rPr>
                        <w:t>原项目</w:t>
                      </w:r>
                    </w:p>
                    <w:p w14:paraId="77F1C01A"/>
                    <w:p w14:paraId="1063A833">
                      <w:r>
                        <w:rPr>
                          <w:rFonts w:hint="eastAsia"/>
                          <w:lang w:val="en-US" w:eastAsia="zh-CN"/>
                        </w:rPr>
                        <w:t>本</w:t>
                      </w:r>
                      <w:r>
                        <w:t>项目</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703296" behindDoc="0" locked="0" layoutInCell="1" allowOverlap="1">
                <wp:simplePos x="0" y="0"/>
                <wp:positionH relativeFrom="column">
                  <wp:posOffset>4728845</wp:posOffset>
                </wp:positionH>
                <wp:positionV relativeFrom="paragraph">
                  <wp:posOffset>3204210</wp:posOffset>
                </wp:positionV>
                <wp:extent cx="204470" cy="123825"/>
                <wp:effectExtent l="0" t="0" r="24130" b="28575"/>
                <wp:wrapNone/>
                <wp:docPr id="724048297" name="矩形 724048297"/>
                <wp:cNvGraphicFramePr/>
                <a:graphic xmlns:a="http://schemas.openxmlformats.org/drawingml/2006/main">
                  <a:graphicData uri="http://schemas.microsoft.com/office/word/2010/wordprocessingShape">
                    <wps:wsp>
                      <wps:cNvSpPr/>
                      <wps:spPr>
                        <a:xfrm>
                          <a:off x="0" y="0"/>
                          <a:ext cx="204717" cy="124138"/>
                        </a:xfrm>
                        <a:prstGeom prst="rect">
                          <a:avLst/>
                        </a:prstGeom>
                        <a:solidFill>
                          <a:schemeClr val="bg1">
                            <a:alpha val="30000"/>
                          </a:scheme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2.35pt;margin-top:252.3pt;height:9.75pt;width:16.1pt;z-index:251703296;v-text-anchor:middle;mso-width-relative:page;mso-height-relative:page;" fillcolor="#FFFFFF [3212]" filled="t" stroked="t" coordsize="21600,21600" o:gfxdata="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zG+Hd2gAAAAsBAAAPAAAAAAAA&#10;AAEAIAAAACIAAABkcnMvZG93bnJldi54bWxQSwECFAAUAAAACACHTuJAC1FS9YICAAAkBQAADgAA&#10;AAAAAAABACAAAAApAQAAZHJzL2Uyb0RvYy54bWxQSwUGAAAAAAYABgBZAQAAHQYAAAAA&#10;">
                <v:fill on="t" opacity="19660f" focussize="0,0"/>
                <v:stroke weight="1pt" color="#FFFF00 [3204]"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701248" behindDoc="0" locked="0" layoutInCell="1" allowOverlap="1">
                <wp:simplePos x="0" y="0"/>
                <wp:positionH relativeFrom="column">
                  <wp:posOffset>4646295</wp:posOffset>
                </wp:positionH>
                <wp:positionV relativeFrom="paragraph">
                  <wp:posOffset>2823210</wp:posOffset>
                </wp:positionV>
                <wp:extent cx="1391920" cy="1207770"/>
                <wp:effectExtent l="0" t="0" r="17780" b="11430"/>
                <wp:wrapNone/>
                <wp:docPr id="724048295" name="矩形 724048295"/>
                <wp:cNvGraphicFramePr/>
                <a:graphic xmlns:a="http://schemas.openxmlformats.org/drawingml/2006/main">
                  <a:graphicData uri="http://schemas.microsoft.com/office/word/2010/wordprocessingShape">
                    <wps:wsp>
                      <wps:cNvSpPr/>
                      <wps:spPr>
                        <a:xfrm>
                          <a:off x="0" y="0"/>
                          <a:ext cx="1392072" cy="120782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5.85pt;margin-top:222.3pt;height:95.1pt;width:109.6pt;z-index:251701248;v-text-anchor:middle;mso-width-relative:page;mso-height-relative:page;" filled="f" stroked="t" coordsize="21600,21600" o:gfxdata="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vua9HaAAAACwEAAA8AAAAAAAAAAQAgAAAAIgAAAGRycy9kb3du&#10;cmV2LnhtbFBLAQIUABQAAAAIAIdO4kAIHxU+bwIAANwEAAAOAAAAAAAAAAEAIAAAACkBAABkcnMv&#10;ZTJvRG9jLnhtbFBLBQYAAAAABgAGAFkBAAAKBgAAAAA=&#10;">
                <v:fill on="f"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702272" behindDoc="0" locked="0" layoutInCell="1" allowOverlap="1">
                <wp:simplePos x="0" y="0"/>
                <wp:positionH relativeFrom="column">
                  <wp:posOffset>4817110</wp:posOffset>
                </wp:positionH>
                <wp:positionV relativeFrom="paragraph">
                  <wp:posOffset>2858135</wp:posOffset>
                </wp:positionV>
                <wp:extent cx="962025" cy="347345"/>
                <wp:effectExtent l="0" t="0" r="0" b="0"/>
                <wp:wrapNone/>
                <wp:docPr id="724048296" name="文本框 724048296"/>
                <wp:cNvGraphicFramePr/>
                <a:graphic xmlns:a="http://schemas.openxmlformats.org/drawingml/2006/main">
                  <a:graphicData uri="http://schemas.microsoft.com/office/word/2010/wordprocessingShape">
                    <wps:wsp>
                      <wps:cNvSpPr txBox="1"/>
                      <wps:spPr>
                        <a:xfrm>
                          <a:off x="0" y="0"/>
                          <a:ext cx="962167" cy="3473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51A3E3">
                            <w:pPr>
                              <w:jc w:val="center"/>
                            </w:pPr>
                            <w:r>
                              <w:rPr>
                                <w:rFonts w:hint="eastAsia"/>
                              </w:rPr>
                              <w:t>图例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9.3pt;margin-top:225.05pt;height:27.35pt;width:75.75pt;z-index:251702272;mso-width-relative:page;mso-height-relative:page;" filled="f" stroked="f" coordsize="21600,21600" o:gfxdata="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4k0enbAAAACwEAAA8AAAAA&#10;AAAAAQAgAAAAIgAAAGRycy9kb3ducmV2LnhtbFBLAQIUABQAAAAIAIdO4kCGcN8XSgIAAIMEAAAO&#10;AAAAAAAAAAEAIAAAACoBAABkcnMvZTJvRG9jLnhtbFBLBQYAAAAABgAGAFkBAADmBQAAAAA=&#10;">
                <v:fill on="f" focussize="0,0"/>
                <v:stroke on="f" weight="0.5pt"/>
                <v:imagedata o:title=""/>
                <o:lock v:ext="edit" aspectratio="f"/>
                <v:textbox>
                  <w:txbxContent>
                    <w:p w14:paraId="6551A3E3">
                      <w:pPr>
                        <w:jc w:val="center"/>
                      </w:pPr>
                      <w:r>
                        <w:rPr>
                          <w:rFonts w:hint="eastAsia"/>
                        </w:rPr>
                        <w:t>图例</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700224" behindDoc="0" locked="0" layoutInCell="1" allowOverlap="1">
                <wp:simplePos x="0" y="0"/>
                <wp:positionH relativeFrom="column">
                  <wp:posOffset>4978400</wp:posOffset>
                </wp:positionH>
                <wp:positionV relativeFrom="paragraph">
                  <wp:posOffset>361950</wp:posOffset>
                </wp:positionV>
                <wp:extent cx="1200785" cy="1796415"/>
                <wp:effectExtent l="19050" t="19050" r="37465" b="32385"/>
                <wp:wrapNone/>
                <wp:docPr id="724048294" name="任意多边形 724048294"/>
                <wp:cNvGraphicFramePr/>
                <a:graphic xmlns:a="http://schemas.openxmlformats.org/drawingml/2006/main">
                  <a:graphicData uri="http://schemas.microsoft.com/office/word/2010/wordprocessingShape">
                    <wps:wsp>
                      <wps:cNvSpPr/>
                      <wps:spPr>
                        <a:xfrm>
                          <a:off x="0" y="0"/>
                          <a:ext cx="1201003" cy="1796415"/>
                        </a:xfrm>
                        <a:custGeom>
                          <a:avLst/>
                          <a:gdLst>
                            <a:gd name="connsiteX0" fmla="*/ 798394 w 1201003"/>
                            <a:gd name="connsiteY0" fmla="*/ 13648 h 1821976"/>
                            <a:gd name="connsiteX1" fmla="*/ 689212 w 1201003"/>
                            <a:gd name="connsiteY1" fmla="*/ 13648 h 1821976"/>
                            <a:gd name="connsiteX2" fmla="*/ 702860 w 1201003"/>
                            <a:gd name="connsiteY2" fmla="*/ 723331 h 1821976"/>
                            <a:gd name="connsiteX3" fmla="*/ 702860 w 1201003"/>
                            <a:gd name="connsiteY3" fmla="*/ 846161 h 1821976"/>
                            <a:gd name="connsiteX4" fmla="*/ 6824 w 1201003"/>
                            <a:gd name="connsiteY4" fmla="*/ 846161 h 1821976"/>
                            <a:gd name="connsiteX5" fmla="*/ 0 w 1201003"/>
                            <a:gd name="connsiteY5" fmla="*/ 1815152 h 1821976"/>
                            <a:gd name="connsiteX6" fmla="*/ 1201003 w 1201003"/>
                            <a:gd name="connsiteY6" fmla="*/ 1821976 h 1821976"/>
                            <a:gd name="connsiteX7" fmla="*/ 1153236 w 1201003"/>
                            <a:gd name="connsiteY7" fmla="*/ 0 h 1821976"/>
                            <a:gd name="connsiteX8" fmla="*/ 798394 w 1201003"/>
                            <a:gd name="connsiteY8" fmla="*/ 13648 h 18219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01003" h="1821976">
                              <a:moveTo>
                                <a:pt x="798394" y="13648"/>
                              </a:moveTo>
                              <a:lnTo>
                                <a:pt x="689212" y="13648"/>
                              </a:lnTo>
                              <a:lnTo>
                                <a:pt x="702860" y="723331"/>
                              </a:lnTo>
                              <a:lnTo>
                                <a:pt x="702860" y="846161"/>
                              </a:lnTo>
                              <a:lnTo>
                                <a:pt x="6824" y="846161"/>
                              </a:lnTo>
                              <a:cubicBezTo>
                                <a:pt x="4549" y="1169158"/>
                                <a:pt x="2275" y="1492155"/>
                                <a:pt x="0" y="1815152"/>
                              </a:cubicBezTo>
                              <a:lnTo>
                                <a:pt x="1201003" y="1821976"/>
                              </a:lnTo>
                              <a:lnTo>
                                <a:pt x="1153236" y="0"/>
                              </a:lnTo>
                              <a:lnTo>
                                <a:pt x="798394" y="13648"/>
                              </a:lnTo>
                              <a:close/>
                            </a:path>
                          </a:pathLst>
                        </a:custGeom>
                        <a:solidFill>
                          <a:schemeClr val="bg1">
                            <a:alpha val="30000"/>
                          </a:scheme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392pt;margin-top:28.5pt;height:141.45pt;width:94.55pt;z-index:251700224;v-text-anchor:middle;mso-width-relative:page;mso-height-relative:page;" fillcolor="#FFFFFF [3212]" filled="t" stroked="t" coordsize="1201003,1821976" o:gfxdata="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" path="m798394,13648l689212,13648,702860,723331,702860,846161,6824,846161c4549,1169158,2275,1492155,0,1815152l1201003,1821976,1153236,0,798394,13648xe">
                <v:path o:connectlocs="798394,13456;689212,13456;702860,713183;702860,834289;6824,834289;0,1789686;1201003,1796415;1153236,0;798394,13456" o:connectangles="0,0,0,0,0,0,0,0,0"/>
                <v:fill on="t" opacity="19660f" focussize="0,0"/>
                <v:stroke weight="1pt" color="#FFFF00 [3204]" miterlimit="8" joinstyle="miter"/>
                <v:imagedata o:title=""/>
                <o:lock v:ext="edit" aspectratio="f"/>
              </v:shape>
            </w:pict>
          </mc:Fallback>
        </mc:AlternateContent>
      </w:r>
      <w:r>
        <w:rPr>
          <w:rFonts w:hint="default" w:ascii="Times New Roman" w:hAnsi="Times New Roman"/>
          <w:b/>
          <w:sz w:val="21"/>
          <w:szCs w:val="21"/>
        </w:rPr>
        <mc:AlternateContent>
          <mc:Choice Requires="wps">
            <w:drawing>
              <wp:anchor distT="0" distB="0" distL="114300" distR="114300" simplePos="0" relativeHeight="251697152" behindDoc="0" locked="0" layoutInCell="1" allowOverlap="1">
                <wp:simplePos x="0" y="0"/>
                <wp:positionH relativeFrom="column">
                  <wp:posOffset>2838450</wp:posOffset>
                </wp:positionH>
                <wp:positionV relativeFrom="paragraph">
                  <wp:posOffset>2701290</wp:posOffset>
                </wp:positionV>
                <wp:extent cx="285750" cy="775970"/>
                <wp:effectExtent l="0" t="0" r="0" b="5080"/>
                <wp:wrapNone/>
                <wp:docPr id="724048287" name="文本框 724048287"/>
                <wp:cNvGraphicFramePr/>
                <a:graphic xmlns:a="http://schemas.openxmlformats.org/drawingml/2006/main">
                  <a:graphicData uri="http://schemas.microsoft.com/office/word/2010/wordprocessingShape">
                    <wps:wsp>
                      <wps:cNvSpPr txBox="1"/>
                      <wps:spPr>
                        <a:xfrm>
                          <a:off x="0" y="0"/>
                          <a:ext cx="285433" cy="776287"/>
                        </a:xfrm>
                        <a:prstGeom prst="rect">
                          <a:avLst/>
                        </a:prstGeom>
                        <a:noFill/>
                        <a:ln w="6350">
                          <a:noFill/>
                        </a:ln>
                        <a:effectLst/>
                      </wps:spPr>
                      <wps:txbx>
                        <w:txbxContent>
                          <w:p w14:paraId="39AF4EA4">
                            <w:r>
                              <w:rPr>
                                <w:rFonts w:hint="eastAsia"/>
                              </w:rPr>
                              <w:t>中频</w:t>
                            </w:r>
                            <w:r>
                              <w:t>电炉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3.5pt;margin-top:212.7pt;height:61.1pt;width:22.5pt;z-index:251697152;mso-width-relative:page;mso-height-relative:page;" filled="f" stroked="f" coordsize="21600,21600" o:gfxdata="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Pf649wAAAALAQAADwAAAAAA&#10;AAABACAAAAAiAAAAZHJzL2Rvd25yZXYueG1sUEsBAhQAFAAAAAgAh07iQO5QoEhIAgAAgwQAAA4A&#10;AAAAAAAAAQAgAAAAKwEAAGRycy9lMm9Eb2MueG1sUEsFBgAAAAAGAAYAWQEAAOUFAAAAAA==&#10;">
                <v:fill on="f" focussize="0,0"/>
                <v:stroke on="f" weight="0.5pt"/>
                <v:imagedata o:title=""/>
                <o:lock v:ext="edit" aspectratio="f"/>
                <v:textbox>
                  <w:txbxContent>
                    <w:p w14:paraId="39AF4EA4">
                      <w:r>
                        <w:rPr>
                          <w:rFonts w:hint="eastAsia"/>
                        </w:rPr>
                        <w:t>中频</w:t>
                      </w:r>
                      <w:r>
                        <w:t>电炉</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96128" behindDoc="0" locked="0" layoutInCell="1" allowOverlap="1">
                <wp:simplePos x="0" y="0"/>
                <wp:positionH relativeFrom="column">
                  <wp:posOffset>2552700</wp:posOffset>
                </wp:positionH>
                <wp:positionV relativeFrom="paragraph">
                  <wp:posOffset>2701290</wp:posOffset>
                </wp:positionV>
                <wp:extent cx="285750" cy="775970"/>
                <wp:effectExtent l="0" t="0" r="0" b="5080"/>
                <wp:wrapNone/>
                <wp:docPr id="724048286" name="文本框 724048286"/>
                <wp:cNvGraphicFramePr/>
                <a:graphic xmlns:a="http://schemas.openxmlformats.org/drawingml/2006/main">
                  <a:graphicData uri="http://schemas.microsoft.com/office/word/2010/wordprocessingShape">
                    <wps:wsp>
                      <wps:cNvSpPr txBox="1"/>
                      <wps:spPr>
                        <a:xfrm>
                          <a:off x="0" y="0"/>
                          <a:ext cx="285433" cy="776287"/>
                        </a:xfrm>
                        <a:prstGeom prst="rect">
                          <a:avLst/>
                        </a:prstGeom>
                        <a:noFill/>
                        <a:ln w="6350">
                          <a:noFill/>
                        </a:ln>
                        <a:effectLst/>
                      </wps:spPr>
                      <wps:txbx>
                        <w:txbxContent>
                          <w:p w14:paraId="30C91CAB">
                            <w:r>
                              <w:rPr>
                                <w:rFonts w:hint="eastAsia"/>
                              </w:rPr>
                              <w:t>中频</w:t>
                            </w:r>
                            <w:r>
                              <w:t>电炉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1pt;margin-top:212.7pt;height:61.1pt;width:22.5pt;z-index:251696128;mso-width-relative:page;mso-height-relative:page;" filled="f" stroked="f" coordsize="21600,21600" o:gfxdata="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aK4tw9wAAAALAQAADwAA&#10;AAAAAAABACAAAAAiAAAAZHJzL2Rvd25yZXYueG1sUEsBAhQAFAAAAAgAh07iQLwI+MlLAgAAgwQA&#10;AA4AAAAAAAAAAQAgAAAAKwEAAGRycy9lMm9Eb2MueG1sUEsFBgAAAAAGAAYAWQEAAOgFAAAAAA==&#10;">
                <v:fill on="f" focussize="0,0"/>
                <v:stroke on="f" weight="0.5pt"/>
                <v:imagedata o:title=""/>
                <o:lock v:ext="edit" aspectratio="f"/>
                <v:textbox>
                  <w:txbxContent>
                    <w:p w14:paraId="30C91CAB">
                      <w:r>
                        <w:rPr>
                          <w:rFonts w:hint="eastAsia"/>
                        </w:rPr>
                        <w:t>中频</w:t>
                      </w:r>
                      <w:r>
                        <w:t>电炉</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94080" behindDoc="0" locked="0" layoutInCell="1" allowOverlap="1">
                <wp:simplePos x="0" y="0"/>
                <wp:positionH relativeFrom="column">
                  <wp:posOffset>2552700</wp:posOffset>
                </wp:positionH>
                <wp:positionV relativeFrom="paragraph">
                  <wp:posOffset>1835150</wp:posOffset>
                </wp:positionV>
                <wp:extent cx="285750" cy="775970"/>
                <wp:effectExtent l="0" t="0" r="0" b="5080"/>
                <wp:wrapNone/>
                <wp:docPr id="724048284" name="文本框 724048284"/>
                <wp:cNvGraphicFramePr/>
                <a:graphic xmlns:a="http://schemas.openxmlformats.org/drawingml/2006/main">
                  <a:graphicData uri="http://schemas.microsoft.com/office/word/2010/wordprocessingShape">
                    <wps:wsp>
                      <wps:cNvSpPr txBox="1"/>
                      <wps:spPr>
                        <a:xfrm>
                          <a:off x="0" y="0"/>
                          <a:ext cx="285433" cy="776287"/>
                        </a:xfrm>
                        <a:prstGeom prst="rect">
                          <a:avLst/>
                        </a:prstGeom>
                        <a:noFill/>
                        <a:ln w="6350">
                          <a:noFill/>
                        </a:ln>
                        <a:effectLst/>
                      </wps:spPr>
                      <wps:txbx>
                        <w:txbxContent>
                          <w:p w14:paraId="07C19158">
                            <w:r>
                              <w:rPr>
                                <w:rFonts w:hint="eastAsia"/>
                              </w:rPr>
                              <w:t>中频</w:t>
                            </w:r>
                            <w:r>
                              <w:t>电炉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1pt;margin-top:144.5pt;height:61.1pt;width:22.5pt;z-index:251694080;mso-width-relative:page;mso-height-relative:page;" filled="f" stroked="f" coordsize="21600,21600" o:gfxdata="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GtX2faAAAACwEAAA8AAAAA&#10;AAAAAQAgAAAAIgAAAGRycy9kb3ducmV2LnhtbFBLAQIUABQAAAAIAIdO4kBZvjkQSwIAAIMEAAAO&#10;AAAAAAAAAAEAIAAAACkBAABkcnMvZTJvRG9jLnhtbFBLBQYAAAAABgAGAFkBAADmBQAAAAA=&#10;">
                <v:fill on="f" focussize="0,0"/>
                <v:stroke on="f" weight="0.5pt"/>
                <v:imagedata o:title=""/>
                <o:lock v:ext="edit" aspectratio="f"/>
                <v:textbox>
                  <w:txbxContent>
                    <w:p w14:paraId="07C19158">
                      <w:r>
                        <w:rPr>
                          <w:rFonts w:hint="eastAsia"/>
                        </w:rPr>
                        <w:t>中频</w:t>
                      </w:r>
                      <w:r>
                        <w:t>电炉</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95104" behindDoc="0" locked="0" layoutInCell="1" allowOverlap="1">
                <wp:simplePos x="0" y="0"/>
                <wp:positionH relativeFrom="column">
                  <wp:posOffset>2838450</wp:posOffset>
                </wp:positionH>
                <wp:positionV relativeFrom="paragraph">
                  <wp:posOffset>1826260</wp:posOffset>
                </wp:positionV>
                <wp:extent cx="285750" cy="775970"/>
                <wp:effectExtent l="0" t="0" r="0" b="5080"/>
                <wp:wrapNone/>
                <wp:docPr id="724048285" name="文本框 724048285"/>
                <wp:cNvGraphicFramePr/>
                <a:graphic xmlns:a="http://schemas.openxmlformats.org/drawingml/2006/main">
                  <a:graphicData uri="http://schemas.microsoft.com/office/word/2010/wordprocessingShape">
                    <wps:wsp>
                      <wps:cNvSpPr txBox="1"/>
                      <wps:spPr>
                        <a:xfrm>
                          <a:off x="0" y="0"/>
                          <a:ext cx="285433" cy="776287"/>
                        </a:xfrm>
                        <a:prstGeom prst="rect">
                          <a:avLst/>
                        </a:prstGeom>
                        <a:noFill/>
                        <a:ln w="6350">
                          <a:noFill/>
                        </a:ln>
                        <a:effectLst/>
                      </wps:spPr>
                      <wps:txbx>
                        <w:txbxContent>
                          <w:p w14:paraId="3DA5229B">
                            <w:r>
                              <w:rPr>
                                <w:rFonts w:hint="eastAsia"/>
                              </w:rPr>
                              <w:t>中频</w:t>
                            </w:r>
                            <w:r>
                              <w:t>电炉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3.5pt;margin-top:143.8pt;height:61.1pt;width:22.5pt;z-index:251695104;mso-width-relative:page;mso-height-relative:page;" filled="f" stroked="f" coordsize="21600,21600" o:gfxdata="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zT7voNwAAAALAQAADwAAAAAA&#10;AAABACAAAAAiAAAAZHJzL2Rvd25yZXYueG1sUEsBAhQAFAAAAAgAh07iQAvmYZFIAgAAgwQAAA4A&#10;AAAAAAAAAQAgAAAAKwEAAGRycy9lMm9Eb2MueG1sUEsFBgAAAAAGAAYAWQEAAOUFAAAAAA==&#10;">
                <v:fill on="f" focussize="0,0"/>
                <v:stroke on="f" weight="0.5pt"/>
                <v:imagedata o:title=""/>
                <o:lock v:ext="edit" aspectratio="f"/>
                <v:textbox>
                  <w:txbxContent>
                    <w:p w14:paraId="3DA5229B">
                      <w:r>
                        <w:rPr>
                          <w:rFonts w:hint="eastAsia"/>
                        </w:rPr>
                        <w:t>中频</w:t>
                      </w:r>
                      <w:r>
                        <w:t>电炉</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93056" behindDoc="0" locked="0" layoutInCell="1" allowOverlap="1">
                <wp:simplePos x="0" y="0"/>
                <wp:positionH relativeFrom="column">
                  <wp:posOffset>2810510</wp:posOffset>
                </wp:positionH>
                <wp:positionV relativeFrom="paragraph">
                  <wp:posOffset>863600</wp:posOffset>
                </wp:positionV>
                <wp:extent cx="285750" cy="775970"/>
                <wp:effectExtent l="0" t="0" r="0" b="5080"/>
                <wp:wrapNone/>
                <wp:docPr id="724048283" name="文本框 724048283"/>
                <wp:cNvGraphicFramePr/>
                <a:graphic xmlns:a="http://schemas.openxmlformats.org/drawingml/2006/main">
                  <a:graphicData uri="http://schemas.microsoft.com/office/word/2010/wordprocessingShape">
                    <wps:wsp>
                      <wps:cNvSpPr txBox="1"/>
                      <wps:spPr>
                        <a:xfrm>
                          <a:off x="0" y="0"/>
                          <a:ext cx="285433" cy="776287"/>
                        </a:xfrm>
                        <a:prstGeom prst="rect">
                          <a:avLst/>
                        </a:prstGeom>
                        <a:noFill/>
                        <a:ln w="6350">
                          <a:noFill/>
                        </a:ln>
                        <a:effectLst/>
                      </wps:spPr>
                      <wps:txbx>
                        <w:txbxContent>
                          <w:p w14:paraId="34C0E1B4">
                            <w:r>
                              <w:rPr>
                                <w:rFonts w:hint="eastAsia"/>
                              </w:rPr>
                              <w:t>中频</w:t>
                            </w:r>
                            <w:r>
                              <w:t>电炉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3pt;margin-top:68pt;height:61.1pt;width:22.5pt;z-index:251693056;mso-width-relative:page;mso-height-relative:page;" filled="f" stroked="f" coordsize="21600,21600" o:gfxdata="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iSZF/bAAAACwEAAA8AAAAA&#10;AAAAAQAgAAAAIgAAAGRycy9kb3ducmV2LnhtbFBLAQIUABQAAAAIAIdO4kBlO1IgSgIAAIMEAAAO&#10;AAAAAAAAAAEAIAAAACoBAABkcnMvZTJvRG9jLnhtbFBLBQYAAAAABgAGAFkBAADmBQAAAAA=&#10;">
                <v:fill on="f" focussize="0,0"/>
                <v:stroke on="f" weight="0.5pt"/>
                <v:imagedata o:title=""/>
                <o:lock v:ext="edit" aspectratio="f"/>
                <v:textbox>
                  <w:txbxContent>
                    <w:p w14:paraId="34C0E1B4">
                      <w:r>
                        <w:rPr>
                          <w:rFonts w:hint="eastAsia"/>
                        </w:rPr>
                        <w:t>中频</w:t>
                      </w:r>
                      <w:r>
                        <w:t>电炉</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92032" behindDoc="0" locked="0" layoutInCell="1" allowOverlap="1">
                <wp:simplePos x="0" y="0"/>
                <wp:positionH relativeFrom="column">
                  <wp:posOffset>2524125</wp:posOffset>
                </wp:positionH>
                <wp:positionV relativeFrom="paragraph">
                  <wp:posOffset>901700</wp:posOffset>
                </wp:positionV>
                <wp:extent cx="285750" cy="775970"/>
                <wp:effectExtent l="0" t="0" r="0" b="5080"/>
                <wp:wrapNone/>
                <wp:docPr id="724048282" name="文本框 724048282"/>
                <wp:cNvGraphicFramePr/>
                <a:graphic xmlns:a="http://schemas.openxmlformats.org/drawingml/2006/main">
                  <a:graphicData uri="http://schemas.microsoft.com/office/word/2010/wordprocessingShape">
                    <wps:wsp>
                      <wps:cNvSpPr txBox="1"/>
                      <wps:spPr>
                        <a:xfrm>
                          <a:off x="0" y="0"/>
                          <a:ext cx="285433" cy="7762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D417EB">
                            <w:r>
                              <w:rPr>
                                <w:rFonts w:hint="eastAsia"/>
                              </w:rPr>
                              <w:t>中频</w:t>
                            </w:r>
                            <w:r>
                              <w:t>电炉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75pt;margin-top:71pt;height:61.1pt;width:22.5pt;z-index:251692032;mso-width-relative:page;mso-height-relative:page;" filled="f" stroked="f" coordsize="21600,21600" o:gfxdata="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W4JBHbAAAACwEAAA8AAAAA&#10;AAAAAQAgAAAAIgAAAGRycy9kb3ducmV2LnhtbFBLAQIUABQAAAAIAIdO4kA3YwqhSgIAAIMEAAAO&#10;AAAAAAAAAAEAIAAAACoBAABkcnMvZTJvRG9jLnhtbFBLBQYAAAAABgAGAFkBAADmBQAAAAA=&#10;">
                <v:fill on="f" focussize="0,0"/>
                <v:stroke on="f" weight="0.5pt"/>
                <v:imagedata o:title=""/>
                <o:lock v:ext="edit" aspectratio="f"/>
                <v:textbox>
                  <w:txbxContent>
                    <w:p w14:paraId="57D417EB">
                      <w:r>
                        <w:rPr>
                          <w:rFonts w:hint="eastAsia"/>
                        </w:rPr>
                        <w:t>中频</w:t>
                      </w:r>
                      <w:r>
                        <w:t>电炉</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91008" behindDoc="0" locked="0" layoutInCell="1" allowOverlap="1">
                <wp:simplePos x="0" y="0"/>
                <wp:positionH relativeFrom="column">
                  <wp:posOffset>2875915</wp:posOffset>
                </wp:positionH>
                <wp:positionV relativeFrom="paragraph">
                  <wp:posOffset>2701925</wp:posOffset>
                </wp:positionV>
                <wp:extent cx="219075" cy="775335"/>
                <wp:effectExtent l="0" t="0" r="28575" b="24765"/>
                <wp:wrapNone/>
                <wp:docPr id="724048281" name="矩形 724048281"/>
                <wp:cNvGraphicFramePr/>
                <a:graphic xmlns:a="http://schemas.openxmlformats.org/drawingml/2006/main">
                  <a:graphicData uri="http://schemas.microsoft.com/office/word/2010/wordprocessingShape">
                    <wps:wsp>
                      <wps:cNvSpPr/>
                      <wps:spPr>
                        <a:xfrm>
                          <a:off x="0" y="0"/>
                          <a:ext cx="219075" cy="77533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45pt;margin-top:212.75pt;height:61.05pt;width:17.25pt;z-index:251691008;v-text-anchor:middle;mso-width-relative:page;mso-height-relative:page;" fillcolor="#FFFFFF [3212]" filled="t" stroked="t" coordsize="21600,21600" o:gfxdata="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&#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Z4+DeNkAAAALAQAADwAAAAAAAAABACAAAAAiAAAAZHJz&#10;L2Rvd25yZXYueG1sUEsBAhQAFAAAAAgAh07iQJ9Wq2V1AgAAAwUAAA4AAAAAAAAAAQAgAAAAKAEA&#10;AGRycy9lMm9Eb2MueG1sUEsFBgAAAAAGAAYAWQEAAA8GAAAAAA==&#10;">
                <v:fill on="t"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88960" behindDoc="0" locked="0" layoutInCell="1" allowOverlap="1">
                <wp:simplePos x="0" y="0"/>
                <wp:positionH relativeFrom="column">
                  <wp:posOffset>2875915</wp:posOffset>
                </wp:positionH>
                <wp:positionV relativeFrom="paragraph">
                  <wp:posOffset>1830705</wp:posOffset>
                </wp:positionV>
                <wp:extent cx="219075" cy="771525"/>
                <wp:effectExtent l="0" t="0" r="28575" b="28575"/>
                <wp:wrapNone/>
                <wp:docPr id="724048279" name="矩形 724048279"/>
                <wp:cNvGraphicFramePr/>
                <a:graphic xmlns:a="http://schemas.openxmlformats.org/drawingml/2006/main">
                  <a:graphicData uri="http://schemas.microsoft.com/office/word/2010/wordprocessingShape">
                    <wps:wsp>
                      <wps:cNvSpPr/>
                      <wps:spPr>
                        <a:xfrm>
                          <a:off x="0" y="0"/>
                          <a:ext cx="219075" cy="7715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45pt;margin-top:144.15pt;height:60.75pt;width:17.25pt;z-index:251688960;v-text-anchor:middle;mso-width-relative:page;mso-height-relative:page;" fillcolor="#FFFFFF [3212]" filled="t" stroked="t" coordsize="21600,21600" o:gfxdata="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2xf89NkAAAALAQAADwAAAAAAAAABACAAAAAiAAAAZHJz&#10;L2Rvd25yZXYueG1sUEsBAhQAFAAAAAgAh07iQL/Bs6V1AgAAAwUAAA4AAAAAAAAAAQAgAAAAKAEA&#10;AGRycy9lMm9Eb2MueG1sUEsFBgAAAAAGAAYAWQEAAA8GAAAAAA==&#10;">
                <v:fill on="t"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89984" behindDoc="0" locked="0" layoutInCell="1" allowOverlap="1">
                <wp:simplePos x="0" y="0"/>
                <wp:positionH relativeFrom="column">
                  <wp:posOffset>2595245</wp:posOffset>
                </wp:positionH>
                <wp:positionV relativeFrom="paragraph">
                  <wp:posOffset>2701925</wp:posOffset>
                </wp:positionV>
                <wp:extent cx="213995" cy="775335"/>
                <wp:effectExtent l="0" t="0" r="14605" b="24765"/>
                <wp:wrapNone/>
                <wp:docPr id="724048280" name="矩形 724048280"/>
                <wp:cNvGraphicFramePr/>
                <a:graphic xmlns:a="http://schemas.openxmlformats.org/drawingml/2006/main">
                  <a:graphicData uri="http://schemas.microsoft.com/office/word/2010/wordprocessingShape">
                    <wps:wsp>
                      <wps:cNvSpPr/>
                      <wps:spPr>
                        <a:xfrm>
                          <a:off x="0" y="0"/>
                          <a:ext cx="213995" cy="77565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4.35pt;margin-top:212.75pt;height:61.05pt;width:16.85pt;z-index:251689984;v-text-anchor:middle;mso-width-relative:page;mso-height-relative:page;" fillcolor="#FFFFFF [3212]" filled="t" stroked="t" coordsize="21600,21600" o:gfxdata="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E432/LZAAAACwEAAA8AAAAAAAAAAQAgAAAAIgAAAGRy&#10;cy9kb3ducmV2LnhtbFBLAQIUABQAAAAIAIdO4kBoib6idgIAAAMFAAAOAAAAAAAAAAEAIAAAACgB&#10;AABkcnMvZTJvRG9jLnhtbFBLBQYAAAAABgAGAFkBAAAQBgAAAAA=&#10;">
                <v:fill on="t"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87936" behindDoc="0" locked="0" layoutInCell="1" allowOverlap="1">
                <wp:simplePos x="0" y="0"/>
                <wp:positionH relativeFrom="column">
                  <wp:posOffset>2595245</wp:posOffset>
                </wp:positionH>
                <wp:positionV relativeFrom="paragraph">
                  <wp:posOffset>1830705</wp:posOffset>
                </wp:positionV>
                <wp:extent cx="213995" cy="771525"/>
                <wp:effectExtent l="0" t="0" r="14605" b="28575"/>
                <wp:wrapNone/>
                <wp:docPr id="724048278" name="矩形 724048278"/>
                <wp:cNvGraphicFramePr/>
                <a:graphic xmlns:a="http://schemas.openxmlformats.org/drawingml/2006/main">
                  <a:graphicData uri="http://schemas.microsoft.com/office/word/2010/wordprocessingShape">
                    <wps:wsp>
                      <wps:cNvSpPr/>
                      <wps:spPr>
                        <a:xfrm>
                          <a:off x="0" y="0"/>
                          <a:ext cx="213995" cy="7715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4.35pt;margin-top:144.15pt;height:60.75pt;width:16.85pt;z-index:251687936;v-text-anchor:middle;mso-width-relative:page;mso-height-relative:page;" fillcolor="#FFFFFF [3212]" filled="t" stroked="t" coordsize="21600,21600" o:gfxdata="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yr6R+1wAAAAsBAAAPAAAAAAAAAAEAIAAAACIAAABkcnMv&#10;ZG93bnJldi54bWxQSwECFAAUAAAACACHTuJAye1Pw3YCAAADBQAADgAAAAAAAAABACAAAAAmAQAA&#10;ZHJzL2Uyb0RvYy54bWxQSwUGAAAAAAYABgBZAQAADgYAAAAA&#10;">
                <v:fill on="t"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86912" behindDoc="0" locked="0" layoutInCell="1" allowOverlap="1">
                <wp:simplePos x="0" y="0"/>
                <wp:positionH relativeFrom="column">
                  <wp:posOffset>2876550</wp:posOffset>
                </wp:positionH>
                <wp:positionV relativeFrom="paragraph">
                  <wp:posOffset>863600</wp:posOffset>
                </wp:positionV>
                <wp:extent cx="219075" cy="814070"/>
                <wp:effectExtent l="0" t="0" r="28575" b="24130"/>
                <wp:wrapNone/>
                <wp:docPr id="724048277" name="矩形 724048277"/>
                <wp:cNvGraphicFramePr/>
                <a:graphic xmlns:a="http://schemas.openxmlformats.org/drawingml/2006/main">
                  <a:graphicData uri="http://schemas.microsoft.com/office/word/2010/wordprocessingShape">
                    <wps:wsp>
                      <wps:cNvSpPr/>
                      <wps:spPr>
                        <a:xfrm>
                          <a:off x="0" y="0"/>
                          <a:ext cx="219075" cy="814387"/>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5pt;margin-top:68pt;height:64.1pt;width:17.25pt;z-index:251686912;v-text-anchor:middle;mso-width-relative:page;mso-height-relative:page;" fillcolor="#FFFFFF [3212]" filled="t" stroked="t" coordsize="21600,21600" o:gfxdata="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ddbzctkAAAALAQAADwAAAAAAAAABACAAAAAiAAAAZHJz&#10;L2Rvd25yZXYueG1sUEsBAhQAFAAAAAgAh07iQHLHRy91AgAAAwUAAA4AAAAAAAAAAQAgAAAAKAEA&#10;AGRycy9lMm9Eb2MueG1sUEsFBgAAAAAGAAYAWQEAAA8GAAAAAA==&#10;">
                <v:fill on="t"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85888" behindDoc="0" locked="0" layoutInCell="1" allowOverlap="1">
                <wp:simplePos x="0" y="0"/>
                <wp:positionH relativeFrom="column">
                  <wp:posOffset>2595245</wp:posOffset>
                </wp:positionH>
                <wp:positionV relativeFrom="paragraph">
                  <wp:posOffset>863600</wp:posOffset>
                </wp:positionV>
                <wp:extent cx="213995" cy="814070"/>
                <wp:effectExtent l="0" t="0" r="14605" b="24130"/>
                <wp:wrapNone/>
                <wp:docPr id="724048276" name="矩形 724048276"/>
                <wp:cNvGraphicFramePr/>
                <a:graphic xmlns:a="http://schemas.openxmlformats.org/drawingml/2006/main">
                  <a:graphicData uri="http://schemas.microsoft.com/office/word/2010/wordprocessingShape">
                    <wps:wsp>
                      <wps:cNvSpPr/>
                      <wps:spPr>
                        <a:xfrm>
                          <a:off x="0" y="0"/>
                          <a:ext cx="214312" cy="814387"/>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4.35pt;margin-top:68pt;height:64.1pt;width:16.85pt;z-index:251685888;v-text-anchor:middle;mso-width-relative:page;mso-height-relative:page;" fillcolor="#FFFFFF [3212]" filled="t" stroked="t" coordsize="21600,21600" o:gfxdata="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3TAKfYAAAACwEAAA8AAAAAAAAAAQAgAAAAIgAAAGRycy9k&#10;b3ducmV2LnhtbFBLAQIUABQAAAAIAIdO4kDx2pNcdAIAAAMFAAAOAAAAAAAAAAEAIAAAACcBAABk&#10;cnMvZTJvRG9jLnhtbFBLBQYAAAAABgAGAFkBAAANBgAAAAA=&#10;">
                <v:fill on="t"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84864" behindDoc="0" locked="0" layoutInCell="1" allowOverlap="1">
                <wp:simplePos x="0" y="0"/>
                <wp:positionH relativeFrom="column">
                  <wp:posOffset>3324225</wp:posOffset>
                </wp:positionH>
                <wp:positionV relativeFrom="paragraph">
                  <wp:posOffset>1187450</wp:posOffset>
                </wp:positionV>
                <wp:extent cx="400050" cy="942975"/>
                <wp:effectExtent l="0" t="0" r="19050" b="28575"/>
                <wp:wrapNone/>
                <wp:docPr id="724048275" name="文本框 724048275"/>
                <wp:cNvGraphicFramePr/>
                <a:graphic xmlns:a="http://schemas.openxmlformats.org/drawingml/2006/main">
                  <a:graphicData uri="http://schemas.microsoft.com/office/word/2010/wordprocessingShape">
                    <wps:wsp>
                      <wps:cNvSpPr txBox="1"/>
                      <wps:spPr>
                        <a:xfrm>
                          <a:off x="0" y="0"/>
                          <a:ext cx="400050" cy="942975"/>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7B094B5">
                            <w:r>
                              <w:rPr>
                                <w:rFonts w:hint="eastAsia"/>
                              </w:rPr>
                              <w:t>橡胶</w:t>
                            </w:r>
                            <w:r>
                              <w:t>浇注区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1.75pt;margin-top:93.5pt;height:74.25pt;width:31.5pt;z-index:251684864;mso-width-relative:page;mso-height-relative:page;" fillcolor="#FFFFFF [3212]" filled="t" stroked="t" coordsize="21600,21600" o:gfxdata="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BnE&#10;HGHYAAAACwEAAA8AAAAAAAAAAQAgAAAAIgAAAGRycy9kb3ducmV2LnhtbFBLAQIUABQAAAAIAIdO&#10;4kCmbqZDXAIAANUEAAAOAAAAAAAAAAEAIAAAACcBAABkcnMvZTJvRG9jLnhtbFBLBQYAAAAABgAG&#10;AFkBAAD1BQAAAAA=&#10;">
                <v:fill on="t" focussize="0,0"/>
                <v:stroke weight="0.5pt" color="#FFFFFF [3212]" joinstyle="round"/>
                <v:imagedata o:title=""/>
                <o:lock v:ext="edit" aspectratio="f"/>
                <v:textbox>
                  <w:txbxContent>
                    <w:p w14:paraId="07B094B5">
                      <w:r>
                        <w:rPr>
                          <w:rFonts w:hint="eastAsia"/>
                        </w:rPr>
                        <w:t>橡胶</w:t>
                      </w:r>
                      <w:r>
                        <w:t>浇注区</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83840" behindDoc="0" locked="0" layoutInCell="1" allowOverlap="1">
                <wp:simplePos x="0" y="0"/>
                <wp:positionH relativeFrom="column">
                  <wp:posOffset>1833245</wp:posOffset>
                </wp:positionH>
                <wp:positionV relativeFrom="paragraph">
                  <wp:posOffset>4411980</wp:posOffset>
                </wp:positionV>
                <wp:extent cx="661670" cy="295275"/>
                <wp:effectExtent l="0" t="0" r="0" b="0"/>
                <wp:wrapNone/>
                <wp:docPr id="724048274" name="文本框 724048274"/>
                <wp:cNvGraphicFramePr/>
                <a:graphic xmlns:a="http://schemas.openxmlformats.org/drawingml/2006/main">
                  <a:graphicData uri="http://schemas.microsoft.com/office/word/2010/wordprocessingShape">
                    <wps:wsp>
                      <wps:cNvSpPr txBox="1"/>
                      <wps:spPr>
                        <a:xfrm>
                          <a:off x="0" y="0"/>
                          <a:ext cx="661987"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02BF57">
                            <w:r>
                              <w:rPr>
                                <w:rFonts w:hint="eastAsia"/>
                              </w:rPr>
                              <w:t>造型区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4.35pt;margin-top:347.4pt;height:23.25pt;width:52.1pt;z-index:251683840;mso-width-relative:page;mso-height-relative:page;" filled="f" stroked="f" coordsize="21600,21600" o:gfxdata="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lFZZ6t0AAAALAQAADwAA&#10;AAAAAAABACAAAAAiAAAAZHJzL2Rvd25yZXYueG1sUEsBAhQAFAAAAAgAh07iQBcpk75KAgAAgwQA&#10;AA4AAAAAAAAAAQAgAAAALAEAAGRycy9lMm9Eb2MueG1sUEsFBgAAAAAGAAYAWQEAAOgFAAAAAA==&#10;">
                <v:fill on="f" focussize="0,0"/>
                <v:stroke on="f" weight="0.5pt"/>
                <v:imagedata o:title=""/>
                <o:lock v:ext="edit" aspectratio="f"/>
                <v:textbox>
                  <w:txbxContent>
                    <w:p w14:paraId="3F02BF57">
                      <w:r>
                        <w:rPr>
                          <w:rFonts w:hint="eastAsia"/>
                        </w:rPr>
                        <w:t>造型区</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82816" behindDoc="0" locked="0" layoutInCell="1" allowOverlap="1">
                <wp:simplePos x="0" y="0"/>
                <wp:positionH relativeFrom="column">
                  <wp:posOffset>1905000</wp:posOffset>
                </wp:positionH>
                <wp:positionV relativeFrom="paragraph">
                  <wp:posOffset>3820795</wp:posOffset>
                </wp:positionV>
                <wp:extent cx="509905" cy="404495"/>
                <wp:effectExtent l="0" t="0" r="0" b="0"/>
                <wp:wrapNone/>
                <wp:docPr id="724048273" name="文本框 724048273"/>
                <wp:cNvGraphicFramePr/>
                <a:graphic xmlns:a="http://schemas.openxmlformats.org/drawingml/2006/main">
                  <a:graphicData uri="http://schemas.microsoft.com/office/word/2010/wordprocessingShape">
                    <wps:wsp>
                      <wps:cNvSpPr txBox="1"/>
                      <wps:spPr>
                        <a:xfrm>
                          <a:off x="0" y="0"/>
                          <a:ext cx="509588" cy="404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FD79A9">
                            <w:r>
                              <w:rPr>
                                <w:rFonts w:hint="eastAsia"/>
                              </w:rPr>
                              <w:t>浇注</w:t>
                            </w:r>
                            <w:r>
                              <w:t>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pt;margin-top:300.85pt;height:31.85pt;width:40.15pt;z-index:251682816;mso-width-relative:page;mso-height-relative:page;" filled="f" stroked="f" coordsize="21600,21600" o:gfxdata="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jVLJg3AAAAAsBAAAPAAAA&#10;AAAAAAEAIAAAACIAAABkcnMvZG93bnJldi54bWxQSwECFAAUAAAACACHTuJASV5GZEoCAACDBAAA&#10;DgAAAAAAAAABACAAAAArAQAAZHJzL2Uyb0RvYy54bWxQSwUGAAAAAAYABgBZAQAA5wUAAAAA&#10;">
                <v:fill on="f" focussize="0,0"/>
                <v:stroke on="f" weight="0.5pt"/>
                <v:imagedata o:title=""/>
                <o:lock v:ext="edit" aspectratio="f"/>
                <v:textbox>
                  <w:txbxContent>
                    <w:p w14:paraId="6EFD79A9">
                      <w:r>
                        <w:rPr>
                          <w:rFonts w:hint="eastAsia"/>
                        </w:rPr>
                        <w:t>浇注</w:t>
                      </w:r>
                      <w:r>
                        <w:t>区</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81792" behindDoc="0" locked="0" layoutInCell="1" allowOverlap="1">
                <wp:simplePos x="0" y="0"/>
                <wp:positionH relativeFrom="column">
                  <wp:posOffset>1905000</wp:posOffset>
                </wp:positionH>
                <wp:positionV relativeFrom="paragraph">
                  <wp:posOffset>3068955</wp:posOffset>
                </wp:positionV>
                <wp:extent cx="476250" cy="409575"/>
                <wp:effectExtent l="0" t="0" r="0" b="0"/>
                <wp:wrapNone/>
                <wp:docPr id="724048272" name="文本框 724048272"/>
                <wp:cNvGraphicFramePr/>
                <a:graphic xmlns:a="http://schemas.openxmlformats.org/drawingml/2006/main">
                  <a:graphicData uri="http://schemas.microsoft.com/office/word/2010/wordprocessingShape">
                    <wps:wsp>
                      <wps:cNvSpPr txBox="1"/>
                      <wps:spPr>
                        <a:xfrm>
                          <a:off x="0" y="0"/>
                          <a:ext cx="476250" cy="40925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7DBAF3">
                            <w:r>
                              <w:rPr>
                                <w:rFonts w:hint="eastAsia"/>
                              </w:rPr>
                              <w:t>落砂</w:t>
                            </w:r>
                            <w:r>
                              <w:t>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pt;margin-top:241.65pt;height:32.25pt;width:37.5pt;z-index:251681792;mso-width-relative:page;mso-height-relative:page;" filled="f" stroked="f" coordsize="21600,21600" o:gfxdata="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YEv6HtwAAAALAQAADwAAAAAA&#10;AAABACAAAAAiAAAAZHJzL2Rvd25yZXYueG1sUEsBAhQAFAAAAAgAh07iQB6lzopIAgAAgwQAAA4A&#10;AAAAAAAAAQAgAAAAKwEAAGRycy9lMm9Eb2MueG1sUEsFBgAAAAAGAAYAWQEAAOUFAAAAAA==&#10;">
                <v:fill on="f" focussize="0,0"/>
                <v:stroke on="f" weight="0.5pt"/>
                <v:imagedata o:title=""/>
                <o:lock v:ext="edit" aspectratio="f"/>
                <v:textbox>
                  <w:txbxContent>
                    <w:p w14:paraId="217DBAF3">
                      <w:r>
                        <w:rPr>
                          <w:rFonts w:hint="eastAsia"/>
                        </w:rPr>
                        <w:t>落砂</w:t>
                      </w:r>
                      <w:r>
                        <w:t>区</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80768" behindDoc="0" locked="0" layoutInCell="1" allowOverlap="1">
                <wp:simplePos x="0" y="0"/>
                <wp:positionH relativeFrom="column">
                  <wp:posOffset>1905000</wp:posOffset>
                </wp:positionH>
                <wp:positionV relativeFrom="paragraph">
                  <wp:posOffset>2316480</wp:posOffset>
                </wp:positionV>
                <wp:extent cx="476250" cy="443230"/>
                <wp:effectExtent l="0" t="0" r="0" b="0"/>
                <wp:wrapNone/>
                <wp:docPr id="724048271" name="文本框 724048271"/>
                <wp:cNvGraphicFramePr/>
                <a:graphic xmlns:a="http://schemas.openxmlformats.org/drawingml/2006/main">
                  <a:graphicData uri="http://schemas.microsoft.com/office/word/2010/wordprocessingShape">
                    <wps:wsp>
                      <wps:cNvSpPr txBox="1"/>
                      <wps:spPr>
                        <a:xfrm>
                          <a:off x="0" y="0"/>
                          <a:ext cx="476250" cy="4429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A6F706">
                            <w:r>
                              <w:rPr>
                                <w:rFonts w:hint="eastAsia"/>
                              </w:rPr>
                              <w:t>砂处理</w:t>
                            </w:r>
                            <w:r>
                              <w:t>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pt;margin-top:182.4pt;height:34.9pt;width:37.5pt;z-index:251680768;mso-width-relative:page;mso-height-relative:page;" filled="f" stroked="f" coordsize="21600,21600" o:gfxdata="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QbfVNwAAAALAQAADwAAAAAA&#10;AAABACAAAAAiAAAAZHJzL2Rvd25yZXYueG1sUEsBAhQAFAAAAAgAh07iQG98195IAgAAgwQAAA4A&#10;AAAAAAAAAQAgAAAAKwEAAGRycy9lMm9Eb2MueG1sUEsFBgAAAAAGAAYAWQEAAOUFAAAAAA==&#10;">
                <v:fill on="f" focussize="0,0"/>
                <v:stroke on="f" weight="0.5pt"/>
                <v:imagedata o:title=""/>
                <o:lock v:ext="edit" aspectratio="f"/>
                <v:textbox>
                  <w:txbxContent>
                    <w:p w14:paraId="56A6F706">
                      <w:r>
                        <w:rPr>
                          <w:rFonts w:hint="eastAsia"/>
                        </w:rPr>
                        <w:t>砂处理</w:t>
                      </w:r>
                      <w:r>
                        <w:t>区</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79744" behindDoc="0" locked="0" layoutInCell="1" allowOverlap="1">
                <wp:simplePos x="0" y="0"/>
                <wp:positionH relativeFrom="column">
                  <wp:posOffset>1833245</wp:posOffset>
                </wp:positionH>
                <wp:positionV relativeFrom="paragraph">
                  <wp:posOffset>1678305</wp:posOffset>
                </wp:positionV>
                <wp:extent cx="609600" cy="271780"/>
                <wp:effectExtent l="0" t="0" r="0" b="0"/>
                <wp:wrapNone/>
                <wp:docPr id="724048270" name="文本框 724048270"/>
                <wp:cNvGraphicFramePr/>
                <a:graphic xmlns:a="http://schemas.openxmlformats.org/drawingml/2006/main">
                  <a:graphicData uri="http://schemas.microsoft.com/office/word/2010/wordprocessingShape">
                    <wps:wsp>
                      <wps:cNvSpPr txBox="1"/>
                      <wps:spPr>
                        <a:xfrm>
                          <a:off x="0" y="0"/>
                          <a:ext cx="609600" cy="2714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7A8308">
                            <w:r>
                              <w:rPr>
                                <w:rFonts w:hint="eastAsia"/>
                              </w:rPr>
                              <w:t>打磨区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4.35pt;margin-top:132.15pt;height:21.4pt;width:48pt;z-index:251679744;mso-width-relative:page;mso-height-relative:page;" filled="f" stroked="f" coordsize="21600,21600" o:gfxdata="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aD3XjNsAAAALAQAADwAAAAAA&#10;AAABACAAAAAiAAAAZHJzL2Rvd25yZXYueG1sUEsBAhQAFAAAAAgAh07iQI+0d89JAgAAgwQAAA4A&#10;AAAAAAAAAQAgAAAAKgEAAGRycy9lMm9Eb2MueG1sUEsFBgAAAAAGAAYAWQEAAOUFAAAAAA==&#10;">
                <v:fill on="f" focussize="0,0"/>
                <v:stroke on="f" weight="0.5pt"/>
                <v:imagedata o:title=""/>
                <o:lock v:ext="edit" aspectratio="f"/>
                <v:textbox>
                  <w:txbxContent>
                    <w:p w14:paraId="497A8308">
                      <w:r>
                        <w:rPr>
                          <w:rFonts w:hint="eastAsia"/>
                        </w:rPr>
                        <w:t>打磨区</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78720" behindDoc="0" locked="0" layoutInCell="1" allowOverlap="1">
                <wp:simplePos x="0" y="0"/>
                <wp:positionH relativeFrom="column">
                  <wp:posOffset>1905000</wp:posOffset>
                </wp:positionH>
                <wp:positionV relativeFrom="paragraph">
                  <wp:posOffset>992505</wp:posOffset>
                </wp:positionV>
                <wp:extent cx="619125" cy="290830"/>
                <wp:effectExtent l="0" t="0" r="0" b="0"/>
                <wp:wrapNone/>
                <wp:docPr id="724048269" name="文本框 724048269"/>
                <wp:cNvGraphicFramePr/>
                <a:graphic xmlns:a="http://schemas.openxmlformats.org/drawingml/2006/main">
                  <a:graphicData uri="http://schemas.microsoft.com/office/word/2010/wordprocessingShape">
                    <wps:wsp>
                      <wps:cNvSpPr txBox="1"/>
                      <wps:spPr>
                        <a:xfrm>
                          <a:off x="0" y="0"/>
                          <a:ext cx="619125" cy="2905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69D82E">
                            <w:r>
                              <w:rPr>
                                <w:rFonts w:hint="eastAsia"/>
                              </w:rPr>
                              <w:t>抛丸</w:t>
                            </w:r>
                            <w:r>
                              <w:t>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pt;margin-top:78.15pt;height:22.9pt;width:48.75pt;z-index:251678720;mso-width-relative:page;mso-height-relative:page;" filled="f" stroked="f" coordsize="21600,21600" o:gfxdata="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drDz3AAAAAsBAAAPAAAA&#10;AAAAAAEAIAAAACIAAABkcnMvZG93bnJldi54bWxQSwECFAAUAAAACACHTuJAtX6/OUoCAACDBAAA&#10;DgAAAAAAAAABACAAAAArAQAAZHJzL2Uyb0RvYy54bWxQSwUGAAAAAAYABgBZAQAA5wUAAAAA&#10;">
                <v:fill on="f" focussize="0,0"/>
                <v:stroke on="f" weight="0.5pt"/>
                <v:imagedata o:title=""/>
                <o:lock v:ext="edit" aspectratio="f"/>
                <v:textbox>
                  <w:txbxContent>
                    <w:p w14:paraId="3369D82E">
                      <w:r>
                        <w:rPr>
                          <w:rFonts w:hint="eastAsia"/>
                        </w:rPr>
                        <w:t>抛丸</w:t>
                      </w:r>
                      <w:r>
                        <w:t>区</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77696" behindDoc="0" locked="0" layoutInCell="1" allowOverlap="1">
                <wp:simplePos x="0" y="0"/>
                <wp:positionH relativeFrom="column">
                  <wp:posOffset>1809115</wp:posOffset>
                </wp:positionH>
                <wp:positionV relativeFrom="paragraph">
                  <wp:posOffset>4335780</wp:posOffset>
                </wp:positionV>
                <wp:extent cx="638175" cy="433070"/>
                <wp:effectExtent l="0" t="0" r="28575" b="24130"/>
                <wp:wrapNone/>
                <wp:docPr id="724048268" name="矩形 724048268"/>
                <wp:cNvGraphicFramePr/>
                <a:graphic xmlns:a="http://schemas.openxmlformats.org/drawingml/2006/main">
                  <a:graphicData uri="http://schemas.microsoft.com/office/word/2010/wordprocessingShape">
                    <wps:wsp>
                      <wps:cNvSpPr/>
                      <wps:spPr>
                        <a:xfrm>
                          <a:off x="0" y="0"/>
                          <a:ext cx="638175" cy="4330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2.45pt;margin-top:341.4pt;height:34.1pt;width:50.25pt;z-index:251677696;v-text-anchor:middle;mso-width-relative:page;mso-height-relative:page;" filled="f" stroked="t" coordsize="21600,21600" o:gfxdata="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kTVxbZAAAACwEAAA8AAAAAAAAAAQAgAAAAIgAAAGRycy9kb3du&#10;cmV2LnhtbFBLAQIUABQAAAAIAIdO4kCGqEC8cAIAANoEAAAOAAAAAAAAAAEAIAAAACgBAABkcnMv&#10;ZTJvRG9jLnhtbFBLBQYAAAAABgAGAFkBAAAKBgAAAAA=&#10;">
                <v:fill on="f"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75648" behindDoc="0" locked="0" layoutInCell="1" allowOverlap="1">
                <wp:simplePos x="0" y="0"/>
                <wp:positionH relativeFrom="column">
                  <wp:posOffset>1833245</wp:posOffset>
                </wp:positionH>
                <wp:positionV relativeFrom="paragraph">
                  <wp:posOffset>3016250</wp:posOffset>
                </wp:positionV>
                <wp:extent cx="609600" cy="542925"/>
                <wp:effectExtent l="0" t="0" r="19050" b="28575"/>
                <wp:wrapNone/>
                <wp:docPr id="724048264" name="矩形 724048264"/>
                <wp:cNvGraphicFramePr/>
                <a:graphic xmlns:a="http://schemas.openxmlformats.org/drawingml/2006/main">
                  <a:graphicData uri="http://schemas.microsoft.com/office/word/2010/wordprocessingShape">
                    <wps:wsp>
                      <wps:cNvSpPr/>
                      <wps:spPr>
                        <a:xfrm>
                          <a:off x="0" y="0"/>
                          <a:ext cx="609600" cy="542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4.35pt;margin-top:237.5pt;height:42.75pt;width:48pt;z-index:251675648;v-text-anchor:middle;mso-width-relative:page;mso-height-relative:page;" filled="f" stroked="t" coordsize="21600,21600" o:gfxdata="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EPS6w3ZAAAACwEAAA8AAAAAAAAAAQAgAAAAIgAAAGRycy9kb3ducmV2&#10;LnhtbFBLAQIUABQAAAAIAIdO4kC7gomRbQIAANoEAAAOAAAAAAAAAAEAIAAAACgBAABkcnMvZTJv&#10;RG9jLnhtbFBLBQYAAAAABgAGAFkBAAAHBgAAAAA=&#10;">
                <v:fill on="f"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74624" behindDoc="0" locked="0" layoutInCell="1" allowOverlap="1">
                <wp:simplePos x="0" y="0"/>
                <wp:positionH relativeFrom="column">
                  <wp:posOffset>1833245</wp:posOffset>
                </wp:positionH>
                <wp:positionV relativeFrom="paragraph">
                  <wp:posOffset>2182495</wp:posOffset>
                </wp:positionV>
                <wp:extent cx="609600" cy="676275"/>
                <wp:effectExtent l="0" t="0" r="19050" b="28575"/>
                <wp:wrapNone/>
                <wp:docPr id="61" name="矩形 61"/>
                <wp:cNvGraphicFramePr/>
                <a:graphic xmlns:a="http://schemas.openxmlformats.org/drawingml/2006/main">
                  <a:graphicData uri="http://schemas.microsoft.com/office/word/2010/wordprocessingShape">
                    <wps:wsp>
                      <wps:cNvSpPr/>
                      <wps:spPr>
                        <a:xfrm>
                          <a:off x="0" y="0"/>
                          <a:ext cx="609600" cy="6762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4.35pt;margin-top:171.85pt;height:53.25pt;width:48pt;z-index:251674624;v-text-anchor:middle;mso-width-relative:page;mso-height-relative:page;" filled="f" stroked="t" coordsize="21600,21600" o:gfxdata="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ljmnrdkAAAALAQAADwAAAAAAAAABACAAAAAiAAAAZHJzL2Rvd25yZXYueG1sUEsB&#10;AhQAFAAAAAgAh07iQCbD4NVmAgAAzAQAAA4AAAAAAAAAAQAgAAAAKAEAAGRycy9lMm9Eb2MueG1s&#10;UEsFBgAAAAAGAAYAWQEAAAAGAAAAAA==&#10;">
                <v:fill on="f"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73600" behindDoc="0" locked="0" layoutInCell="1" allowOverlap="1">
                <wp:simplePos x="0" y="0"/>
                <wp:positionH relativeFrom="column">
                  <wp:posOffset>1833245</wp:posOffset>
                </wp:positionH>
                <wp:positionV relativeFrom="paragraph">
                  <wp:posOffset>1525905</wp:posOffset>
                </wp:positionV>
                <wp:extent cx="609600" cy="533400"/>
                <wp:effectExtent l="0" t="0" r="19050" b="19050"/>
                <wp:wrapNone/>
                <wp:docPr id="49" name="矩形 49"/>
                <wp:cNvGraphicFramePr/>
                <a:graphic xmlns:a="http://schemas.openxmlformats.org/drawingml/2006/main">
                  <a:graphicData uri="http://schemas.microsoft.com/office/word/2010/wordprocessingShape">
                    <wps:wsp>
                      <wps:cNvSpPr/>
                      <wps:spPr>
                        <a:xfrm>
                          <a:off x="0" y="0"/>
                          <a:ext cx="609600" cy="533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4.35pt;margin-top:120.15pt;height:42pt;width:48pt;z-index:251673600;v-text-anchor:middle;mso-width-relative:page;mso-height-relative:page;" filled="f" stroked="t" coordsize="21600,21600" o:gfxdata="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QLmm02AAAAAsBAAAPAAAAAAAAAAEAIAAAACIAAABk&#10;cnMvZG93bnJldi54bWxQSwECFAAUAAAACACHTuJAg7i8jngCAADuBAAADgAAAAAAAAABACAAAAAn&#10;AQAAZHJzL2Uyb0RvYy54bWxQSwUGAAAAAAYABgBZAQAAEQYAAAAA&#10;">
                <v:fill on="f" focussize="0,0"/>
                <v:stroke weight="1pt" color="#000000"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72576" behindDoc="0" locked="0" layoutInCell="1" allowOverlap="1">
                <wp:simplePos x="0" y="0"/>
                <wp:positionH relativeFrom="column">
                  <wp:posOffset>1833245</wp:posOffset>
                </wp:positionH>
                <wp:positionV relativeFrom="paragraph">
                  <wp:posOffset>863600</wp:posOffset>
                </wp:positionV>
                <wp:extent cx="609600" cy="509270"/>
                <wp:effectExtent l="0" t="0" r="19050" b="24130"/>
                <wp:wrapNone/>
                <wp:docPr id="44" name="矩形 44"/>
                <wp:cNvGraphicFramePr/>
                <a:graphic xmlns:a="http://schemas.openxmlformats.org/drawingml/2006/main">
                  <a:graphicData uri="http://schemas.microsoft.com/office/word/2010/wordprocessingShape">
                    <wps:wsp>
                      <wps:cNvSpPr/>
                      <wps:spPr>
                        <a:xfrm>
                          <a:off x="0" y="0"/>
                          <a:ext cx="609600" cy="50958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4.35pt;margin-top:68pt;height:40.1pt;width:48pt;z-index:251672576;v-text-anchor:middle;mso-width-relative:page;mso-height-relative:page;" filled="f" stroked="t" coordsize="21600,21600" o:gfxdata="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34WwHNkAAAALAQAADwAAAAAAAAABACAAAAAiAAAAZHJzL2Rvd25yZXYueG1sUEsB&#10;AhQAFAAAAAgAh07iQPGfmUBmAgAAzAQAAA4AAAAAAAAAAQAgAAAAKAEAAGRycy9lMm9Eb2MueG1s&#10;UEsFBgAAAAAGAAYAWQEAAAAGAAAAAA==&#10;">
                <v:fill on="f" focussize="0,0"/>
                <v:stroke weight="1pt" color="#000000 [3213]" miterlimit="8" joinstyle="miter"/>
                <v:imagedata o:title=""/>
                <o:lock v:ext="edit" aspectratio="f"/>
              </v:rect>
            </w:pict>
          </mc:Fallback>
        </mc:AlternateContent>
      </w:r>
      <w:r>
        <w:rPr>
          <w:rFonts w:hint="default" w:ascii="Times New Roman" w:hAnsi="Times New Roman"/>
          <w:b/>
          <w:sz w:val="21"/>
          <w:szCs w:val="21"/>
        </w:rPr>
        <mc:AlternateContent>
          <mc:Choice Requires="wps">
            <w:drawing>
              <wp:anchor distT="0" distB="0" distL="114300" distR="114300" simplePos="0" relativeHeight="251676672" behindDoc="0" locked="0" layoutInCell="1" allowOverlap="1">
                <wp:simplePos x="0" y="0"/>
                <wp:positionH relativeFrom="column">
                  <wp:posOffset>1833245</wp:posOffset>
                </wp:positionH>
                <wp:positionV relativeFrom="paragraph">
                  <wp:posOffset>3764280</wp:posOffset>
                </wp:positionV>
                <wp:extent cx="609600" cy="462280"/>
                <wp:effectExtent l="0" t="0" r="19050" b="14605"/>
                <wp:wrapNone/>
                <wp:docPr id="724048267" name="矩形 724048267"/>
                <wp:cNvGraphicFramePr/>
                <a:graphic xmlns:a="http://schemas.openxmlformats.org/drawingml/2006/main">
                  <a:graphicData uri="http://schemas.microsoft.com/office/word/2010/wordprocessingShape">
                    <wps:wsp>
                      <wps:cNvSpPr/>
                      <wps:spPr>
                        <a:xfrm>
                          <a:off x="0" y="0"/>
                          <a:ext cx="609600" cy="4619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4.35pt;margin-top:296.4pt;height:36.4pt;width:48pt;z-index:251676672;v-text-anchor:middle;mso-width-relative:page;mso-height-relative:page;" filled="f" stroked="t" coordsize="21600,21600" o:gfxdata="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cg2m82gAAAAsBAAAPAAAAAAAAAAEAIAAAACIAAABkcnMvZG93bnJl&#10;di54bWxQSwECFAAUAAAACACHTuJA+3v5q20CAADaBAAADgAAAAAAAAABACAAAAApAQAAZHJzL2Uy&#10;b0RvYy54bWxQSwUGAAAAAAYABgBZAQAACAYAAAAA&#10;">
                <v:fill on="f" focussize="0,0"/>
                <v:stroke weight="1pt" color="#000000 [3213]" miterlimit="8" joinstyle="miter"/>
                <v:imagedata o:title=""/>
                <o:lock v:ext="edit" aspectratio="f"/>
              </v:rect>
            </w:pict>
          </mc:Fallback>
        </mc:AlternateContent>
      </w:r>
      <w:r>
        <w:rPr>
          <w:rFonts w:hint="default" w:ascii="Times New Roman" w:hAnsi="Times New Roman"/>
          <w:b/>
          <w:sz w:val="21"/>
          <w:szCs w:val="21"/>
        </w:rPr>
        <w:drawing>
          <wp:inline distT="0" distB="0" distL="0" distR="0">
            <wp:extent cx="8224520" cy="5089525"/>
            <wp:effectExtent l="0" t="0" r="5080" b="0"/>
            <wp:docPr id="5" name="图片 5" descr="F:\微信文件\WeChat Files\wxid_jd3m5y2h7v8o22\FileStorage\Temp\9dc8433ade6958fb5d919a34411a5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微信文件\WeChat Files\wxid_jd3m5y2h7v8o22\FileStorage\Temp\9dc8433ade6958fb5d919a34411a5cc.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8225654" cy="5090685"/>
                    </a:xfrm>
                    <a:prstGeom prst="rect">
                      <a:avLst/>
                    </a:prstGeom>
                    <a:noFill/>
                    <a:ln>
                      <a:noFill/>
                    </a:ln>
                  </pic:spPr>
                </pic:pic>
              </a:graphicData>
            </a:graphic>
          </wp:inline>
        </w:drawing>
      </w:r>
      <w:r>
        <w:rPr>
          <w:rFonts w:hint="default" w:ascii="Times New Roman" w:hAnsi="Times New Roman"/>
          <w:b/>
          <w:sz w:val="21"/>
          <w:szCs w:val="21"/>
        </w:rPr>
        <w:t>附图2 项目平面布置图</w:t>
      </w:r>
      <w:bookmarkEnd w:id="33"/>
    </w:p>
    <w:p w14:paraId="44A97C9A">
      <w:pPr>
        <w:pStyle w:val="39"/>
        <w:tabs>
          <w:tab w:val="left" w:pos="2365"/>
        </w:tabs>
        <w:spacing w:before="100" w:after="100"/>
        <w:jc w:val="center"/>
        <w:outlineLvl w:val="0"/>
        <w:rPr>
          <w:rFonts w:hint="default"/>
          <w:b/>
        </w:rPr>
        <w:sectPr>
          <w:pgSz w:w="15840" w:h="12240" w:orient="landscape"/>
          <w:pgMar w:top="1797" w:right="1440" w:bottom="1797" w:left="1440" w:header="720" w:footer="720" w:gutter="0"/>
          <w:cols w:space="425" w:num="1"/>
          <w:docGrid w:linePitch="312" w:charSpace="0"/>
        </w:sectPr>
      </w:pPr>
    </w:p>
    <w:p w14:paraId="351E0387">
      <w:pPr>
        <w:pStyle w:val="39"/>
        <w:tabs>
          <w:tab w:val="left" w:pos="2365"/>
        </w:tabs>
        <w:spacing w:before="100" w:after="100"/>
        <w:jc w:val="center"/>
        <w:outlineLvl w:val="0"/>
        <w:rPr>
          <w:rFonts w:hint="default" w:ascii="Times New Roman" w:hAnsi="Times New Roman"/>
          <w:b/>
          <w:sz w:val="21"/>
          <w:szCs w:val="21"/>
        </w:rPr>
      </w:pPr>
      <w:bookmarkStart w:id="34" w:name="_Toc13221"/>
      <w:r>
        <w:rPr>
          <w:rFonts w:hint="default" w:ascii="Times New Roman" w:hAnsi="Times New Roman"/>
          <w:b/>
          <w:sz w:val="21"/>
          <w:szCs w:val="21"/>
        </w:rPr>
        <mc:AlternateContent>
          <mc:Choice Requires="wps">
            <w:drawing>
              <wp:anchor distT="0" distB="0" distL="114300" distR="114300" simplePos="0" relativeHeight="251669504" behindDoc="0" locked="0" layoutInCell="1" allowOverlap="1">
                <wp:simplePos x="0" y="0"/>
                <wp:positionH relativeFrom="column">
                  <wp:posOffset>6014720</wp:posOffset>
                </wp:positionH>
                <wp:positionV relativeFrom="paragraph">
                  <wp:posOffset>1934845</wp:posOffset>
                </wp:positionV>
                <wp:extent cx="507365" cy="396240"/>
                <wp:effectExtent l="0" t="0" r="0" b="3810"/>
                <wp:wrapNone/>
                <wp:docPr id="7" name="文本框 7"/>
                <wp:cNvGraphicFramePr/>
                <a:graphic xmlns:a="http://schemas.openxmlformats.org/drawingml/2006/main">
                  <a:graphicData uri="http://schemas.microsoft.com/office/word/2010/wordprocessingShape">
                    <wps:wsp>
                      <wps:cNvSpPr txBox="1"/>
                      <wps:spPr>
                        <a:xfrm>
                          <a:off x="0" y="0"/>
                          <a:ext cx="507413" cy="3964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45694F">
                            <w:r>
                              <w:rPr>
                                <w:rFonts w:hint="eastAsia"/>
                              </w:rPr>
                              <w:t>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3.6pt;margin-top:152.35pt;height:31.2pt;width:39.95pt;z-index:251669504;mso-width-relative:page;mso-height-relative:page;" filled="f" stroked="f" coordsize="21600,21600" o:gfxdata="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EHjdR3AAAAAwBAAAPAAAAAAAAAAEAIAAA&#10;ACIAAABkcnMvZG93bnJldi54bWxQSwECFAAUAAAACACHTuJApf0g+UECAABzBAAADgAAAAAAAAAB&#10;ACAAAAArAQAAZHJzL2Uyb0RvYy54bWxQSwUGAAAAAAYABgBZAQAA3gUAAAAA&#10;">
                <v:fill on="f" focussize="0,0"/>
                <v:stroke on="f" weight="0.5pt"/>
                <v:imagedata o:title=""/>
                <o:lock v:ext="edit" aspectratio="f"/>
                <v:textbox>
                  <w:txbxContent>
                    <w:p w14:paraId="7B45694F">
                      <w:r>
                        <w:rPr>
                          <w:rFonts w:hint="eastAsia"/>
                        </w:rPr>
                        <w:t>空地</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668480" behindDoc="0" locked="0" layoutInCell="1" allowOverlap="1">
                <wp:simplePos x="0" y="0"/>
                <wp:positionH relativeFrom="column">
                  <wp:posOffset>5829300</wp:posOffset>
                </wp:positionH>
                <wp:positionV relativeFrom="paragraph">
                  <wp:posOffset>1406525</wp:posOffset>
                </wp:positionV>
                <wp:extent cx="962025" cy="1437640"/>
                <wp:effectExtent l="228600" t="133350" r="219710" b="143510"/>
                <wp:wrapNone/>
                <wp:docPr id="6" name="矩形 6"/>
                <wp:cNvGraphicFramePr/>
                <a:graphic xmlns:a="http://schemas.openxmlformats.org/drawingml/2006/main">
                  <a:graphicData uri="http://schemas.microsoft.com/office/word/2010/wordprocessingShape">
                    <wps:wsp>
                      <wps:cNvSpPr/>
                      <wps:spPr>
                        <a:xfrm rot="20472039">
                          <a:off x="0" y="0"/>
                          <a:ext cx="961969" cy="1437669"/>
                        </a:xfrm>
                        <a:prstGeom prst="rect">
                          <a:avLst/>
                        </a:prstGeom>
                        <a:noFill/>
                        <a:ln w="254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9pt;margin-top:110.75pt;height:113.2pt;width:75.75pt;rotation:-1232034f;z-index:251668480;v-text-anchor:middle;mso-width-relative:page;mso-height-relative:page;" filled="f" stroked="t" coordsize="21600,21600" o:gfxdata="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J45nL9sAAAAMAQAADwAAAAAA&#10;AAABACAAAAAiAAAAZHJzL2Rvd25yZXYueG1sUEsBAhQAFAAAAAgAh07iQBy4dCSCAgAA+wQAAA4A&#10;AAAAAAAAAQAgAAAAKgEAAGRycy9lMm9Eb2MueG1sUEsFBgAAAAAGAAYAWQEAAB4GAAAAAA==&#10;">
                <v:fill on="f" focussize="0,0"/>
                <v:stroke weight="2pt" color="#325395 [3204]" miterlimit="8" joinstyle="miter"/>
                <v:imagedata o:title=""/>
                <o:lock v:ext="edit" aspectratio="f"/>
              </v:rect>
            </w:pict>
          </mc:Fallback>
        </mc:AlternateContent>
      </w:r>
      <w:r>
        <w:rPr>
          <w:rFonts w:hint="default" w:ascii="Times New Roman" w:hAnsi="Times New Roman"/>
          <w:b/>
          <w:sz w:val="21"/>
          <w:szCs w:val="21"/>
        </w:rPr>
        <w:drawing>
          <wp:inline distT="0" distB="0" distL="0" distR="0">
            <wp:extent cx="8223250" cy="4946650"/>
            <wp:effectExtent l="0" t="0" r="6350" b="6350"/>
            <wp:docPr id="48" name="图片 48" descr="F:\微信文件\WeChat Files\wxid_jd3m5y2h7v8o22\FileStorage\Temp\0a985506f7fe7429e0d3294ff3832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F:\微信文件\WeChat Files\wxid_jd3m5y2h7v8o22\FileStorage\Temp\0a985506f7fe7429e0d3294ff38324e.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8223250" cy="4946650"/>
                    </a:xfrm>
                    <a:prstGeom prst="rect">
                      <a:avLst/>
                    </a:prstGeom>
                    <a:noFill/>
                    <a:ln>
                      <a:noFill/>
                    </a:ln>
                  </pic:spPr>
                </pic:pic>
              </a:graphicData>
            </a:graphic>
          </wp:inline>
        </w:drawing>
      </w:r>
      <w:r>
        <w:rPr>
          <w:rFonts w:hint="default" w:ascii="Times New Roman" w:hAnsi="Times New Roman"/>
          <w:b/>
          <w:sz w:val="21"/>
          <w:szCs w:val="21"/>
        </w:rPr>
        <w:t>附图3 项目所在地四至图</w:t>
      </w:r>
      <w:bookmarkEnd w:id="34"/>
    </w:p>
    <w:p w14:paraId="5B7A14E1">
      <w:pPr>
        <w:pStyle w:val="39"/>
        <w:tabs>
          <w:tab w:val="left" w:pos="2365"/>
        </w:tabs>
        <w:spacing w:before="100" w:after="100"/>
        <w:jc w:val="center"/>
        <w:outlineLvl w:val="0"/>
        <w:rPr>
          <w:rFonts w:hint="default"/>
          <w:b/>
        </w:rPr>
        <w:sectPr>
          <w:pgSz w:w="15840" w:h="12240" w:orient="landscape"/>
          <w:pgMar w:top="1797" w:right="1440" w:bottom="1797" w:left="1440" w:header="720" w:footer="720" w:gutter="0"/>
          <w:cols w:space="425" w:num="1"/>
          <w:docGrid w:linePitch="312" w:charSpace="0"/>
        </w:sectPr>
      </w:pPr>
    </w:p>
    <w:p w14:paraId="757FD679">
      <w:pPr>
        <w:pStyle w:val="39"/>
        <w:tabs>
          <w:tab w:val="left" w:pos="2365"/>
        </w:tabs>
        <w:spacing w:before="100" w:after="100"/>
        <w:jc w:val="center"/>
        <w:outlineLvl w:val="0"/>
        <w:rPr>
          <w:rFonts w:hint="default" w:ascii="Times New Roman" w:hAnsi="Times New Roman"/>
          <w:b/>
          <w:sz w:val="21"/>
          <w:szCs w:val="21"/>
        </w:rPr>
        <w:sectPr>
          <w:pgSz w:w="15840" w:h="12240" w:orient="landscape"/>
          <w:pgMar w:top="1797" w:right="1440" w:bottom="1797" w:left="1440" w:header="720" w:footer="720" w:gutter="0"/>
          <w:cols w:space="425" w:num="1"/>
          <w:docGrid w:linePitch="312" w:charSpace="0"/>
        </w:sectPr>
      </w:pPr>
      <w:bookmarkStart w:id="35" w:name="_Toc24768"/>
      <w:r>
        <w:rPr>
          <w:rFonts w:ascii="Times New Roman" w:hAnsi="Times New Roman"/>
          <w:b/>
          <w:sz w:val="21"/>
          <w:szCs w:val="21"/>
        </w:rPr>
        <mc:AlternateContent>
          <mc:Choice Requires="wps">
            <w:drawing>
              <wp:anchor distT="0" distB="0" distL="114300" distR="114300" simplePos="0" relativeHeight="251663360" behindDoc="0" locked="0" layoutInCell="1" allowOverlap="1">
                <wp:simplePos x="0" y="0"/>
                <wp:positionH relativeFrom="column">
                  <wp:posOffset>298450</wp:posOffset>
                </wp:positionH>
                <wp:positionV relativeFrom="paragraph">
                  <wp:posOffset>4459605</wp:posOffset>
                </wp:positionV>
                <wp:extent cx="196850" cy="88900"/>
                <wp:effectExtent l="0" t="0" r="12700" b="25400"/>
                <wp:wrapNone/>
                <wp:docPr id="55" name="矩形 55"/>
                <wp:cNvGraphicFramePr/>
                <a:graphic xmlns:a="http://schemas.openxmlformats.org/drawingml/2006/main">
                  <a:graphicData uri="http://schemas.microsoft.com/office/word/2010/wordprocessingShape">
                    <wps:wsp>
                      <wps:cNvSpPr/>
                      <wps:spPr>
                        <a:xfrm>
                          <a:off x="0" y="0"/>
                          <a:ext cx="196850" cy="889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5pt;margin-top:351.15pt;height:7pt;width:15.5pt;z-index:251663360;v-text-anchor:middle;mso-width-relative:page;mso-height-relative:page;" filled="f" stroked="t" coordsize="21600,21600" o:gfxdata="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JIQGH7XAAAACQEAAA8AAAAAAAAAAQAgAAAAIgAAAGRycy9kb3ducmV2LnhtbFBL&#10;AQIUABQAAAAIAIdO4kDGGvjraQIAAMsEAAAOAAAAAAAAAAEAIAAAACYBAABkcnMvZTJvRG9jLnht&#10;bFBLBQYAAAAABgAGAFkBAAABBgAAAAA=&#10;">
                <v:fill on="f" focussize="0,0"/>
                <v:stroke weight="1pt" color="#FF0000 [3204]" miterlimit="8" joinstyle="miter"/>
                <v:imagedata o:title=""/>
                <o:lock v:ext="edit" aspectratio="f"/>
              </v:rect>
            </w:pict>
          </mc:Fallback>
        </mc:AlternateContent>
      </w:r>
      <w:r>
        <w:rPr>
          <w:rFonts w:ascii="Times New Roman" w:hAnsi="Times New Roman"/>
          <w:b/>
          <w:sz w:val="21"/>
          <w:szCs w:val="21"/>
        </w:rPr>
        <mc:AlternateContent>
          <mc:Choice Requires="wps">
            <w:drawing>
              <wp:anchor distT="0" distB="0" distL="114300" distR="114300" simplePos="0" relativeHeight="251662336" behindDoc="0" locked="0" layoutInCell="1" allowOverlap="1">
                <wp:simplePos x="0" y="0"/>
                <wp:positionH relativeFrom="column">
                  <wp:posOffset>298450</wp:posOffset>
                </wp:positionH>
                <wp:positionV relativeFrom="paragraph">
                  <wp:posOffset>4262755</wp:posOffset>
                </wp:positionV>
                <wp:extent cx="196850" cy="82550"/>
                <wp:effectExtent l="0" t="0" r="12700" b="12700"/>
                <wp:wrapNone/>
                <wp:docPr id="54" name="矩形 54"/>
                <wp:cNvGraphicFramePr/>
                <a:graphic xmlns:a="http://schemas.openxmlformats.org/drawingml/2006/main">
                  <a:graphicData uri="http://schemas.microsoft.com/office/word/2010/wordprocessingShape">
                    <wps:wsp>
                      <wps:cNvSpPr/>
                      <wps:spPr>
                        <a:xfrm>
                          <a:off x="0" y="0"/>
                          <a:ext cx="196850" cy="82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5pt;margin-top:335.65pt;height:6.5pt;width:15.5pt;z-index:251662336;v-text-anchor:middle;mso-width-relative:page;mso-height-relative:page;" filled="f" stroked="t" coordsize="21600,21600" o:gfxdata="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&#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IhzyLvYAAAACQEAAA8AAAAAAAAAAQAgAAAAIgAAAGRy&#10;cy9kb3ducmV2LnhtbFBLAQIUABQAAAAIAIdO4kCZ5J5edwIAAOwEAAAOAAAAAAAAAAEAIAAAACcB&#10;AABkcnMvZTJvRG9jLnhtbFBLBQYAAAAABgAGAFkBAAAQBgAAAAA=&#10;">
                <v:fill on="f" focussize="0,0"/>
                <v:stroke weight="1pt" color="#325395 [3204]" miterlimit="8" joinstyle="miter"/>
                <v:imagedata o:title=""/>
                <o:lock v:ext="edit" aspectratio="f"/>
              </v:rect>
            </w:pict>
          </mc:Fallback>
        </mc:AlternateContent>
      </w:r>
      <w:r>
        <w:rPr>
          <w:rFonts w:ascii="Times New Roman" w:hAnsi="Times New Roman"/>
          <w:b/>
          <w:sz w:val="21"/>
          <w:szCs w:val="21"/>
        </w:rPr>
        <mc:AlternateContent>
          <mc:Choice Requires="wps">
            <w:drawing>
              <wp:anchor distT="0" distB="0" distL="114300" distR="114300" simplePos="0" relativeHeight="251661312" behindDoc="0" locked="0" layoutInCell="1" allowOverlap="1">
                <wp:simplePos x="0" y="0"/>
                <wp:positionH relativeFrom="column">
                  <wp:posOffset>298450</wp:posOffset>
                </wp:positionH>
                <wp:positionV relativeFrom="paragraph">
                  <wp:posOffset>4110355</wp:posOffset>
                </wp:positionV>
                <wp:extent cx="196850" cy="76200"/>
                <wp:effectExtent l="0" t="0" r="12700" b="19050"/>
                <wp:wrapNone/>
                <wp:docPr id="53" name="矩形 53"/>
                <wp:cNvGraphicFramePr/>
                <a:graphic xmlns:a="http://schemas.openxmlformats.org/drawingml/2006/main">
                  <a:graphicData uri="http://schemas.microsoft.com/office/word/2010/wordprocessingShape">
                    <wps:wsp>
                      <wps:cNvSpPr/>
                      <wps:spPr>
                        <a:xfrm>
                          <a:off x="0" y="0"/>
                          <a:ext cx="196850" cy="76200"/>
                        </a:xfrm>
                        <a:prstGeom prst="rect">
                          <a:avLst/>
                        </a:prstGeom>
                        <a:solidFill>
                          <a:srgbClr val="FFC000">
                            <a:alpha val="50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5pt;margin-top:323.65pt;height:6pt;width:15.5pt;z-index:251661312;v-text-anchor:middle;mso-width-relative:page;mso-height-relative:page;" fillcolor="#FFC000" filled="t" stroked="t" coordsize="21600,21600" o:gfxdata="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bacU+NgAAAAJAQAADwAAAAAAAAABACAAAAAi&#10;AAAAZHJzL2Rvd25yZXYueG1sUEsBAhQAFAAAAAgAh07iQHM3vs98AgAAFQUAAA4AAAAAAAAAAQAg&#10;AAAAJwEAAGRycy9lMm9Eb2MueG1sUEsFBgAAAAAGAAYAWQEAABUGAAAAAA==&#10;">
                <v:fill on="t" opacity="32768f" focussize="0,0"/>
                <v:stroke weight="1pt" color="#FF0000 [3204]" miterlimit="8" joinstyle="miter"/>
                <v:imagedata o:title=""/>
                <o:lock v:ext="edit" aspectratio="f"/>
              </v:rect>
            </w:pict>
          </mc:Fallback>
        </mc:AlternateContent>
      </w:r>
      <w:r>
        <w:rPr>
          <w:rFonts w:ascii="Times New Roman" w:hAnsi="Times New Roman"/>
          <w:b/>
          <w:sz w:val="21"/>
          <w:szCs w:val="21"/>
        </w:rPr>
        <mc:AlternateContent>
          <mc:Choice Requires="wps">
            <w:drawing>
              <wp:anchor distT="0" distB="0" distL="114300" distR="114300" simplePos="0" relativeHeight="251660288" behindDoc="0" locked="0" layoutInCell="1" allowOverlap="1">
                <wp:simplePos x="0" y="0"/>
                <wp:positionH relativeFrom="column">
                  <wp:posOffset>590550</wp:posOffset>
                </wp:positionH>
                <wp:positionV relativeFrom="paragraph">
                  <wp:posOffset>3672205</wp:posOffset>
                </wp:positionV>
                <wp:extent cx="1054100" cy="10096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054100" cy="10096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19FD6D">
                            <w:pPr>
                              <w:jc w:val="center"/>
                            </w:pPr>
                            <w:r>
                              <w:rPr>
                                <w:rFonts w:hint="eastAsia"/>
                              </w:rPr>
                              <w:t>图例</w:t>
                            </w:r>
                          </w:p>
                          <w:p w14:paraId="0F325F71">
                            <w:pPr>
                              <w:jc w:val="center"/>
                            </w:pPr>
                          </w:p>
                          <w:p w14:paraId="0F693F0D">
                            <w:pPr>
                              <w:rPr>
                                <w:rFonts w:ascii="Times New Roman" w:hAnsi="Times New Roman" w:cs="Times New Roman"/>
                              </w:rPr>
                            </w:pPr>
                            <w:r>
                              <w:rPr>
                                <w:rFonts w:ascii="Times New Roman" w:hAnsi="Times New Roman" w:cs="Times New Roman"/>
                              </w:rPr>
                              <w:t>项目所在地</w:t>
                            </w:r>
                          </w:p>
                          <w:p w14:paraId="55517573">
                            <w:pPr>
                              <w:rPr>
                                <w:rFonts w:ascii="Times New Roman" w:hAnsi="Times New Roman" w:cs="Times New Roman"/>
                              </w:rPr>
                            </w:pPr>
                            <w:r>
                              <w:rPr>
                                <w:rFonts w:ascii="Times New Roman" w:hAnsi="Times New Roman" w:cs="Times New Roman"/>
                              </w:rPr>
                              <w:t>50m评价范围</w:t>
                            </w:r>
                          </w:p>
                          <w:p w14:paraId="3AB292A5">
                            <w:pPr>
                              <w:rPr>
                                <w:rFonts w:ascii="Times New Roman" w:hAnsi="Times New Roman" w:cs="Times New Roman"/>
                              </w:rPr>
                            </w:pPr>
                            <w:r>
                              <w:rPr>
                                <w:rFonts w:ascii="Times New Roman" w:hAnsi="Times New Roman" w:cs="Times New Roman"/>
                              </w:rPr>
                              <w:t>500m评价范围</w:t>
                            </w:r>
                          </w:p>
                          <w:p w14:paraId="53A4A03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5pt;margin-top:289.15pt;height:79.5pt;width:83pt;z-index:251660288;mso-width-relative:page;mso-height-relative:page;" fillcolor="#FFFFFF [3212]" filled="t" stroked="f" coordsize="21600,21600" o:gfxdata="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c7HOQdcAAAAKAQAA&#10;DwAAAAAAAAABACAAAAAiAAAAZHJzL2Rvd25yZXYueG1sUEsBAhQAFAAAAAgAh07iQK2vzM9TAgAA&#10;oAQAAA4AAAAAAAAAAQAgAAAAJgEAAGRycy9lMm9Eb2MueG1sUEsFBgAAAAAGAAYAWQEAAOsFAAAA&#10;AA==&#10;">
                <v:fill on="t" focussize="0,0"/>
                <v:stroke on="f" weight="0.5pt"/>
                <v:imagedata o:title=""/>
                <o:lock v:ext="edit" aspectratio="f"/>
                <v:textbox>
                  <w:txbxContent>
                    <w:p w14:paraId="1219FD6D">
                      <w:pPr>
                        <w:jc w:val="center"/>
                      </w:pPr>
                      <w:r>
                        <w:rPr>
                          <w:rFonts w:hint="eastAsia"/>
                        </w:rPr>
                        <w:t>图例</w:t>
                      </w:r>
                    </w:p>
                    <w:p w14:paraId="0F325F71">
                      <w:pPr>
                        <w:jc w:val="center"/>
                      </w:pPr>
                    </w:p>
                    <w:p w14:paraId="0F693F0D">
                      <w:pPr>
                        <w:rPr>
                          <w:rFonts w:ascii="Times New Roman" w:hAnsi="Times New Roman" w:cs="Times New Roman"/>
                        </w:rPr>
                      </w:pPr>
                      <w:r>
                        <w:rPr>
                          <w:rFonts w:ascii="Times New Roman" w:hAnsi="Times New Roman" w:cs="Times New Roman"/>
                        </w:rPr>
                        <w:t>项目所在地</w:t>
                      </w:r>
                    </w:p>
                    <w:p w14:paraId="55517573">
                      <w:pPr>
                        <w:rPr>
                          <w:rFonts w:ascii="Times New Roman" w:hAnsi="Times New Roman" w:cs="Times New Roman"/>
                        </w:rPr>
                      </w:pPr>
                      <w:r>
                        <w:rPr>
                          <w:rFonts w:ascii="Times New Roman" w:hAnsi="Times New Roman" w:cs="Times New Roman"/>
                        </w:rPr>
                        <w:t>50m评价范围</w:t>
                      </w:r>
                    </w:p>
                    <w:p w14:paraId="3AB292A5">
                      <w:pPr>
                        <w:rPr>
                          <w:rFonts w:ascii="Times New Roman" w:hAnsi="Times New Roman" w:cs="Times New Roman"/>
                        </w:rPr>
                      </w:pPr>
                      <w:r>
                        <w:rPr>
                          <w:rFonts w:ascii="Times New Roman" w:hAnsi="Times New Roman" w:cs="Times New Roman"/>
                        </w:rPr>
                        <w:t>500m评价范围</w:t>
                      </w:r>
                    </w:p>
                    <w:p w14:paraId="53A4A033"/>
                  </w:txbxContent>
                </v:textbox>
              </v:shape>
            </w:pict>
          </mc:Fallback>
        </mc:AlternateContent>
      </w:r>
      <w:r>
        <w:rPr>
          <w:rFonts w:ascii="Times New Roman" w:hAnsi="Times New Roman"/>
          <w:b/>
          <w:sz w:val="21"/>
          <w:szCs w:val="21"/>
        </w:rPr>
        <mc:AlternateContent>
          <mc:Choice Requires="wps">
            <w:drawing>
              <wp:anchor distT="0" distB="0" distL="114300" distR="114300" simplePos="0" relativeHeight="251659264" behindDoc="0" locked="0" layoutInCell="1" allowOverlap="1">
                <wp:simplePos x="0" y="0"/>
                <wp:positionH relativeFrom="column">
                  <wp:posOffset>158750</wp:posOffset>
                </wp:positionH>
                <wp:positionV relativeFrom="paragraph">
                  <wp:posOffset>3621405</wp:posOffset>
                </wp:positionV>
                <wp:extent cx="1625600" cy="1225550"/>
                <wp:effectExtent l="0" t="0" r="12700" b="12700"/>
                <wp:wrapNone/>
                <wp:docPr id="51" name="矩形 51"/>
                <wp:cNvGraphicFramePr/>
                <a:graphic xmlns:a="http://schemas.openxmlformats.org/drawingml/2006/main">
                  <a:graphicData uri="http://schemas.microsoft.com/office/word/2010/wordprocessingShape">
                    <wps:wsp>
                      <wps:cNvSpPr/>
                      <wps:spPr>
                        <a:xfrm>
                          <a:off x="0" y="0"/>
                          <a:ext cx="1625600" cy="12255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5pt;margin-top:285.15pt;height:96.5pt;width:128pt;z-index:251659264;v-text-anchor:middle;mso-width-relative:page;mso-height-relative:page;" fillcolor="#FFFFFF [3212]" filled="t" stroked="t" coordsize="21600,21600" o:gfxdata="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kdC0v2AAAAAoBAAAPAAAAAAAAAAEAIAAAACIAAABkcnMvZG93bnJl&#10;di54bWxQSwECFAAUAAAACACHTuJAiD4uLW8CAAD3BAAADgAAAAAAAAABACAAAAAnAQAAZHJzL2Uy&#10;b0RvYy54bWxQSwUGAAAAAAYABgBZAQAACAYAAAAA&#10;">
                <v:fill on="t" focussize="0,0"/>
                <v:stroke weight="1pt" color="#000000 [3213]" miterlimit="8" joinstyle="miter"/>
                <v:imagedata o:title=""/>
                <o:lock v:ext="edit" aspectratio="f"/>
              </v:rect>
            </w:pict>
          </mc:Fallback>
        </mc:AlternateContent>
      </w:r>
      <w:r>
        <w:rPr>
          <w:rFonts w:ascii="Times New Roman" w:hAnsi="Times New Roman"/>
          <w:b/>
          <w:sz w:val="21"/>
          <w:szCs w:val="21"/>
        </w:rPr>
        <w:drawing>
          <wp:inline distT="0" distB="0" distL="0" distR="0">
            <wp:extent cx="8223250" cy="5168900"/>
            <wp:effectExtent l="0" t="0" r="6350" b="0"/>
            <wp:docPr id="50" name="图片 50" descr="F:\微信文件\WeChat Files\wxid_jd3m5y2h7v8o22\FileStorage\Temp\9b64365bde17fc51f1678b68fdb4f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F:\微信文件\WeChat Files\wxid_jd3m5y2h7v8o22\FileStorage\Temp\9b64365bde17fc51f1678b68fdb4fb7.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8223250" cy="5168900"/>
                    </a:xfrm>
                    <a:prstGeom prst="rect">
                      <a:avLst/>
                    </a:prstGeom>
                    <a:noFill/>
                    <a:ln>
                      <a:noFill/>
                    </a:ln>
                  </pic:spPr>
                </pic:pic>
              </a:graphicData>
            </a:graphic>
          </wp:inline>
        </w:drawing>
      </w:r>
      <w:r>
        <w:rPr>
          <w:rFonts w:ascii="Times New Roman" w:hAnsi="Times New Roman"/>
          <w:b/>
          <w:sz w:val="21"/>
          <w:szCs w:val="21"/>
        </w:rPr>
        <w:t>附图4</w:t>
      </w:r>
      <w:r>
        <w:rPr>
          <w:rFonts w:hint="default" w:ascii="Times New Roman" w:hAnsi="Times New Roman"/>
          <w:b/>
          <w:sz w:val="21"/>
          <w:szCs w:val="21"/>
        </w:rPr>
        <w:t xml:space="preserve"> 项目敏感点图</w:t>
      </w:r>
      <w:bookmarkEnd w:id="35"/>
    </w:p>
    <w:p w14:paraId="4453DEE3">
      <w:pPr>
        <w:pStyle w:val="39"/>
        <w:tabs>
          <w:tab w:val="left" w:pos="2365"/>
        </w:tabs>
        <w:spacing w:before="100" w:after="100"/>
        <w:jc w:val="center"/>
        <w:outlineLvl w:val="0"/>
        <w:rPr>
          <w:rFonts w:hint="default" w:ascii="Times New Roman" w:hAnsi="Times New Roman"/>
          <w:b/>
          <w:sz w:val="21"/>
          <w:szCs w:val="21"/>
        </w:rPr>
      </w:pPr>
      <w:bookmarkStart w:id="36" w:name="_Toc12731"/>
      <w:r>
        <w:rPr>
          <w:rFonts w:ascii="Times New Roman" w:hAnsi="Times New Roman"/>
          <w:b/>
          <w:sz w:val="21"/>
          <w:szCs w:val="21"/>
        </w:rPr>
        <w:drawing>
          <wp:inline distT="0" distB="0" distL="0" distR="0">
            <wp:extent cx="8229600" cy="5213350"/>
            <wp:effectExtent l="0" t="0" r="0" b="6350"/>
            <wp:docPr id="56" name="图片 56" descr="F:\微信文件\WeChat Files\wxid_jd3m5y2h7v8o22\FileStorage\Temp\186fc25bca54c706c98286e28bcc5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F:\微信文件\WeChat Files\wxid_jd3m5y2h7v8o22\FileStorage\Temp\186fc25bca54c706c98286e28bcc560.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8229600" cy="5213350"/>
                    </a:xfrm>
                    <a:prstGeom prst="rect">
                      <a:avLst/>
                    </a:prstGeom>
                    <a:noFill/>
                    <a:ln>
                      <a:noFill/>
                    </a:ln>
                  </pic:spPr>
                </pic:pic>
              </a:graphicData>
            </a:graphic>
          </wp:inline>
        </w:drawing>
      </w:r>
      <w:r>
        <w:rPr>
          <w:rFonts w:ascii="Times New Roman" w:hAnsi="Times New Roman"/>
          <w:b/>
          <w:sz w:val="21"/>
          <w:szCs w:val="21"/>
        </w:rPr>
        <w:drawing>
          <wp:inline distT="0" distB="0" distL="0" distR="0">
            <wp:extent cx="8223250" cy="4673600"/>
            <wp:effectExtent l="0" t="0" r="6350" b="0"/>
            <wp:docPr id="57" name="图片 57" descr="F:\微信文件\WeChat Files\wxid_jd3m5y2h7v8o22\FileStorage\Temp\ed264cd080bb75c967d0558bef0b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F:\微信文件\WeChat Files\wxid_jd3m5y2h7v8o22\FileStorage\Temp\ed264cd080bb75c967d0558bef0b217.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8223250" cy="4673600"/>
                    </a:xfrm>
                    <a:prstGeom prst="rect">
                      <a:avLst/>
                    </a:prstGeom>
                    <a:noFill/>
                    <a:ln>
                      <a:noFill/>
                    </a:ln>
                  </pic:spPr>
                </pic:pic>
              </a:graphicData>
            </a:graphic>
          </wp:inline>
        </w:drawing>
      </w:r>
      <w:r>
        <w:rPr>
          <w:rFonts w:ascii="Times New Roman" w:hAnsi="Times New Roman"/>
          <w:b/>
          <w:sz w:val="21"/>
          <w:szCs w:val="21"/>
        </w:rPr>
        <w:drawing>
          <wp:inline distT="0" distB="0" distL="0" distR="0">
            <wp:extent cx="8223250" cy="5048250"/>
            <wp:effectExtent l="0" t="0" r="6350" b="0"/>
            <wp:docPr id="58" name="图片 58" descr="F:\微信文件\WeChat Files\wxid_jd3m5y2h7v8o22\FileStorage\Temp\d636360c3e0e12434cb618f59b3c0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F:\微信文件\WeChat Files\wxid_jd3m5y2h7v8o22\FileStorage\Temp\d636360c3e0e12434cb618f59b3c0a9.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8223250" cy="5048250"/>
                    </a:xfrm>
                    <a:prstGeom prst="rect">
                      <a:avLst/>
                    </a:prstGeom>
                    <a:noFill/>
                    <a:ln>
                      <a:noFill/>
                    </a:ln>
                  </pic:spPr>
                </pic:pic>
              </a:graphicData>
            </a:graphic>
          </wp:inline>
        </w:drawing>
      </w:r>
      <w:r>
        <w:rPr>
          <w:rFonts w:ascii="Times New Roman" w:hAnsi="Times New Roman"/>
          <w:b/>
          <w:sz w:val="21"/>
          <w:szCs w:val="21"/>
        </w:rPr>
        <mc:AlternateContent>
          <mc:Choice Requires="wps">
            <w:drawing>
              <wp:anchor distT="0" distB="0" distL="114300" distR="114300" simplePos="0" relativeHeight="251670528" behindDoc="0" locked="0" layoutInCell="1" allowOverlap="1">
                <wp:simplePos x="0" y="0"/>
                <wp:positionH relativeFrom="column">
                  <wp:posOffset>5005070</wp:posOffset>
                </wp:positionH>
                <wp:positionV relativeFrom="paragraph">
                  <wp:posOffset>1859280</wp:posOffset>
                </wp:positionV>
                <wp:extent cx="1052195" cy="304800"/>
                <wp:effectExtent l="0" t="0" r="14605" b="323850"/>
                <wp:wrapNone/>
                <wp:docPr id="34" name="矩形标注 34"/>
                <wp:cNvGraphicFramePr/>
                <a:graphic xmlns:a="http://schemas.openxmlformats.org/drawingml/2006/main">
                  <a:graphicData uri="http://schemas.microsoft.com/office/word/2010/wordprocessingShape">
                    <wps:wsp>
                      <wps:cNvSpPr/>
                      <wps:spPr>
                        <a:xfrm>
                          <a:off x="0" y="0"/>
                          <a:ext cx="1052195" cy="304800"/>
                        </a:xfrm>
                        <a:prstGeom prst="wedgeRectCallout">
                          <a:avLst>
                            <a:gd name="adj1" fmla="val -43917"/>
                            <a:gd name="adj2" fmla="val 14375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4490F3">
                            <w:pPr>
                              <w:jc w:val="center"/>
                            </w:pPr>
                            <w:r>
                              <w:rPr>
                                <w:rFonts w:hint="eastAsia"/>
                              </w:rPr>
                              <w:t>项目</w:t>
                            </w:r>
                            <w:r>
                              <w:t>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94.1pt;margin-top:146.4pt;height:24pt;width:82.85pt;z-index:251670528;v-text-anchor:middle;mso-width-relative:page;mso-height-relative:page;" filled="f" stroked="t" coordsize="21600,21600" o:gfxdata="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&#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AORgkt3gAAAAsBAAAPAAAAAAAAAAEAIAAAACIAAABk&#10;cnMvZG93bnJldi54bWxQSwECFAAUAAAACACHTuJAz1Wqp6sCAAA9BQAADgAAAAAAAAABACAAAAAt&#10;AQAAZHJzL2Uyb0RvYy54bWxQSwUGAAAAAAYABgBZAQAASgYAAAAA&#10;" adj="1314,41850">
                <v:fill on="f" focussize="0,0"/>
                <v:stroke weight="1pt" color="#FF0000 [3204]" miterlimit="8" joinstyle="miter"/>
                <v:imagedata o:title=""/>
                <o:lock v:ext="edit" aspectratio="f"/>
                <v:textbox>
                  <w:txbxContent>
                    <w:p w14:paraId="524490F3">
                      <w:pPr>
                        <w:jc w:val="center"/>
                      </w:pPr>
                      <w:r>
                        <w:rPr>
                          <w:rFonts w:hint="eastAsia"/>
                        </w:rPr>
                        <w:t>项目</w:t>
                      </w:r>
                      <w:r>
                        <w:t>所在地</w:t>
                      </w:r>
                    </w:p>
                  </w:txbxContent>
                </v:textbox>
              </v:shape>
            </w:pict>
          </mc:Fallback>
        </mc:AlternateContent>
      </w:r>
      <w:r>
        <w:rPr>
          <w:rFonts w:ascii="Times New Roman" w:hAnsi="Times New Roman"/>
          <w:b/>
          <w:sz w:val="21"/>
          <w:szCs w:val="21"/>
        </w:rPr>
        <w:drawing>
          <wp:inline distT="0" distB="0" distL="0" distR="0">
            <wp:extent cx="8229600" cy="5367655"/>
            <wp:effectExtent l="0" t="0" r="0" b="4445"/>
            <wp:docPr id="9" name="图片 9" descr="F:\微信文件\WeChat Files\wxid_jd3m5y2h7v8o22\FileStorage\Temp\f9a1934c6e076e177cc879394ae3b8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微信文件\WeChat Files\wxid_jd3m5y2h7v8o22\FileStorage\Temp\f9a1934c6e076e177cc879394ae3b8e.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8229600" cy="5367655"/>
                    </a:xfrm>
                    <a:prstGeom prst="rect">
                      <a:avLst/>
                    </a:prstGeom>
                    <a:noFill/>
                    <a:ln>
                      <a:noFill/>
                    </a:ln>
                  </pic:spPr>
                </pic:pic>
              </a:graphicData>
            </a:graphic>
          </wp:inline>
        </w:drawing>
      </w:r>
      <w:r>
        <w:rPr>
          <w:rFonts w:ascii="Times New Roman" w:hAnsi="Times New Roman"/>
          <w:b/>
          <w:sz w:val="21"/>
          <w:szCs w:val="21"/>
        </w:rPr>
        <mc:AlternateContent>
          <mc:Choice Requires="wps">
            <w:drawing>
              <wp:anchor distT="0" distB="0" distL="114300" distR="114300" simplePos="0" relativeHeight="251671552" behindDoc="0" locked="0" layoutInCell="1" allowOverlap="1">
                <wp:simplePos x="0" y="0"/>
                <wp:positionH relativeFrom="column">
                  <wp:posOffset>5774690</wp:posOffset>
                </wp:positionH>
                <wp:positionV relativeFrom="paragraph">
                  <wp:posOffset>3007360</wp:posOffset>
                </wp:positionV>
                <wp:extent cx="975995" cy="261620"/>
                <wp:effectExtent l="0" t="0" r="14605" b="386080"/>
                <wp:wrapNone/>
                <wp:docPr id="37" name="矩形标注 37"/>
                <wp:cNvGraphicFramePr/>
                <a:graphic xmlns:a="http://schemas.openxmlformats.org/drawingml/2006/main">
                  <a:graphicData uri="http://schemas.microsoft.com/office/word/2010/wordprocessingShape">
                    <wps:wsp>
                      <wps:cNvSpPr/>
                      <wps:spPr>
                        <a:xfrm>
                          <a:off x="0" y="0"/>
                          <a:ext cx="975995" cy="261620"/>
                        </a:xfrm>
                        <a:prstGeom prst="wedgeRectCallout">
                          <a:avLst>
                            <a:gd name="adj1" fmla="val -33520"/>
                            <a:gd name="adj2" fmla="val 171723"/>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792187">
                            <w:pPr>
                              <w:jc w:val="center"/>
                              <w:rPr>
                                <w:color w:val="FF0000"/>
                              </w:rPr>
                            </w:pPr>
                            <w:r>
                              <w:rPr>
                                <w:rFonts w:hint="eastAsia"/>
                                <w:color w:val="FF0000"/>
                              </w:rPr>
                              <w:t>项目</w:t>
                            </w:r>
                            <w:r>
                              <w:rPr>
                                <w:color w:val="FF0000"/>
                              </w:rPr>
                              <w:t>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54.7pt;margin-top:236.8pt;height:20.6pt;width:76.85pt;z-index:251671552;v-text-anchor:middle;mso-width-relative:page;mso-height-relative:page;" fillcolor="#FFFFFF [3212]" filled="t" stroked="t" coordsize="21600,21600" o:gfxdata="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JaBHivZAAAADAEAAA8AAAAAAAAAAQAgAAAAIgAA&#10;AGRycy9kb3ducmV2LnhtbFBLAQIUABQAAAAIAIdO4kDnG+oXsgIAAGUFAAAOAAAAAAAAAAEAIAAA&#10;ACgBAABkcnMvZTJvRG9jLnhtbFBLBQYAAAAABgAGAFkBAABMBgAAAAA=&#10;" adj="3560,47892">
                <v:fill on="t" focussize="0,0"/>
                <v:stroke weight="1pt" color="#FF0000 [3204]" miterlimit="8" joinstyle="miter"/>
                <v:imagedata o:title=""/>
                <o:lock v:ext="edit" aspectratio="f"/>
                <v:textbox>
                  <w:txbxContent>
                    <w:p w14:paraId="09792187">
                      <w:pPr>
                        <w:jc w:val="center"/>
                        <w:rPr>
                          <w:color w:val="FF0000"/>
                        </w:rPr>
                      </w:pPr>
                      <w:r>
                        <w:rPr>
                          <w:rFonts w:hint="eastAsia"/>
                          <w:color w:val="FF0000"/>
                        </w:rPr>
                        <w:t>项目</w:t>
                      </w:r>
                      <w:r>
                        <w:rPr>
                          <w:color w:val="FF0000"/>
                        </w:rPr>
                        <w:t>所在地</w:t>
                      </w:r>
                    </w:p>
                  </w:txbxContent>
                </v:textbox>
              </v:shape>
            </w:pict>
          </mc:Fallback>
        </mc:AlternateContent>
      </w:r>
      <w:r>
        <w:rPr>
          <w:rFonts w:ascii="Times New Roman" w:hAnsi="Times New Roman"/>
          <w:b/>
          <w:sz w:val="21"/>
          <w:szCs w:val="21"/>
        </w:rPr>
        <w:drawing>
          <wp:inline distT="0" distB="0" distL="0" distR="0">
            <wp:extent cx="8222615" cy="5145405"/>
            <wp:effectExtent l="0" t="0" r="6985" b="0"/>
            <wp:docPr id="724048303" name="图片 724048303" descr="F:\微信文件\WeChat Files\wxid_jd3m5y2h7v8o22\FileStorage\Temp\72e22f42ec6123f6fd86a741ab61c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48303" name="图片 724048303" descr="F:\微信文件\WeChat Files\wxid_jd3m5y2h7v8o22\FileStorage\Temp\72e22f42ec6123f6fd86a741ab61c0c.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8222615" cy="5145405"/>
                    </a:xfrm>
                    <a:prstGeom prst="rect">
                      <a:avLst/>
                    </a:prstGeom>
                    <a:noFill/>
                    <a:ln>
                      <a:noFill/>
                    </a:ln>
                  </pic:spPr>
                </pic:pic>
              </a:graphicData>
            </a:graphic>
          </wp:inline>
        </w:drawing>
      </w:r>
      <w:r>
        <w:rPr>
          <w:rFonts w:ascii="Times New Roman" w:hAnsi="Times New Roman"/>
          <w:b/>
          <w:sz w:val="21"/>
          <w:szCs w:val="21"/>
        </w:rPr>
        <w:t>附</w:t>
      </w:r>
      <w:r>
        <w:rPr>
          <w:rFonts w:hint="default" w:ascii="Times New Roman" w:hAnsi="Times New Roman"/>
          <w:b/>
          <w:sz w:val="21"/>
          <w:szCs w:val="21"/>
        </w:rPr>
        <w:t>图</w:t>
      </w:r>
      <w:r>
        <w:rPr>
          <w:rFonts w:ascii="Times New Roman" w:hAnsi="Times New Roman"/>
          <w:b/>
          <w:sz w:val="21"/>
          <w:szCs w:val="21"/>
        </w:rPr>
        <w:t xml:space="preserve">5 </w:t>
      </w:r>
      <w:r>
        <w:rPr>
          <w:rFonts w:hint="default" w:ascii="Times New Roman" w:hAnsi="Times New Roman"/>
          <w:b/>
          <w:sz w:val="21"/>
          <w:szCs w:val="21"/>
        </w:rPr>
        <w:t>广东省“三线一单”数据管理及应用平台截图</w:t>
      </w:r>
      <w:bookmarkEnd w:id="36"/>
    </w:p>
    <w:p w14:paraId="5F31908A">
      <w:pPr>
        <w:pStyle w:val="39"/>
        <w:spacing w:before="100" w:after="100"/>
        <w:outlineLvl w:val="0"/>
        <w:rPr>
          <w:rFonts w:hint="default"/>
        </w:rPr>
        <w:sectPr>
          <w:pgSz w:w="15840" w:h="12240" w:orient="landscape"/>
          <w:pgMar w:top="1797" w:right="1440" w:bottom="1797" w:left="1440" w:header="720" w:footer="720" w:gutter="0"/>
          <w:cols w:space="425" w:num="1"/>
          <w:docGrid w:linePitch="312" w:charSpace="0"/>
        </w:sectPr>
      </w:pPr>
    </w:p>
    <w:p w14:paraId="54A5391C">
      <w:pPr>
        <w:pStyle w:val="39"/>
        <w:spacing w:before="100" w:after="100"/>
        <w:jc w:val="center"/>
        <w:outlineLvl w:val="0"/>
        <w:rPr>
          <w:rFonts w:hint="default" w:ascii="Times New Roman" w:hAnsi="Times New Roman"/>
          <w:b/>
          <w:sz w:val="21"/>
          <w:szCs w:val="21"/>
        </w:rPr>
      </w:pPr>
      <w:bookmarkStart w:id="37" w:name="_Toc19"/>
      <w:r>
        <mc:AlternateContent>
          <mc:Choice Requires="wps">
            <w:drawing>
              <wp:anchor distT="0" distB="0" distL="114300" distR="114300" simplePos="0" relativeHeight="251665408" behindDoc="0" locked="0" layoutInCell="1" allowOverlap="1">
                <wp:simplePos x="0" y="0"/>
                <wp:positionH relativeFrom="column">
                  <wp:posOffset>3399155</wp:posOffset>
                </wp:positionH>
                <wp:positionV relativeFrom="paragraph">
                  <wp:posOffset>2730500</wp:posOffset>
                </wp:positionV>
                <wp:extent cx="990600" cy="368300"/>
                <wp:effectExtent l="0" t="0" r="19050" b="374650"/>
                <wp:wrapNone/>
                <wp:docPr id="62" name="矩形标注 62"/>
                <wp:cNvGraphicFramePr/>
                <a:graphic xmlns:a="http://schemas.openxmlformats.org/drawingml/2006/main">
                  <a:graphicData uri="http://schemas.microsoft.com/office/word/2010/wordprocessingShape">
                    <wps:wsp>
                      <wps:cNvSpPr/>
                      <wps:spPr>
                        <a:xfrm>
                          <a:off x="0" y="0"/>
                          <a:ext cx="990600" cy="368300"/>
                        </a:xfrm>
                        <a:prstGeom prst="wedgeRectCallout">
                          <a:avLst>
                            <a:gd name="adj1" fmla="val -35577"/>
                            <a:gd name="adj2" fmla="val 14181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9F7E78">
                            <w:pPr>
                              <w:jc w:val="center"/>
                              <w:rPr>
                                <w:color w:val="FF0000"/>
                              </w:rPr>
                            </w:pPr>
                            <w:r>
                              <w:rPr>
                                <w:rFonts w:hint="eastAsia"/>
                                <w:color w:val="FF0000"/>
                              </w:rPr>
                              <w:t>项目</w:t>
                            </w:r>
                            <w:r>
                              <w:rPr>
                                <w:color w:val="FF0000"/>
                              </w:rPr>
                              <w:t>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7.65pt;margin-top:215pt;height:29pt;width:78pt;z-index:251665408;v-text-anchor:middle;mso-width-relative:page;mso-height-relative:page;" filled="f" stroked="t" coordsize="21600,21600" o:gfxdata="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hjMymtcAAAALAQAADwAAAAAAAAABACAAAAAiAAAAZHJzL2Rvd25y&#10;ZXYueG1sUEsBAhQAFAAAAAgAh07iQM1/1QWqAgAAPAUAAA4AAAAAAAAAAQAgAAAAJgEAAGRycy9l&#10;Mm9Eb2MueG1sUEsFBgAAAAAGAAYAWQEAAEIGAAAAAA==&#10;" adj="3115,41431">
                <v:fill on="f" focussize="0,0"/>
                <v:stroke weight="1pt" color="#FF0000 [3204]" miterlimit="8" joinstyle="miter"/>
                <v:imagedata o:title=""/>
                <o:lock v:ext="edit" aspectratio="f"/>
                <v:textbox>
                  <w:txbxContent>
                    <w:p w14:paraId="609F7E78">
                      <w:pPr>
                        <w:jc w:val="center"/>
                        <w:rPr>
                          <w:color w:val="FF0000"/>
                        </w:rPr>
                      </w:pPr>
                      <w:r>
                        <w:rPr>
                          <w:rFonts w:hint="eastAsia"/>
                          <w:color w:val="FF0000"/>
                        </w:rPr>
                        <w:t>项目</w:t>
                      </w:r>
                      <w:r>
                        <w:rPr>
                          <w:color w:val="FF0000"/>
                        </w:rPr>
                        <w:t>所在地</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3507105</wp:posOffset>
                </wp:positionH>
                <wp:positionV relativeFrom="paragraph">
                  <wp:posOffset>3460750</wp:posOffset>
                </wp:positionV>
                <wp:extent cx="69850" cy="63500"/>
                <wp:effectExtent l="38100" t="19050" r="63500" b="31750"/>
                <wp:wrapNone/>
                <wp:docPr id="60" name="五角星 60"/>
                <wp:cNvGraphicFramePr/>
                <a:graphic xmlns:a="http://schemas.openxmlformats.org/drawingml/2006/main">
                  <a:graphicData uri="http://schemas.microsoft.com/office/word/2010/wordprocessingShape">
                    <wps:wsp>
                      <wps:cNvSpPr/>
                      <wps:spPr>
                        <a:xfrm>
                          <a:off x="0" y="0"/>
                          <a:ext cx="69850" cy="63500"/>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76.15pt;margin-top:272.5pt;height:5pt;width:5.5pt;z-index:251664384;v-text-anchor:middle;mso-width-relative:page;mso-height-relative:page;" fillcolor="#FF0000" filled="t" stroked="t" coordsize="69850,63500" o:gfxdata="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XYYxnXAAAACwEAAA8AAAAAAAAAAQAgAAAAIgAAAGRycy9kb3du&#10;cmV2LnhtbFBLAQIUABQAAAAIAIdO4kAOtgVycgIAAPcEAAAOAAAAAAAAAAEAIAAAACYBAABkcnMv&#10;ZTJvRG9jLnhtbFBLBQYAAAAABgAGAFkBAAAKBgAAAAA=&#10;" path="m0,24254l26680,24254,34925,0,43169,24254,69849,24254,48264,39244,56509,63499,34925,48509,13340,63499,21585,39244xe">
                <v:path o:connectlocs="34925,0;0,24254;13340,63499;56509,63499;69849,24254" o:connectangles="247,164,82,82,0"/>
                <v:fill on="t" focussize="0,0"/>
                <v:stroke weight="1pt" color="#FF0000 [3204]" miterlimit="8" joinstyle="miter"/>
                <v:imagedata o:title=""/>
                <o:lock v:ext="edit" aspectratio="f"/>
              </v:shape>
            </w:pict>
          </mc:Fallback>
        </mc:AlternateContent>
      </w:r>
      <w:r>
        <w:drawing>
          <wp:inline distT="0" distB="0" distL="0" distR="0">
            <wp:extent cx="5432425" cy="7404100"/>
            <wp:effectExtent l="0" t="0" r="0"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80"/>
                    <a:stretch>
                      <a:fillRect/>
                    </a:stretch>
                  </pic:blipFill>
                  <pic:spPr>
                    <a:xfrm>
                      <a:off x="0" y="0"/>
                      <a:ext cx="5436068" cy="7409230"/>
                    </a:xfrm>
                    <a:prstGeom prst="rect">
                      <a:avLst/>
                    </a:prstGeom>
                  </pic:spPr>
                </pic:pic>
              </a:graphicData>
            </a:graphic>
          </wp:inline>
        </w:drawing>
      </w:r>
      <w:r>
        <w:rPr>
          <w:rFonts w:hint="default" w:ascii="Times New Roman" w:hAnsi="Times New Roman"/>
          <w:b/>
          <w:sz w:val="21"/>
          <w:szCs w:val="21"/>
        </w:rPr>
        <w:t>附图6 项目所在地土地规划情况</w:t>
      </w:r>
      <w:bookmarkEnd w:id="37"/>
    </w:p>
    <w:p w14:paraId="0B97A72D">
      <w:pPr>
        <w:pStyle w:val="39"/>
        <w:spacing w:before="100" w:after="100"/>
        <w:jc w:val="center"/>
        <w:outlineLvl w:val="0"/>
        <w:rPr>
          <w:rFonts w:hint="default" w:ascii="Times New Roman" w:hAnsi="Times New Roman"/>
          <w:b/>
          <w:sz w:val="21"/>
          <w:szCs w:val="21"/>
        </w:rPr>
        <w:sectPr>
          <w:pgSz w:w="12240" w:h="15840"/>
          <w:pgMar w:top="1440" w:right="1797" w:bottom="1440" w:left="1797" w:header="720" w:footer="720" w:gutter="0"/>
          <w:cols w:space="425" w:num="1"/>
          <w:docGrid w:linePitch="312" w:charSpace="0"/>
        </w:sectPr>
      </w:pPr>
    </w:p>
    <w:p w14:paraId="1F3BA2F7">
      <w:pPr>
        <w:pStyle w:val="39"/>
        <w:jc w:val="center"/>
        <w:outlineLvl w:val="0"/>
        <w:rPr>
          <w:rFonts w:hint="default"/>
        </w:rPr>
      </w:pPr>
      <w:bookmarkStart w:id="38" w:name="_Toc12958"/>
      <w:r>
        <mc:AlternateContent>
          <mc:Choice Requires="wps">
            <w:drawing>
              <wp:anchor distT="0" distB="0" distL="114300" distR="114300" simplePos="0" relativeHeight="251667456" behindDoc="0" locked="0" layoutInCell="1" allowOverlap="1">
                <wp:simplePos x="0" y="0"/>
                <wp:positionH relativeFrom="column">
                  <wp:posOffset>5143500</wp:posOffset>
                </wp:positionH>
                <wp:positionV relativeFrom="paragraph">
                  <wp:posOffset>3049905</wp:posOffset>
                </wp:positionV>
                <wp:extent cx="939800" cy="273050"/>
                <wp:effectExtent l="0" t="0" r="12700" b="241300"/>
                <wp:wrapNone/>
                <wp:docPr id="724048258" name="矩形标注 724048258"/>
                <wp:cNvGraphicFramePr/>
                <a:graphic xmlns:a="http://schemas.openxmlformats.org/drawingml/2006/main">
                  <a:graphicData uri="http://schemas.microsoft.com/office/word/2010/wordprocessingShape">
                    <wps:wsp>
                      <wps:cNvSpPr/>
                      <wps:spPr>
                        <a:xfrm>
                          <a:off x="0" y="0"/>
                          <a:ext cx="939800" cy="273050"/>
                        </a:xfrm>
                        <a:prstGeom prst="wedgeRectCallout">
                          <a:avLst>
                            <a:gd name="adj1" fmla="val -29617"/>
                            <a:gd name="adj2" fmla="val 131191"/>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505B75">
                            <w:pPr>
                              <w:jc w:val="center"/>
                              <w:rPr>
                                <w:color w:val="FF0000"/>
                              </w:rPr>
                            </w:pPr>
                            <w:r>
                              <w:rPr>
                                <w:rFonts w:hint="eastAsia"/>
                                <w:color w:val="FF0000"/>
                              </w:rPr>
                              <w:t>项目</w:t>
                            </w:r>
                            <w:r>
                              <w:rPr>
                                <w:color w:val="FF0000"/>
                              </w:rPr>
                              <w:t>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05pt;margin-top:240.15pt;height:21.5pt;width:74pt;z-index:251667456;v-text-anchor:middle;mso-width-relative:page;mso-height-relative:page;" filled="f" stroked="t" coordsize="21600,21600" o:gfxdata="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GSoj5XcAAAACwEAAA8AAAAAAAAAAQAgAAAAIgAA&#10;AGRycy9kb3ducmV2LnhtbFBLAQIUABQAAAAIAIdO4kBJzP7ErwIAAEoFAAAOAAAAAAAAAAEAIAAA&#10;ACsBAABkcnMvZTJvRG9jLnhtbFBLBQYAAAAABgAGAFkBAABMBgAAAAA=&#10;" adj="4403,39137">
                <v:fill on="f" focussize="0,0"/>
                <v:stroke weight="1pt" color="#FF0000 [3204]" miterlimit="8" joinstyle="miter"/>
                <v:imagedata o:title=""/>
                <o:lock v:ext="edit" aspectratio="f"/>
                <v:textbox>
                  <w:txbxContent>
                    <w:p w14:paraId="2F505B75">
                      <w:pPr>
                        <w:jc w:val="center"/>
                        <w:rPr>
                          <w:color w:val="FF0000"/>
                        </w:rPr>
                      </w:pPr>
                      <w:r>
                        <w:rPr>
                          <w:rFonts w:hint="eastAsia"/>
                          <w:color w:val="FF0000"/>
                        </w:rPr>
                        <w:t>项目</w:t>
                      </w:r>
                      <w:r>
                        <w:rPr>
                          <w:color w:val="FF0000"/>
                        </w:rPr>
                        <w:t>所在地</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5283200</wp:posOffset>
                </wp:positionH>
                <wp:positionV relativeFrom="paragraph">
                  <wp:posOffset>3583305</wp:posOffset>
                </wp:positionV>
                <wp:extent cx="95250" cy="76200"/>
                <wp:effectExtent l="38100" t="19050" r="57150" b="38100"/>
                <wp:wrapNone/>
                <wp:docPr id="724048257" name="五角星 724048257"/>
                <wp:cNvGraphicFramePr/>
                <a:graphic xmlns:a="http://schemas.openxmlformats.org/drawingml/2006/main">
                  <a:graphicData uri="http://schemas.microsoft.com/office/word/2010/wordprocessingShape">
                    <wps:wsp>
                      <wps:cNvSpPr/>
                      <wps:spPr>
                        <a:xfrm>
                          <a:off x="0" y="0"/>
                          <a:ext cx="95250" cy="76200"/>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16pt;margin-top:282.15pt;height:6pt;width:7.5pt;z-index:251666432;v-text-anchor:middle;mso-width-relative:page;mso-height-relative:page;" fillcolor="#FF0000" filled="t" stroked="t" coordsize="95250,76200" o:gfxdata="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AXpf2R2wAAAAsBAAAPAAAAAAAAAAEAIAAAACIA&#10;AABkcnMvZG93bnJldi54bWxQSwECFAAUAAAACACHTuJAC3EpzngCAAAFBQAADgAAAAAAAAABACAA&#10;AAAqAQAAZHJzL2Uyb0RvYy54bWxQSwUGAAAAAAYABgBZAQAAFAYAAAAA&#10;" path="m0,29105l36382,29105,47625,0,58867,29105,95249,29105,65815,47093,77058,76199,47625,58211,18191,76199,29434,47093xe">
                <v:path o:connectlocs="47625,0;0,29105;18191,76199;77058,76199;95249,29105" o:connectangles="247,164,82,82,0"/>
                <v:fill on="t" focussize="0,0"/>
                <v:stroke weight="1pt" color="#FF0000 [3204]" miterlimit="8" joinstyle="miter"/>
                <v:imagedata o:title=""/>
                <o:lock v:ext="edit" aspectratio="f"/>
              </v:shape>
            </w:pict>
          </mc:Fallback>
        </mc:AlternateContent>
      </w:r>
      <w:r>
        <w:drawing>
          <wp:inline distT="0" distB="0" distL="0" distR="0">
            <wp:extent cx="8174990" cy="482790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81"/>
                    <a:stretch>
                      <a:fillRect/>
                    </a:stretch>
                  </pic:blipFill>
                  <pic:spPr>
                    <a:xfrm>
                      <a:off x="0" y="0"/>
                      <a:ext cx="8183776" cy="4832850"/>
                    </a:xfrm>
                    <a:prstGeom prst="rect">
                      <a:avLst/>
                    </a:prstGeom>
                  </pic:spPr>
                </pic:pic>
              </a:graphicData>
            </a:graphic>
          </wp:inline>
        </w:drawing>
      </w:r>
      <w:r>
        <w:rPr>
          <w:rFonts w:hint="default" w:ascii="Times New Roman" w:hAnsi="Times New Roman"/>
          <w:b/>
          <w:sz w:val="21"/>
          <w:szCs w:val="21"/>
        </w:rPr>
        <w:t>附图</w:t>
      </w:r>
      <w:r>
        <w:rPr>
          <w:rFonts w:ascii="Times New Roman" w:hAnsi="Times New Roman"/>
          <w:b/>
          <w:sz w:val="21"/>
          <w:szCs w:val="21"/>
        </w:rPr>
        <w:t>7</w:t>
      </w:r>
      <w:r>
        <w:rPr>
          <w:rFonts w:hint="default" w:ascii="Times New Roman" w:hAnsi="Times New Roman"/>
          <w:b/>
          <w:sz w:val="21"/>
          <w:szCs w:val="21"/>
        </w:rPr>
        <w:t xml:space="preserve"> 大气功能区划图</w:t>
      </w:r>
      <w:bookmarkEnd w:id="38"/>
    </w:p>
    <w:p w14:paraId="4F2A79A7">
      <w:pPr>
        <w:pStyle w:val="39"/>
        <w:jc w:val="center"/>
        <w:outlineLvl w:val="0"/>
        <w:rPr>
          <w:rFonts w:hint="default" w:ascii="Times New Roman" w:hAnsi="Times New Roman"/>
          <w:b/>
          <w:sz w:val="21"/>
          <w:szCs w:val="21"/>
        </w:rPr>
      </w:pPr>
      <w:bookmarkStart w:id="39" w:name="_Toc24052"/>
      <w:r>
        <w:rPr>
          <w:rFonts w:hint="default" w:ascii="Times New Roman" w:hAnsi="Times New Roman"/>
          <w:b/>
          <w:sz w:val="21"/>
          <w:szCs w:val="21"/>
        </w:rPr>
        <w:drawing>
          <wp:inline distT="0" distB="0" distL="0" distR="0">
            <wp:extent cx="8223250" cy="5238750"/>
            <wp:effectExtent l="0" t="0" r="6350" b="0"/>
            <wp:docPr id="724048266" name="图片 724048266" descr="F:\微信文件\WeChat Files\wxid_jd3m5y2h7v8o22\FileStorage\Temp\fcc306b944f6c702fa7ffda32cff5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48266" name="图片 724048266" descr="F:\微信文件\WeChat Files\wxid_jd3m5y2h7v8o22\FileStorage\Temp\fcc306b944f6c702fa7ffda32cff5fc.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8223250" cy="5238750"/>
                    </a:xfrm>
                    <a:prstGeom prst="rect">
                      <a:avLst/>
                    </a:prstGeom>
                    <a:noFill/>
                    <a:ln>
                      <a:noFill/>
                    </a:ln>
                  </pic:spPr>
                </pic:pic>
              </a:graphicData>
            </a:graphic>
          </wp:inline>
        </w:drawing>
      </w:r>
      <w:r>
        <w:rPr>
          <w:rFonts w:hint="default" w:ascii="Times New Roman" w:hAnsi="Times New Roman"/>
          <w:b/>
          <w:sz w:val="21"/>
          <w:szCs w:val="21"/>
        </w:rPr>
        <w:t>附图8 生态保护红线分布图</w:t>
      </w:r>
      <w:bookmarkEnd w:id="39"/>
    </w:p>
    <w:p w14:paraId="20B170A6">
      <w:pPr>
        <w:pStyle w:val="39"/>
        <w:spacing w:before="100" w:after="100"/>
        <w:jc w:val="center"/>
        <w:outlineLvl w:val="0"/>
        <w:rPr>
          <w:rFonts w:hint="default" w:ascii="Times New Roman" w:hAnsi="Times New Roman"/>
          <w:b/>
          <w:sz w:val="21"/>
          <w:szCs w:val="21"/>
        </w:rPr>
      </w:pPr>
      <w:bookmarkStart w:id="40" w:name="_Toc0"/>
      <w:r>
        <w:rPr>
          <w:rFonts w:hint="default" w:ascii="Times New Roman" w:hAnsi="Times New Roman"/>
          <w:b/>
          <w:sz w:val="21"/>
          <w:szCs w:val="21"/>
        </w:rPr>
        <w:drawing>
          <wp:inline distT="0" distB="0" distL="0" distR="0">
            <wp:extent cx="8229600" cy="5118100"/>
            <wp:effectExtent l="0" t="0" r="0" b="6350"/>
            <wp:docPr id="41" name="图片 41" descr="F:\微信文件\WeChat Files\wxid_jd3m5y2h7v8o22\FileStorage\Temp\a8768b65c95eb31203a9f9558b26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F:\微信文件\WeChat Files\wxid_jd3m5y2h7v8o22\FileStorage\Temp\a8768b65c95eb31203a9f9558b26e35.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8229600" cy="5118100"/>
                    </a:xfrm>
                    <a:prstGeom prst="rect">
                      <a:avLst/>
                    </a:prstGeom>
                    <a:noFill/>
                    <a:ln>
                      <a:noFill/>
                    </a:ln>
                  </pic:spPr>
                </pic:pic>
              </a:graphicData>
            </a:graphic>
          </wp:inline>
        </w:drawing>
      </w:r>
      <w:r>
        <w:rPr>
          <w:rFonts w:hint="default" w:ascii="Times New Roman" w:hAnsi="Times New Roman"/>
          <w:b/>
          <w:sz w:val="21"/>
          <w:szCs w:val="21"/>
        </w:rPr>
        <w:t>附图9 水环境管控单元分区图</w:t>
      </w:r>
      <w:bookmarkEnd w:id="40"/>
    </w:p>
    <w:p w14:paraId="2423904F">
      <w:pPr>
        <w:pStyle w:val="39"/>
        <w:spacing w:before="100" w:after="100"/>
        <w:outlineLvl w:val="0"/>
        <w:rPr>
          <w:rFonts w:hint="default"/>
          <w:b/>
          <w:sz w:val="21"/>
          <w:szCs w:val="21"/>
        </w:rPr>
        <w:sectPr>
          <w:pgSz w:w="15840" w:h="12240" w:orient="landscape"/>
          <w:pgMar w:top="1797" w:right="1440" w:bottom="1797" w:left="1440" w:header="720" w:footer="720" w:gutter="0"/>
          <w:cols w:space="425" w:num="1"/>
          <w:docGrid w:linePitch="312" w:charSpace="0"/>
        </w:sectPr>
      </w:pPr>
    </w:p>
    <w:p w14:paraId="247A2707">
      <w:pPr>
        <w:pStyle w:val="39"/>
        <w:spacing w:before="100" w:after="100"/>
        <w:jc w:val="center"/>
        <w:outlineLvl w:val="0"/>
        <w:rPr>
          <w:rFonts w:hint="default" w:ascii="Times New Roman" w:hAnsi="Times New Roman"/>
          <w:b/>
          <w:sz w:val="21"/>
          <w:szCs w:val="21"/>
        </w:rPr>
      </w:pPr>
      <w:bookmarkStart w:id="41" w:name="_Toc9959"/>
      <w:r>
        <w:rPr>
          <w:rFonts w:hint="default" w:ascii="Times New Roman" w:hAnsi="Times New Roman"/>
          <w:b/>
          <w:sz w:val="21"/>
          <w:szCs w:val="21"/>
        </w:rPr>
        <w:drawing>
          <wp:inline distT="0" distB="0" distL="0" distR="0">
            <wp:extent cx="8223250" cy="5207000"/>
            <wp:effectExtent l="0" t="0" r="6350" b="0"/>
            <wp:docPr id="42" name="图片 42" descr="F:\微信文件\WeChat Files\wxid_jd3m5y2h7v8o22\FileStorage\Temp\3cfeadc8ccd4614b9dea353193692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F:\微信文件\WeChat Files\wxid_jd3m5y2h7v8o22\FileStorage\Temp\3cfeadc8ccd4614b9dea3531936920a.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8223250" cy="5207000"/>
                    </a:xfrm>
                    <a:prstGeom prst="rect">
                      <a:avLst/>
                    </a:prstGeom>
                    <a:noFill/>
                    <a:ln>
                      <a:noFill/>
                    </a:ln>
                  </pic:spPr>
                </pic:pic>
              </a:graphicData>
            </a:graphic>
          </wp:inline>
        </w:drawing>
      </w:r>
      <w:r>
        <w:rPr>
          <w:rFonts w:hint="default" w:ascii="Times New Roman" w:hAnsi="Times New Roman"/>
          <w:b/>
          <w:sz w:val="21"/>
          <w:szCs w:val="21"/>
        </w:rPr>
        <w:t>附图10 大气环境管控单元分区图</w:t>
      </w:r>
      <w:bookmarkEnd w:id="41"/>
    </w:p>
    <w:p w14:paraId="7B71C8EE">
      <w:pPr>
        <w:pStyle w:val="39"/>
        <w:spacing w:before="100" w:after="100"/>
        <w:outlineLvl w:val="0"/>
        <w:rPr>
          <w:rFonts w:hint="default"/>
          <w:b/>
          <w:sz w:val="21"/>
          <w:szCs w:val="21"/>
        </w:rPr>
        <w:sectPr>
          <w:pgSz w:w="15840" w:h="12240" w:orient="landscape"/>
          <w:pgMar w:top="1797" w:right="1440" w:bottom="1797" w:left="1440" w:header="720" w:footer="720" w:gutter="0"/>
          <w:cols w:space="425" w:num="1"/>
          <w:docGrid w:linePitch="312" w:charSpace="0"/>
        </w:sectPr>
      </w:pPr>
    </w:p>
    <w:p w14:paraId="0EF89722">
      <w:pPr>
        <w:pStyle w:val="39"/>
        <w:spacing w:before="100" w:after="100"/>
        <w:jc w:val="center"/>
        <w:outlineLvl w:val="0"/>
        <w:rPr>
          <w:rFonts w:hint="default" w:ascii="Times New Roman" w:hAnsi="Times New Roman"/>
          <w:b/>
          <w:sz w:val="21"/>
          <w:szCs w:val="21"/>
        </w:rPr>
      </w:pPr>
      <w:bookmarkStart w:id="42" w:name="_Toc24450"/>
      <w:r>
        <w:rPr>
          <w:rFonts w:hint="default" w:ascii="Times New Roman" w:hAnsi="Times New Roman"/>
          <w:b/>
          <w:sz w:val="21"/>
          <w:szCs w:val="21"/>
        </w:rPr>
        <w:drawing>
          <wp:inline distT="0" distB="0" distL="0" distR="0">
            <wp:extent cx="8223250" cy="5137150"/>
            <wp:effectExtent l="0" t="0" r="6350" b="6350"/>
            <wp:docPr id="45" name="图片 45" descr="F:\微信文件\WeChat Files\wxid_jd3m5y2h7v8o22\FileStorage\Temp\c4375618456c066376fec2d7bb5f8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F:\微信文件\WeChat Files\wxid_jd3m5y2h7v8o22\FileStorage\Temp\c4375618456c066376fec2d7bb5f8a3.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8223250" cy="5137150"/>
                    </a:xfrm>
                    <a:prstGeom prst="rect">
                      <a:avLst/>
                    </a:prstGeom>
                    <a:noFill/>
                    <a:ln>
                      <a:noFill/>
                    </a:ln>
                  </pic:spPr>
                </pic:pic>
              </a:graphicData>
            </a:graphic>
          </wp:inline>
        </w:drawing>
      </w:r>
      <w:r>
        <w:rPr>
          <w:rFonts w:hint="default" w:ascii="Times New Roman" w:hAnsi="Times New Roman"/>
          <w:b/>
          <w:sz w:val="21"/>
          <w:szCs w:val="21"/>
        </w:rPr>
        <w:t>附图11 生态管控单元分区图</w:t>
      </w:r>
      <w:bookmarkEnd w:id="42"/>
    </w:p>
    <w:p w14:paraId="5FC7703C">
      <w:pPr>
        <w:pStyle w:val="39"/>
        <w:outlineLvl w:val="0"/>
        <w:rPr>
          <w:rFonts w:hint="default" w:ascii="Times New Roman" w:hAnsi="Times New Roman"/>
          <w:b/>
          <w:sz w:val="21"/>
          <w:szCs w:val="21"/>
        </w:rPr>
        <w:sectPr>
          <w:pgSz w:w="15840" w:h="12240" w:orient="landscape"/>
          <w:pgMar w:top="1797" w:right="1440" w:bottom="1797" w:left="1440" w:header="720" w:footer="720" w:gutter="0"/>
          <w:cols w:space="425" w:num="1"/>
          <w:docGrid w:linePitch="312" w:charSpace="0"/>
        </w:sectPr>
      </w:pPr>
    </w:p>
    <w:p w14:paraId="56DFE9C6">
      <w:pPr>
        <w:pStyle w:val="39"/>
        <w:jc w:val="center"/>
        <w:outlineLvl w:val="0"/>
        <w:rPr>
          <w:rFonts w:hint="default" w:ascii="Times New Roman" w:hAnsi="Times New Roman"/>
          <w:b/>
          <w:sz w:val="21"/>
          <w:szCs w:val="21"/>
        </w:rPr>
      </w:pPr>
      <w:bookmarkStart w:id="43" w:name="_Toc28783"/>
      <w:r>
        <w:rPr>
          <w:rFonts w:hint="default" w:ascii="Times New Roman" w:hAnsi="Times New Roman"/>
          <w:b/>
          <w:sz w:val="21"/>
          <w:szCs w:val="21"/>
        </w:rPr>
        <w:drawing>
          <wp:inline distT="0" distB="0" distL="0" distR="0">
            <wp:extent cx="8216900" cy="5111750"/>
            <wp:effectExtent l="0" t="0" r="0" b="0"/>
            <wp:docPr id="46" name="图片 46" descr="F:\微信文件\WeChat Files\wxid_jd3m5y2h7v8o22\FileStorage\Temp\7497deb6f251c996082d853196c59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F:\微信文件\WeChat Files\wxid_jd3m5y2h7v8o22\FileStorage\Temp\7497deb6f251c996082d853196c59db.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8216900" cy="5111750"/>
                    </a:xfrm>
                    <a:prstGeom prst="rect">
                      <a:avLst/>
                    </a:prstGeom>
                    <a:noFill/>
                    <a:ln>
                      <a:noFill/>
                    </a:ln>
                  </pic:spPr>
                </pic:pic>
              </a:graphicData>
            </a:graphic>
          </wp:inline>
        </w:drawing>
      </w:r>
      <w:r>
        <w:rPr>
          <w:rFonts w:hint="default" w:ascii="Times New Roman" w:hAnsi="Times New Roman"/>
          <w:b/>
          <w:sz w:val="21"/>
          <w:szCs w:val="21"/>
        </w:rPr>
        <w:t>附图12 韶关市水功能区和水环境功能区</w:t>
      </w:r>
      <w:bookmarkEnd w:id="43"/>
    </w:p>
    <w:p w14:paraId="34C061CC">
      <w:pPr>
        <w:pStyle w:val="39"/>
        <w:spacing w:before="100" w:after="100"/>
        <w:jc w:val="center"/>
        <w:outlineLvl w:val="0"/>
        <w:rPr>
          <w:rFonts w:hint="default"/>
          <w:b/>
          <w:sz w:val="21"/>
          <w:szCs w:val="21"/>
        </w:rPr>
        <w:sectPr>
          <w:pgSz w:w="15840" w:h="12240" w:orient="landscape"/>
          <w:pgMar w:top="1797" w:right="1440" w:bottom="1797" w:left="1440" w:header="720" w:footer="720" w:gutter="0"/>
          <w:cols w:space="425" w:num="1"/>
          <w:docGrid w:linePitch="312" w:charSpace="0"/>
        </w:sectPr>
      </w:pPr>
    </w:p>
    <w:p w14:paraId="6F54AFF0">
      <w:pPr>
        <w:pStyle w:val="39"/>
        <w:spacing w:before="100" w:after="100"/>
        <w:jc w:val="center"/>
        <w:outlineLvl w:val="0"/>
        <w:rPr>
          <w:rFonts w:hint="default" w:ascii="Times New Roman" w:hAnsi="Times New Roman"/>
          <w:b/>
          <w:sz w:val="21"/>
          <w:szCs w:val="21"/>
        </w:rPr>
      </w:pPr>
      <w:bookmarkStart w:id="44" w:name="_Toc1376"/>
      <w:r>
        <w:rPr>
          <w:rFonts w:hint="default" w:ascii="Times New Roman" w:hAnsi="Times New Roman"/>
          <w:b/>
          <w:sz w:val="21"/>
          <w:szCs w:val="21"/>
        </w:rPr>
        <mc:AlternateContent>
          <mc:Choice Requires="wps">
            <w:drawing>
              <wp:anchor distT="0" distB="0" distL="114300" distR="114300" simplePos="0" relativeHeight="251710464" behindDoc="0" locked="0" layoutInCell="1" allowOverlap="1">
                <wp:simplePos x="0" y="0"/>
                <wp:positionH relativeFrom="column">
                  <wp:posOffset>2850515</wp:posOffset>
                </wp:positionH>
                <wp:positionV relativeFrom="paragraph">
                  <wp:posOffset>1717040</wp:posOffset>
                </wp:positionV>
                <wp:extent cx="957580" cy="289560"/>
                <wp:effectExtent l="0" t="0" r="13970" b="205740"/>
                <wp:wrapNone/>
                <wp:docPr id="724048306" name="矩形标注 724048306"/>
                <wp:cNvGraphicFramePr/>
                <a:graphic xmlns:a="http://schemas.openxmlformats.org/drawingml/2006/main">
                  <a:graphicData uri="http://schemas.microsoft.com/office/word/2010/wordprocessingShape">
                    <wps:wsp>
                      <wps:cNvSpPr/>
                      <wps:spPr>
                        <a:xfrm>
                          <a:off x="0" y="0"/>
                          <a:ext cx="957580" cy="289560"/>
                        </a:xfrm>
                        <a:prstGeom prst="wedgeRectCallout">
                          <a:avLst>
                            <a:gd name="adj1" fmla="val -27476"/>
                            <a:gd name="adj2" fmla="val 110555"/>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7F34D3">
                            <w:pPr>
                              <w:jc w:val="center"/>
                              <w:rPr>
                                <w:color w:val="FF0000"/>
                              </w:rPr>
                            </w:pPr>
                            <w:r>
                              <w:rPr>
                                <w:rFonts w:hint="eastAsia"/>
                                <w:color w:val="FF0000"/>
                              </w:rPr>
                              <w:t>项目</w:t>
                            </w:r>
                            <w:r>
                              <w:rPr>
                                <w:color w:val="FF0000"/>
                              </w:rPr>
                              <w:t>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24.45pt;margin-top:135.2pt;height:22.8pt;width:75.4pt;z-index:251710464;v-text-anchor:middle;mso-width-relative:page;mso-height-relative:page;" filled="f" stroked="t" coordsize="21600,21600" o:gfxdata="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GfF4TXaAAAACwEAAA8AAAAAAAAAAQAgAAAAIgAA&#10;AGRycy9kb3ducmV2LnhtbFBLAQIUABQAAAAIAIdO4kArYXMXsQIAAEoFAAAOAAAAAAAAAAEAIAAA&#10;ACkBAABkcnMvZTJvRG9jLnhtbFBLBQYAAAAABgAGAFkBAABMBgAAAAA=&#10;" adj="4865,34680">
                <v:fill on="f" focussize="0,0"/>
                <v:stroke weight="1pt" color="#FF0000 [3204]" miterlimit="8" joinstyle="miter"/>
                <v:imagedata o:title=""/>
                <o:lock v:ext="edit" aspectratio="f"/>
                <v:textbox>
                  <w:txbxContent>
                    <w:p w14:paraId="277F34D3">
                      <w:pPr>
                        <w:jc w:val="center"/>
                        <w:rPr>
                          <w:color w:val="FF0000"/>
                        </w:rPr>
                      </w:pPr>
                      <w:r>
                        <w:rPr>
                          <w:rFonts w:hint="eastAsia"/>
                          <w:color w:val="FF0000"/>
                        </w:rPr>
                        <w:t>项目</w:t>
                      </w:r>
                      <w:r>
                        <w:rPr>
                          <w:color w:val="FF0000"/>
                        </w:rPr>
                        <w:t>所在地</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709440" behindDoc="0" locked="0" layoutInCell="1" allowOverlap="1">
                <wp:simplePos x="0" y="0"/>
                <wp:positionH relativeFrom="column">
                  <wp:posOffset>3033395</wp:posOffset>
                </wp:positionH>
                <wp:positionV relativeFrom="paragraph">
                  <wp:posOffset>2193925</wp:posOffset>
                </wp:positionV>
                <wp:extent cx="59690" cy="79375"/>
                <wp:effectExtent l="19050" t="38100" r="36195" b="53975"/>
                <wp:wrapNone/>
                <wp:docPr id="724048305" name="五角星 724048305"/>
                <wp:cNvGraphicFramePr/>
                <a:graphic xmlns:a="http://schemas.openxmlformats.org/drawingml/2006/main">
                  <a:graphicData uri="http://schemas.microsoft.com/office/word/2010/wordprocessingShape">
                    <wps:wsp>
                      <wps:cNvSpPr/>
                      <wps:spPr>
                        <a:xfrm>
                          <a:off x="0" y="0"/>
                          <a:ext cx="59634" cy="79513"/>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38.85pt;margin-top:172.75pt;height:6.25pt;width:4.7pt;z-index:251709440;v-text-anchor:middle;mso-width-relative:page;mso-height-relative:page;" fillcolor="#FF0000" filled="t" stroked="t" coordsize="59634,79513" o:gfxdata="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BFeBMfbAAAACwEAAA8AAAAAAAAAAQAgAAAA&#10;IgAAAGRycy9kb3ducmV2LnhtbFBLAQIUABQAAAAIAIdO4kDJqsITegIAAAUFAAAOAAAAAAAAAAEA&#10;IAAAACoBAABkcnMvZTJvRG9jLnhtbFBLBQYAAAAABgAGAFkBAAAWBgAAAAA=&#10;" path="m0,30371l22778,30371,29817,0,36855,30371,59633,30371,41205,49141,48244,79512,29817,60742,11389,79512,18428,49141xe">
                <v:path o:connectlocs="29817,0;0,30371;11389,79512;48244,79512;59633,30371" o:connectangles="247,164,82,82,0"/>
                <v:fill on="t" focussize="0,0"/>
                <v:stroke weight="1pt" color="#FF0000 [3204]" miterlimit="8" joinstyle="miter"/>
                <v:imagedata o:title=""/>
                <o:lock v:ext="edit" aspectratio="f"/>
              </v:shape>
            </w:pict>
          </mc:Fallback>
        </mc:AlternateContent>
      </w:r>
      <w:r>
        <w:rPr>
          <w:rFonts w:hint="default" w:ascii="Times New Roman" w:hAnsi="Times New Roman"/>
          <w:b/>
          <w:sz w:val="21"/>
          <w:szCs w:val="21"/>
        </w:rPr>
        <w:drawing>
          <wp:inline distT="0" distB="0" distL="0" distR="0">
            <wp:extent cx="8146415" cy="5219700"/>
            <wp:effectExtent l="0" t="0" r="6985" b="0"/>
            <wp:docPr id="724048304" name="图片 724048304" descr="F:\微信文件\WeChat Files\wxid_jd3m5y2h7v8o22\FileStorage\Temp\2001bf5e1f7ce2bfc3531c25cf324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48304" name="图片 724048304" descr="F:\微信文件\WeChat Files\wxid_jd3m5y2h7v8o22\FileStorage\Temp\2001bf5e1f7ce2bfc3531c25cf324ee.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8158174" cy="5226990"/>
                    </a:xfrm>
                    <a:prstGeom prst="rect">
                      <a:avLst/>
                    </a:prstGeom>
                    <a:noFill/>
                    <a:ln>
                      <a:noFill/>
                    </a:ln>
                  </pic:spPr>
                </pic:pic>
              </a:graphicData>
            </a:graphic>
          </wp:inline>
        </w:drawing>
      </w:r>
      <w:r>
        <w:rPr>
          <w:rFonts w:hint="default" w:ascii="Times New Roman" w:hAnsi="Times New Roman"/>
          <w:b/>
          <w:sz w:val="21"/>
          <w:szCs w:val="21"/>
        </w:rPr>
        <w:t>附图13韶关市国土空间总体规划</w:t>
      </w:r>
      <w:bookmarkEnd w:id="44"/>
    </w:p>
    <w:p w14:paraId="5BF46205">
      <w:pPr>
        <w:pStyle w:val="39"/>
        <w:spacing w:before="100" w:after="100"/>
        <w:outlineLvl w:val="0"/>
        <w:rPr>
          <w:rFonts w:hint="default"/>
          <w:b/>
          <w:sz w:val="21"/>
          <w:szCs w:val="21"/>
        </w:rPr>
        <w:sectPr>
          <w:pgSz w:w="15840" w:h="12240" w:orient="landscape"/>
          <w:pgMar w:top="1797" w:right="1440" w:bottom="1797" w:left="1440" w:header="720" w:footer="720" w:gutter="0"/>
          <w:cols w:space="425" w:num="1"/>
          <w:docGrid w:linePitch="312" w:charSpace="0"/>
        </w:sectPr>
      </w:pPr>
    </w:p>
    <w:p w14:paraId="221993FD">
      <w:pPr>
        <w:pStyle w:val="39"/>
        <w:spacing w:before="100" w:after="100"/>
        <w:jc w:val="center"/>
        <w:outlineLvl w:val="0"/>
        <w:rPr>
          <w:rFonts w:hint="default" w:ascii="Times New Roman" w:hAnsi="Times New Roman"/>
          <w:b/>
          <w:sz w:val="21"/>
          <w:szCs w:val="21"/>
        </w:rPr>
      </w:pPr>
      <w:bookmarkStart w:id="45" w:name="_Toc18324"/>
      <w:r>
        <w:rPr>
          <w:rFonts w:hint="default" w:ascii="Times New Roman" w:hAnsi="Times New Roman"/>
          <w:b/>
          <w:sz w:val="21"/>
          <w:szCs w:val="21"/>
        </w:rPr>
        <mc:AlternateContent>
          <mc:Choice Requires="wps">
            <w:drawing>
              <wp:anchor distT="0" distB="0" distL="114300" distR="114300" simplePos="0" relativeHeight="251712512" behindDoc="0" locked="0" layoutInCell="1" allowOverlap="1">
                <wp:simplePos x="0" y="0"/>
                <wp:positionH relativeFrom="column">
                  <wp:posOffset>4572000</wp:posOffset>
                </wp:positionH>
                <wp:positionV relativeFrom="paragraph">
                  <wp:posOffset>3145790</wp:posOffset>
                </wp:positionV>
                <wp:extent cx="932180" cy="290830"/>
                <wp:effectExtent l="0" t="0" r="20320" b="452120"/>
                <wp:wrapNone/>
                <wp:docPr id="47" name="矩形标注 47"/>
                <wp:cNvGraphicFramePr/>
                <a:graphic xmlns:a="http://schemas.openxmlformats.org/drawingml/2006/main">
                  <a:graphicData uri="http://schemas.microsoft.com/office/word/2010/wordprocessingShape">
                    <wps:wsp>
                      <wps:cNvSpPr/>
                      <wps:spPr>
                        <a:xfrm>
                          <a:off x="0" y="0"/>
                          <a:ext cx="932180" cy="290830"/>
                        </a:xfrm>
                        <a:prstGeom prst="wedgeRectCallout">
                          <a:avLst>
                            <a:gd name="adj1" fmla="val -28476"/>
                            <a:gd name="adj2" fmla="val 19112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D33FCE">
                            <w:pPr>
                              <w:jc w:val="center"/>
                              <w:rPr>
                                <w:color w:val="FF0000"/>
                              </w:rPr>
                            </w:pPr>
                            <w:r>
                              <w:rPr>
                                <w:rFonts w:hint="eastAsia"/>
                                <w:color w:val="FF0000"/>
                              </w:rPr>
                              <w:t>项目</w:t>
                            </w:r>
                            <w:r>
                              <w:rPr>
                                <w:color w:val="FF0000"/>
                              </w:rPr>
                              <w:t>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60pt;margin-top:247.7pt;height:22.9pt;width:73.4pt;z-index:251712512;v-text-anchor:middle;mso-width-relative:page;mso-height-relative:page;" filled="f" stroked="t" coordsize="21600,21600" o:gfxdata="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s0zoOtgAAAALAQAADwAAAAAAAAABACAAAAAiAAAAZHJzL2Rvd25yZXYu&#10;eG1sUEsBAhQAFAAAAAgAh07iQIyKBoGmAgAAPAUAAA4AAAAAAAAAAQAgAAAAJwEAAGRycy9lMm9E&#10;b2MueG1sUEsFBgAAAAAGAAYAWQEAAD8GAAAAAA==&#10;" adj="4649,52082">
                <v:fill on="f" focussize="0,0"/>
                <v:stroke weight="1pt" color="#000000 [3213]" miterlimit="8" joinstyle="miter"/>
                <v:imagedata o:title=""/>
                <o:lock v:ext="edit" aspectratio="f"/>
                <v:textbox>
                  <w:txbxContent>
                    <w:p w14:paraId="64D33FCE">
                      <w:pPr>
                        <w:jc w:val="center"/>
                        <w:rPr>
                          <w:color w:val="FF0000"/>
                        </w:rPr>
                      </w:pPr>
                      <w:r>
                        <w:rPr>
                          <w:rFonts w:hint="eastAsia"/>
                          <w:color w:val="FF0000"/>
                        </w:rPr>
                        <w:t>项目</w:t>
                      </w:r>
                      <w:r>
                        <w:rPr>
                          <w:color w:val="FF0000"/>
                        </w:rPr>
                        <w:t>所在地</w:t>
                      </w:r>
                    </w:p>
                  </w:txbxContent>
                </v:textbox>
              </v:shape>
            </w:pict>
          </mc:Fallback>
        </mc:AlternateContent>
      </w:r>
      <w:r>
        <w:rPr>
          <w:rFonts w:hint="default" w:ascii="Times New Roman" w:hAnsi="Times New Roman"/>
          <w:b/>
          <w:sz w:val="21"/>
          <w:szCs w:val="21"/>
        </w:rPr>
        <mc:AlternateContent>
          <mc:Choice Requires="wps">
            <w:drawing>
              <wp:anchor distT="0" distB="0" distL="114300" distR="114300" simplePos="0" relativeHeight="251711488" behindDoc="0" locked="0" layoutInCell="1" allowOverlap="1">
                <wp:simplePos x="0" y="0"/>
                <wp:positionH relativeFrom="column">
                  <wp:posOffset>4695825</wp:posOffset>
                </wp:positionH>
                <wp:positionV relativeFrom="paragraph">
                  <wp:posOffset>3869690</wp:posOffset>
                </wp:positionV>
                <wp:extent cx="148590" cy="148590"/>
                <wp:effectExtent l="19050" t="38100" r="42545" b="42545"/>
                <wp:wrapNone/>
                <wp:docPr id="43" name="五角星 43"/>
                <wp:cNvGraphicFramePr/>
                <a:graphic xmlns:a="http://schemas.openxmlformats.org/drawingml/2006/main">
                  <a:graphicData uri="http://schemas.microsoft.com/office/word/2010/wordprocessingShape">
                    <wps:wsp>
                      <wps:cNvSpPr/>
                      <wps:spPr>
                        <a:xfrm>
                          <a:off x="0" y="0"/>
                          <a:ext cx="148441" cy="148441"/>
                        </a:xfrm>
                        <a:prstGeom prst="star5">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69.75pt;margin-top:304.7pt;height:11.7pt;width:11.7pt;z-index:251711488;v-text-anchor:middle;mso-width-relative:page;mso-height-relative:page;" fillcolor="#000000 [3213]" filled="t" stroked="t" coordsize="148441,148441" o:gfxdata="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mnlO92gAAAAsBAAAPAAAAAAAAAAEAIAAAACIAAABkcnMvZG93bnJl&#10;di54bWxQSwECFAAUAAAACACHTuJATyLz0m0CAAD5BAAADgAAAAAAAAABACAAAAApAQAAZHJzL2Uy&#10;b0RvYy54bWxQSwUGAAAAAAYABgBZAQAACAYAAAAA&#10;" path="m0,56699l56699,56699,74220,0,91741,56699,148440,56699,102569,91741,120091,148440,74220,113398,28349,148440,45871,91741xe">
                <v:path o:connectlocs="74220,0;0,56699;28349,148440;120091,148440;148440,56699" o:connectangles="247,164,82,82,0"/>
                <v:fill on="t" focussize="0,0"/>
                <v:stroke weight="1pt" color="#000000 [3213]" miterlimit="8" joinstyle="miter"/>
                <v:imagedata o:title=""/>
                <o:lock v:ext="edit" aspectratio="f"/>
              </v:shape>
            </w:pict>
          </mc:Fallback>
        </mc:AlternateContent>
      </w:r>
      <w:r>
        <w:rPr>
          <w:rFonts w:hint="default" w:ascii="Times New Roman" w:hAnsi="Times New Roman"/>
          <w:b/>
          <w:sz w:val="21"/>
          <w:szCs w:val="21"/>
        </w:rPr>
        <w:drawing>
          <wp:inline distT="0" distB="0" distL="0" distR="0">
            <wp:extent cx="8122285" cy="5224780"/>
            <wp:effectExtent l="0" t="0" r="0" b="0"/>
            <wp:docPr id="38" name="图片 38" descr="F:\微信文件\WeChat Files\wxid_jd3m5y2h7v8o22\FileStorage\Temp\b39201c6439c7843cdd057882ec9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F:\微信文件\WeChat Files\wxid_jd3m5y2h7v8o22\FileStorage\Temp\b39201c6439c7843cdd057882ec9e66.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8146487" cy="5240712"/>
                    </a:xfrm>
                    <a:prstGeom prst="rect">
                      <a:avLst/>
                    </a:prstGeom>
                    <a:noFill/>
                    <a:ln>
                      <a:noFill/>
                    </a:ln>
                  </pic:spPr>
                </pic:pic>
              </a:graphicData>
            </a:graphic>
          </wp:inline>
        </w:drawing>
      </w:r>
      <w:r>
        <w:rPr>
          <w:rFonts w:hint="default" w:ascii="Times New Roman" w:hAnsi="Times New Roman"/>
          <w:b/>
          <w:sz w:val="21"/>
          <w:szCs w:val="21"/>
        </w:rPr>
        <w:t>附图14 乐昌市国土空间总体规划</w:t>
      </w:r>
      <w:bookmarkEnd w:id="45"/>
    </w:p>
    <w:p w14:paraId="4D116BC9">
      <w:pPr>
        <w:pStyle w:val="39"/>
        <w:spacing w:before="100" w:after="100"/>
        <w:outlineLvl w:val="0"/>
        <w:rPr>
          <w:rFonts w:hint="default"/>
          <w:b/>
          <w:sz w:val="21"/>
          <w:szCs w:val="21"/>
        </w:rPr>
        <w:sectPr>
          <w:pgSz w:w="15840" w:h="12240" w:orient="landscape"/>
          <w:pgMar w:top="1797" w:right="1440" w:bottom="1797" w:left="1440" w:header="720" w:footer="720" w:gutter="0"/>
          <w:cols w:space="425" w:num="1"/>
          <w:docGrid w:linePitch="312" w:charSpace="0"/>
        </w:sectPr>
      </w:pPr>
    </w:p>
    <w:p w14:paraId="37DA83A7">
      <w:pPr>
        <w:pStyle w:val="39"/>
        <w:spacing w:before="100" w:after="100"/>
        <w:outlineLvl w:val="0"/>
        <w:rPr>
          <w:rFonts w:hint="default"/>
          <w:b/>
          <w:sz w:val="21"/>
          <w:szCs w:val="21"/>
        </w:rPr>
      </w:pPr>
    </w:p>
    <w:sectPr>
      <w:pgSz w:w="12240" w:h="15840"/>
      <w:pgMar w:top="1440" w:right="1797" w:bottom="1440" w:left="1797" w:header="720" w:footer="720"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serif">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
    <w:altName w:val="Times New Roman"/>
    <w:panose1 w:val="00000000000000000000"/>
    <w:charset w:val="00"/>
    <w:family w:val="roman"/>
    <w:pitch w:val="default"/>
    <w:sig w:usb0="00000000" w:usb1="00000000" w:usb2="00000000" w:usb3="00000000" w:csb0="00000001" w:csb1="00000000"/>
  </w:font>
  <w:font w:name="mso-ascii-font-family :">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_x000B__x000C_">
    <w:altName w:val="Times New Roman"/>
    <w:panose1 w:val="00000000000000000000"/>
    <w:charset w:val="00"/>
    <w:family w:val="auto"/>
    <w:pitch w:val="default"/>
    <w:sig w:usb0="00000000" w:usb1="00000000" w:usb2="00000000" w:usb3="00000000" w:csb0="00040001"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文鼎CS中宋">
    <w:altName w:val="宋体"/>
    <w:panose1 w:val="00000000000000000000"/>
    <w:charset w:val="86"/>
    <w:family w:val="modern"/>
    <w:pitch w:val="default"/>
    <w:sig w:usb0="00000000" w:usb1="00000000" w:usb2="00000010" w:usb3="00000000" w:csb0="00040000" w:csb1="00000000"/>
  </w:font>
  <w:font w:name="Arial Black">
    <w:panose1 w:val="020B0A04020102020204"/>
    <w:charset w:val="00"/>
    <w:family w:val="swiss"/>
    <w:pitch w:val="default"/>
    <w:sig w:usb0="A00002AF" w:usb1="400078FB" w:usb2="00000000" w:usb3="00000000" w:csb0="6000009F" w:csb1="DFD70000"/>
  </w:font>
  <w:font w:name="MS Mincho">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方正小标宋_GBK">
    <w:panose1 w:val="03000502000000000000"/>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42693143"/>
    </w:sdtPr>
    <w:sdtContent>
      <w:p w14:paraId="015BDA3D">
        <w:pPr>
          <w:pStyle w:val="31"/>
          <w:jc w:val="cente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4685243"/>
    </w:sdtPr>
    <w:sdtEndPr>
      <w:rPr>
        <w:rFonts w:ascii="Times New Roman" w:hAnsi="Times New Roman" w:cs="Times New Roman"/>
        <w:sz w:val="24"/>
      </w:rPr>
    </w:sdtEndPr>
    <w:sdtContent>
      <w:p w14:paraId="37E8FA0F">
        <w:pPr>
          <w:pStyle w:val="31"/>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PAGE   \* MERGEFORMAT</w:instrText>
        </w:r>
        <w:r>
          <w:rPr>
            <w:rFonts w:ascii="Times New Roman" w:hAnsi="Times New Roman" w:cs="Times New Roman"/>
            <w:sz w:val="24"/>
          </w:rPr>
          <w:fldChar w:fldCharType="separate"/>
        </w:r>
        <w:r>
          <w:rPr>
            <w:rFonts w:ascii="Times New Roman" w:hAnsi="Times New Roman" w:cs="Times New Roman"/>
            <w:sz w:val="24"/>
            <w:lang w:val="zh-CN"/>
          </w:rPr>
          <w:t>89</w:t>
        </w:r>
        <w:r>
          <w:rPr>
            <w:rFonts w:ascii="Times New Roman" w:hAnsi="Times New Roman" w:cs="Times New Roman"/>
            <w:sz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06569">
    <w:pPr>
      <w:pStyle w:val="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24048256" name="文本框 7240482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2BA20F">
                          <w:pPr>
                            <w:pStyle w:val="31"/>
                          </w:pPr>
                          <w:r>
                            <w:fldChar w:fldCharType="begin"/>
                          </w:r>
                          <w:r>
                            <w:instrText xml:space="preserve"> PAGE  \* MERGEFORMAT </w:instrText>
                          </w:r>
                          <w:r>
                            <w:fldChar w:fldCharType="separate"/>
                          </w:r>
                          <w:r>
                            <w:t>142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cstEXzUCAABlBAAADgAAAAAAAAABACAAAAAfAQAAZHJzL2Uyb0RvYy54bWxQ&#10;SwUGAAAAAAYABgBZAQAAxgUAAAAA&#10;">
              <v:fill on="f" focussize="0,0"/>
              <v:stroke on="f" weight="0.5pt"/>
              <v:imagedata o:title=""/>
              <o:lock v:ext="edit" aspectratio="f"/>
              <v:textbox inset="0mm,0mm,0mm,0mm" style="mso-fit-shape-to-text:t;">
                <w:txbxContent>
                  <w:p w14:paraId="3F2BA20F">
                    <w:pPr>
                      <w:pStyle w:val="31"/>
                    </w:pPr>
                    <w:r>
                      <w:fldChar w:fldCharType="begin"/>
                    </w:r>
                    <w:r>
                      <w:instrText xml:space="preserve"> PAGE  \* MERGEFORMAT </w:instrText>
                    </w:r>
                    <w:r>
                      <w:fldChar w:fldCharType="separate"/>
                    </w:r>
                    <w:r>
                      <w:t>142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singleLevel"/>
    <w:tmpl w:val="0000000E"/>
    <w:lvl w:ilvl="0" w:tentative="0">
      <w:start w:val="1"/>
      <w:numFmt w:val="decimal"/>
      <w:pStyle w:val="320"/>
      <w:suff w:val="space"/>
      <w:lvlText w:val="表1-%1"/>
      <w:lvlJc w:val="center"/>
      <w:pPr>
        <w:tabs>
          <w:tab w:val="left" w:pos="0"/>
        </w:tabs>
        <w:ind w:left="0" w:firstLine="0"/>
      </w:pPr>
      <w:rPr>
        <w:rFonts w:hint="default" w:ascii="Times New Roman" w:hAnsi="Times New Roman"/>
        <w:b/>
        <w:bCs/>
        <w:sz w:val="21"/>
        <w:szCs w:val="21"/>
      </w:rPr>
    </w:lvl>
  </w:abstractNum>
  <w:abstractNum w:abstractNumId="1">
    <w:nsid w:val="14E90547"/>
    <w:multiLevelType w:val="singleLevel"/>
    <w:tmpl w:val="14E90547"/>
    <w:lvl w:ilvl="0" w:tentative="0">
      <w:start w:val="3"/>
      <w:numFmt w:val="decimal"/>
      <w:lvlText w:val="(%1)"/>
      <w:lvlJc w:val="left"/>
      <w:pPr>
        <w:tabs>
          <w:tab w:val="left" w:pos="312"/>
        </w:tabs>
      </w:pPr>
    </w:lvl>
  </w:abstractNum>
  <w:abstractNum w:abstractNumId="2">
    <w:nsid w:val="64586359"/>
    <w:multiLevelType w:val="multilevel"/>
    <w:tmpl w:val="64586359"/>
    <w:lvl w:ilvl="0" w:tentative="0">
      <w:start w:val="1"/>
      <w:numFmt w:val="decimal"/>
      <w:pStyle w:val="256"/>
      <w:lvlText w:val="（%1）"/>
      <w:lvlJc w:val="left"/>
      <w:pPr>
        <w:ind w:left="900" w:hanging="420"/>
      </w:pPr>
      <w:rPr>
        <w:rFonts w:hint="eastAsia"/>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756D3ACA"/>
    <w:multiLevelType w:val="singleLevel"/>
    <w:tmpl w:val="756D3ACA"/>
    <w:lvl w:ilvl="0" w:tentative="0">
      <w:start w:val="2"/>
      <w:numFmt w:val="decimal"/>
      <w:suff w:val="nothing"/>
      <w:lvlText w:val="%1、"/>
      <w:lvlJc w:val="left"/>
      <w:rPr>
        <w:rFonts w:hint="default" w:ascii="Times New Roman" w:hAnsi="Times New Roman" w:cs="Times New Roman"/>
        <w:sz w:val="24"/>
        <w:szCs w:val="24"/>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xOGRlNjQyMDc2ZWRlMzc2OGIxNTZiYzYyMTU1MTcifQ=="/>
  </w:docVars>
  <w:rsids>
    <w:rsidRoot w:val="00172A27"/>
    <w:rsid w:val="00000286"/>
    <w:rsid w:val="00000DA0"/>
    <w:rsid w:val="000027F6"/>
    <w:rsid w:val="00002F7E"/>
    <w:rsid w:val="000032B7"/>
    <w:rsid w:val="0000694D"/>
    <w:rsid w:val="0001008B"/>
    <w:rsid w:val="00010356"/>
    <w:rsid w:val="00010812"/>
    <w:rsid w:val="00010A54"/>
    <w:rsid w:val="00011872"/>
    <w:rsid w:val="0001227A"/>
    <w:rsid w:val="00012910"/>
    <w:rsid w:val="00013663"/>
    <w:rsid w:val="00014572"/>
    <w:rsid w:val="00014598"/>
    <w:rsid w:val="00015263"/>
    <w:rsid w:val="00022F89"/>
    <w:rsid w:val="00027131"/>
    <w:rsid w:val="00027C48"/>
    <w:rsid w:val="00031C88"/>
    <w:rsid w:val="00031F5F"/>
    <w:rsid w:val="000321D0"/>
    <w:rsid w:val="00032295"/>
    <w:rsid w:val="0003491B"/>
    <w:rsid w:val="00036954"/>
    <w:rsid w:val="00036C48"/>
    <w:rsid w:val="00037194"/>
    <w:rsid w:val="00040D88"/>
    <w:rsid w:val="0004132C"/>
    <w:rsid w:val="00042E97"/>
    <w:rsid w:val="000434B2"/>
    <w:rsid w:val="00043BF0"/>
    <w:rsid w:val="00044403"/>
    <w:rsid w:val="00045F8C"/>
    <w:rsid w:val="0004655D"/>
    <w:rsid w:val="00050352"/>
    <w:rsid w:val="00050830"/>
    <w:rsid w:val="00051244"/>
    <w:rsid w:val="000528EF"/>
    <w:rsid w:val="00054EEC"/>
    <w:rsid w:val="00056CDB"/>
    <w:rsid w:val="000571EB"/>
    <w:rsid w:val="000629C1"/>
    <w:rsid w:val="00062F1B"/>
    <w:rsid w:val="00063119"/>
    <w:rsid w:val="00064231"/>
    <w:rsid w:val="000648ED"/>
    <w:rsid w:val="000657DA"/>
    <w:rsid w:val="00065801"/>
    <w:rsid w:val="00067E4F"/>
    <w:rsid w:val="00070867"/>
    <w:rsid w:val="000715BD"/>
    <w:rsid w:val="000725F3"/>
    <w:rsid w:val="00072B40"/>
    <w:rsid w:val="00072F8A"/>
    <w:rsid w:val="00073611"/>
    <w:rsid w:val="00073ADD"/>
    <w:rsid w:val="00077B9C"/>
    <w:rsid w:val="00080DCE"/>
    <w:rsid w:val="00080E06"/>
    <w:rsid w:val="000813AA"/>
    <w:rsid w:val="000819D5"/>
    <w:rsid w:val="000826DF"/>
    <w:rsid w:val="0008597F"/>
    <w:rsid w:val="000862B2"/>
    <w:rsid w:val="00087FF8"/>
    <w:rsid w:val="00091ACB"/>
    <w:rsid w:val="00093EBD"/>
    <w:rsid w:val="00096979"/>
    <w:rsid w:val="000974EF"/>
    <w:rsid w:val="000A269A"/>
    <w:rsid w:val="000A31B7"/>
    <w:rsid w:val="000A34C3"/>
    <w:rsid w:val="000A35CD"/>
    <w:rsid w:val="000A435D"/>
    <w:rsid w:val="000A4C9B"/>
    <w:rsid w:val="000A5409"/>
    <w:rsid w:val="000A5F3C"/>
    <w:rsid w:val="000A60BC"/>
    <w:rsid w:val="000A682A"/>
    <w:rsid w:val="000A6E1E"/>
    <w:rsid w:val="000A7432"/>
    <w:rsid w:val="000A76E9"/>
    <w:rsid w:val="000A7854"/>
    <w:rsid w:val="000B11A1"/>
    <w:rsid w:val="000B2131"/>
    <w:rsid w:val="000B2772"/>
    <w:rsid w:val="000B2D75"/>
    <w:rsid w:val="000B3139"/>
    <w:rsid w:val="000B4853"/>
    <w:rsid w:val="000B5253"/>
    <w:rsid w:val="000B58EF"/>
    <w:rsid w:val="000B6773"/>
    <w:rsid w:val="000B6FB5"/>
    <w:rsid w:val="000B7A24"/>
    <w:rsid w:val="000B7DCF"/>
    <w:rsid w:val="000C0A8B"/>
    <w:rsid w:val="000C11A1"/>
    <w:rsid w:val="000C1AE7"/>
    <w:rsid w:val="000C207B"/>
    <w:rsid w:val="000C3688"/>
    <w:rsid w:val="000C4008"/>
    <w:rsid w:val="000C415E"/>
    <w:rsid w:val="000C504B"/>
    <w:rsid w:val="000C687E"/>
    <w:rsid w:val="000C7CC3"/>
    <w:rsid w:val="000D03C7"/>
    <w:rsid w:val="000D147D"/>
    <w:rsid w:val="000D1DE6"/>
    <w:rsid w:val="000D20D5"/>
    <w:rsid w:val="000D213E"/>
    <w:rsid w:val="000D38B5"/>
    <w:rsid w:val="000D3D34"/>
    <w:rsid w:val="000D59B3"/>
    <w:rsid w:val="000D5C4D"/>
    <w:rsid w:val="000D6773"/>
    <w:rsid w:val="000D72C2"/>
    <w:rsid w:val="000D785A"/>
    <w:rsid w:val="000D7C1E"/>
    <w:rsid w:val="000E055E"/>
    <w:rsid w:val="000E0BC9"/>
    <w:rsid w:val="000E1103"/>
    <w:rsid w:val="000E1FAD"/>
    <w:rsid w:val="000E2D9E"/>
    <w:rsid w:val="000E4C92"/>
    <w:rsid w:val="000E689D"/>
    <w:rsid w:val="000E7D98"/>
    <w:rsid w:val="000F02D3"/>
    <w:rsid w:val="000F04A2"/>
    <w:rsid w:val="000F1305"/>
    <w:rsid w:val="000F1E71"/>
    <w:rsid w:val="000F37BD"/>
    <w:rsid w:val="000F3B5A"/>
    <w:rsid w:val="000F3F3D"/>
    <w:rsid w:val="000F444C"/>
    <w:rsid w:val="000F45BC"/>
    <w:rsid w:val="000F650C"/>
    <w:rsid w:val="000F688F"/>
    <w:rsid w:val="000F7259"/>
    <w:rsid w:val="000F7938"/>
    <w:rsid w:val="001001F7"/>
    <w:rsid w:val="00100528"/>
    <w:rsid w:val="0010081F"/>
    <w:rsid w:val="00101314"/>
    <w:rsid w:val="00101B6A"/>
    <w:rsid w:val="00102FDE"/>
    <w:rsid w:val="0010614E"/>
    <w:rsid w:val="00110202"/>
    <w:rsid w:val="001110EC"/>
    <w:rsid w:val="00111C8A"/>
    <w:rsid w:val="001135F7"/>
    <w:rsid w:val="00114358"/>
    <w:rsid w:val="00114599"/>
    <w:rsid w:val="00115F74"/>
    <w:rsid w:val="0011640F"/>
    <w:rsid w:val="00117937"/>
    <w:rsid w:val="00120EFE"/>
    <w:rsid w:val="00121386"/>
    <w:rsid w:val="00121A82"/>
    <w:rsid w:val="0012280C"/>
    <w:rsid w:val="00122C0C"/>
    <w:rsid w:val="00123538"/>
    <w:rsid w:val="001257A9"/>
    <w:rsid w:val="00125F2E"/>
    <w:rsid w:val="0012741F"/>
    <w:rsid w:val="0012775B"/>
    <w:rsid w:val="00127AB6"/>
    <w:rsid w:val="00130896"/>
    <w:rsid w:val="00130A97"/>
    <w:rsid w:val="001310BB"/>
    <w:rsid w:val="00131406"/>
    <w:rsid w:val="00131F2D"/>
    <w:rsid w:val="00132209"/>
    <w:rsid w:val="00134B3C"/>
    <w:rsid w:val="00135F79"/>
    <w:rsid w:val="00137095"/>
    <w:rsid w:val="00137D3B"/>
    <w:rsid w:val="00137E9C"/>
    <w:rsid w:val="00142F7B"/>
    <w:rsid w:val="0014482B"/>
    <w:rsid w:val="00145ADE"/>
    <w:rsid w:val="00145E90"/>
    <w:rsid w:val="0014630C"/>
    <w:rsid w:val="00146FA4"/>
    <w:rsid w:val="001475C7"/>
    <w:rsid w:val="0014769F"/>
    <w:rsid w:val="00150130"/>
    <w:rsid w:val="00152EC3"/>
    <w:rsid w:val="00155CAF"/>
    <w:rsid w:val="00156B82"/>
    <w:rsid w:val="001572BA"/>
    <w:rsid w:val="00157667"/>
    <w:rsid w:val="00157C19"/>
    <w:rsid w:val="00157D73"/>
    <w:rsid w:val="00160803"/>
    <w:rsid w:val="00160E40"/>
    <w:rsid w:val="00165195"/>
    <w:rsid w:val="00165645"/>
    <w:rsid w:val="00165FD9"/>
    <w:rsid w:val="00166226"/>
    <w:rsid w:val="00166609"/>
    <w:rsid w:val="00166C6F"/>
    <w:rsid w:val="00166E00"/>
    <w:rsid w:val="001673E5"/>
    <w:rsid w:val="00167A3D"/>
    <w:rsid w:val="001727DF"/>
    <w:rsid w:val="00172A27"/>
    <w:rsid w:val="00172D97"/>
    <w:rsid w:val="00175BB2"/>
    <w:rsid w:val="00175FDC"/>
    <w:rsid w:val="0017791A"/>
    <w:rsid w:val="00181192"/>
    <w:rsid w:val="00181851"/>
    <w:rsid w:val="00182083"/>
    <w:rsid w:val="001820CF"/>
    <w:rsid w:val="00183566"/>
    <w:rsid w:val="00184F38"/>
    <w:rsid w:val="00185975"/>
    <w:rsid w:val="00185EC9"/>
    <w:rsid w:val="0018622B"/>
    <w:rsid w:val="00186B66"/>
    <w:rsid w:val="00187716"/>
    <w:rsid w:val="001877C6"/>
    <w:rsid w:val="00187CB5"/>
    <w:rsid w:val="00191E65"/>
    <w:rsid w:val="001925FF"/>
    <w:rsid w:val="00195455"/>
    <w:rsid w:val="001961F5"/>
    <w:rsid w:val="00197104"/>
    <w:rsid w:val="001977B7"/>
    <w:rsid w:val="00197D95"/>
    <w:rsid w:val="001A0F8C"/>
    <w:rsid w:val="001A1F01"/>
    <w:rsid w:val="001A2B79"/>
    <w:rsid w:val="001A50AE"/>
    <w:rsid w:val="001A52DB"/>
    <w:rsid w:val="001A63F4"/>
    <w:rsid w:val="001A687F"/>
    <w:rsid w:val="001B4263"/>
    <w:rsid w:val="001B4F12"/>
    <w:rsid w:val="001B5008"/>
    <w:rsid w:val="001B582B"/>
    <w:rsid w:val="001B5A5D"/>
    <w:rsid w:val="001B62EB"/>
    <w:rsid w:val="001C2A9A"/>
    <w:rsid w:val="001C2EEF"/>
    <w:rsid w:val="001C2F8A"/>
    <w:rsid w:val="001C5899"/>
    <w:rsid w:val="001D10EB"/>
    <w:rsid w:val="001D1A79"/>
    <w:rsid w:val="001D1FB9"/>
    <w:rsid w:val="001D2345"/>
    <w:rsid w:val="001D341C"/>
    <w:rsid w:val="001D3522"/>
    <w:rsid w:val="001D564C"/>
    <w:rsid w:val="001D745B"/>
    <w:rsid w:val="001D781E"/>
    <w:rsid w:val="001E04F2"/>
    <w:rsid w:val="001E1DF9"/>
    <w:rsid w:val="001E26B2"/>
    <w:rsid w:val="001E2AD6"/>
    <w:rsid w:val="001E2B68"/>
    <w:rsid w:val="001E32FA"/>
    <w:rsid w:val="001E4296"/>
    <w:rsid w:val="001E44BB"/>
    <w:rsid w:val="001E45C0"/>
    <w:rsid w:val="001E4757"/>
    <w:rsid w:val="001E5672"/>
    <w:rsid w:val="001E6FFF"/>
    <w:rsid w:val="001F04C5"/>
    <w:rsid w:val="001F0C76"/>
    <w:rsid w:val="001F0EA3"/>
    <w:rsid w:val="001F0F2F"/>
    <w:rsid w:val="001F195F"/>
    <w:rsid w:val="001F29A8"/>
    <w:rsid w:val="001F31A4"/>
    <w:rsid w:val="001F33C8"/>
    <w:rsid w:val="001F375B"/>
    <w:rsid w:val="001F43DD"/>
    <w:rsid w:val="001F52C9"/>
    <w:rsid w:val="001F7958"/>
    <w:rsid w:val="00201326"/>
    <w:rsid w:val="00202A33"/>
    <w:rsid w:val="00203F1A"/>
    <w:rsid w:val="00204866"/>
    <w:rsid w:val="00205DDD"/>
    <w:rsid w:val="00210950"/>
    <w:rsid w:val="00210967"/>
    <w:rsid w:val="00211075"/>
    <w:rsid w:val="002122D0"/>
    <w:rsid w:val="00212325"/>
    <w:rsid w:val="00212454"/>
    <w:rsid w:val="00213A67"/>
    <w:rsid w:val="002141F4"/>
    <w:rsid w:val="00215186"/>
    <w:rsid w:val="00216616"/>
    <w:rsid w:val="00216617"/>
    <w:rsid w:val="0021712A"/>
    <w:rsid w:val="00217867"/>
    <w:rsid w:val="00220A4F"/>
    <w:rsid w:val="00222C49"/>
    <w:rsid w:val="002247D8"/>
    <w:rsid w:val="00225B3D"/>
    <w:rsid w:val="00225E2C"/>
    <w:rsid w:val="0022755F"/>
    <w:rsid w:val="00230B03"/>
    <w:rsid w:val="00232457"/>
    <w:rsid w:val="0023271D"/>
    <w:rsid w:val="00232EE1"/>
    <w:rsid w:val="00233DBA"/>
    <w:rsid w:val="00234068"/>
    <w:rsid w:val="00234569"/>
    <w:rsid w:val="002352EF"/>
    <w:rsid w:val="00235DFA"/>
    <w:rsid w:val="002370E4"/>
    <w:rsid w:val="002375AF"/>
    <w:rsid w:val="00237E41"/>
    <w:rsid w:val="002402D8"/>
    <w:rsid w:val="00240B1B"/>
    <w:rsid w:val="002443E8"/>
    <w:rsid w:val="00244DA6"/>
    <w:rsid w:val="00251F73"/>
    <w:rsid w:val="00252573"/>
    <w:rsid w:val="0025351D"/>
    <w:rsid w:val="00253D0F"/>
    <w:rsid w:val="00255DBF"/>
    <w:rsid w:val="00257D6B"/>
    <w:rsid w:val="002605CB"/>
    <w:rsid w:val="0026124E"/>
    <w:rsid w:val="0026144A"/>
    <w:rsid w:val="0026190A"/>
    <w:rsid w:val="00262149"/>
    <w:rsid w:val="00262F62"/>
    <w:rsid w:val="0026433A"/>
    <w:rsid w:val="00266BD6"/>
    <w:rsid w:val="002677B0"/>
    <w:rsid w:val="00267EB3"/>
    <w:rsid w:val="00271381"/>
    <w:rsid w:val="00272105"/>
    <w:rsid w:val="002728F4"/>
    <w:rsid w:val="00273915"/>
    <w:rsid w:val="00273FBC"/>
    <w:rsid w:val="00274450"/>
    <w:rsid w:val="00274EFF"/>
    <w:rsid w:val="00274FD7"/>
    <w:rsid w:val="00276AE7"/>
    <w:rsid w:val="002776C7"/>
    <w:rsid w:val="002777CE"/>
    <w:rsid w:val="00280462"/>
    <w:rsid w:val="00280B8A"/>
    <w:rsid w:val="00282618"/>
    <w:rsid w:val="00284942"/>
    <w:rsid w:val="00285674"/>
    <w:rsid w:val="00285F55"/>
    <w:rsid w:val="00285FDA"/>
    <w:rsid w:val="002868B4"/>
    <w:rsid w:val="002907AE"/>
    <w:rsid w:val="002907C9"/>
    <w:rsid w:val="00290A80"/>
    <w:rsid w:val="00291B1B"/>
    <w:rsid w:val="0029351A"/>
    <w:rsid w:val="002937C6"/>
    <w:rsid w:val="00293821"/>
    <w:rsid w:val="002938D8"/>
    <w:rsid w:val="00293C74"/>
    <w:rsid w:val="00293EA2"/>
    <w:rsid w:val="0029428B"/>
    <w:rsid w:val="002942FF"/>
    <w:rsid w:val="00294836"/>
    <w:rsid w:val="00296AFB"/>
    <w:rsid w:val="00296B0D"/>
    <w:rsid w:val="00296D18"/>
    <w:rsid w:val="00297E41"/>
    <w:rsid w:val="002A0689"/>
    <w:rsid w:val="002A17F6"/>
    <w:rsid w:val="002A1A3D"/>
    <w:rsid w:val="002A2841"/>
    <w:rsid w:val="002A38FE"/>
    <w:rsid w:val="002A6144"/>
    <w:rsid w:val="002A6E13"/>
    <w:rsid w:val="002B0B73"/>
    <w:rsid w:val="002B1897"/>
    <w:rsid w:val="002B1C4F"/>
    <w:rsid w:val="002B3C46"/>
    <w:rsid w:val="002B5682"/>
    <w:rsid w:val="002B58D3"/>
    <w:rsid w:val="002B6354"/>
    <w:rsid w:val="002C0465"/>
    <w:rsid w:val="002C0860"/>
    <w:rsid w:val="002C0D8C"/>
    <w:rsid w:val="002C144B"/>
    <w:rsid w:val="002C2832"/>
    <w:rsid w:val="002C2E88"/>
    <w:rsid w:val="002C2EAE"/>
    <w:rsid w:val="002C4658"/>
    <w:rsid w:val="002C4A6C"/>
    <w:rsid w:val="002C67BD"/>
    <w:rsid w:val="002C7109"/>
    <w:rsid w:val="002D0216"/>
    <w:rsid w:val="002D02A5"/>
    <w:rsid w:val="002D0B24"/>
    <w:rsid w:val="002D13D9"/>
    <w:rsid w:val="002D166B"/>
    <w:rsid w:val="002D31D8"/>
    <w:rsid w:val="002D5185"/>
    <w:rsid w:val="002D633E"/>
    <w:rsid w:val="002E0C46"/>
    <w:rsid w:val="002E0F17"/>
    <w:rsid w:val="002E227D"/>
    <w:rsid w:val="002E276C"/>
    <w:rsid w:val="002E34E3"/>
    <w:rsid w:val="002E3B9B"/>
    <w:rsid w:val="002E506D"/>
    <w:rsid w:val="002E5BA2"/>
    <w:rsid w:val="002F155A"/>
    <w:rsid w:val="002F1E92"/>
    <w:rsid w:val="002F23A9"/>
    <w:rsid w:val="002F39DA"/>
    <w:rsid w:val="002F57DD"/>
    <w:rsid w:val="002F5EE8"/>
    <w:rsid w:val="002F661C"/>
    <w:rsid w:val="0030008A"/>
    <w:rsid w:val="00300B38"/>
    <w:rsid w:val="00300D10"/>
    <w:rsid w:val="00301DAE"/>
    <w:rsid w:val="0030265C"/>
    <w:rsid w:val="00302851"/>
    <w:rsid w:val="00303327"/>
    <w:rsid w:val="003037F8"/>
    <w:rsid w:val="00303897"/>
    <w:rsid w:val="00304871"/>
    <w:rsid w:val="00304EFF"/>
    <w:rsid w:val="00306B55"/>
    <w:rsid w:val="0031033F"/>
    <w:rsid w:val="003103B8"/>
    <w:rsid w:val="003109D9"/>
    <w:rsid w:val="00310D19"/>
    <w:rsid w:val="00312E57"/>
    <w:rsid w:val="003148C0"/>
    <w:rsid w:val="00315909"/>
    <w:rsid w:val="00317600"/>
    <w:rsid w:val="003179A3"/>
    <w:rsid w:val="00321196"/>
    <w:rsid w:val="0032145F"/>
    <w:rsid w:val="003235B9"/>
    <w:rsid w:val="0032361A"/>
    <w:rsid w:val="003259BB"/>
    <w:rsid w:val="00326E55"/>
    <w:rsid w:val="00327B59"/>
    <w:rsid w:val="00327CC1"/>
    <w:rsid w:val="00330620"/>
    <w:rsid w:val="00332818"/>
    <w:rsid w:val="00334990"/>
    <w:rsid w:val="00334F72"/>
    <w:rsid w:val="00335299"/>
    <w:rsid w:val="003357D0"/>
    <w:rsid w:val="003359E3"/>
    <w:rsid w:val="00335CBC"/>
    <w:rsid w:val="00336716"/>
    <w:rsid w:val="00336AC5"/>
    <w:rsid w:val="0034124C"/>
    <w:rsid w:val="00341DD0"/>
    <w:rsid w:val="0034286E"/>
    <w:rsid w:val="003441B6"/>
    <w:rsid w:val="003444BA"/>
    <w:rsid w:val="003453C3"/>
    <w:rsid w:val="003457D6"/>
    <w:rsid w:val="00345947"/>
    <w:rsid w:val="00345CA4"/>
    <w:rsid w:val="003461E1"/>
    <w:rsid w:val="00346FB6"/>
    <w:rsid w:val="00347FE8"/>
    <w:rsid w:val="00350504"/>
    <w:rsid w:val="00351992"/>
    <w:rsid w:val="00352FFF"/>
    <w:rsid w:val="0035405D"/>
    <w:rsid w:val="003546C5"/>
    <w:rsid w:val="00355461"/>
    <w:rsid w:val="00355A19"/>
    <w:rsid w:val="00356603"/>
    <w:rsid w:val="0035715F"/>
    <w:rsid w:val="00357D5D"/>
    <w:rsid w:val="003607B6"/>
    <w:rsid w:val="0036241B"/>
    <w:rsid w:val="00362EF2"/>
    <w:rsid w:val="00365FC8"/>
    <w:rsid w:val="003664DD"/>
    <w:rsid w:val="00366711"/>
    <w:rsid w:val="00366E31"/>
    <w:rsid w:val="0037003F"/>
    <w:rsid w:val="0037037D"/>
    <w:rsid w:val="00370684"/>
    <w:rsid w:val="003723A9"/>
    <w:rsid w:val="00372739"/>
    <w:rsid w:val="003728C1"/>
    <w:rsid w:val="00372C76"/>
    <w:rsid w:val="00372D32"/>
    <w:rsid w:val="00372E2A"/>
    <w:rsid w:val="00372FB6"/>
    <w:rsid w:val="003752D0"/>
    <w:rsid w:val="00376E3F"/>
    <w:rsid w:val="003809FB"/>
    <w:rsid w:val="00381BD9"/>
    <w:rsid w:val="00381C73"/>
    <w:rsid w:val="00382A8F"/>
    <w:rsid w:val="00382E5C"/>
    <w:rsid w:val="0038408E"/>
    <w:rsid w:val="00384266"/>
    <w:rsid w:val="0038589B"/>
    <w:rsid w:val="00385A05"/>
    <w:rsid w:val="00386F0D"/>
    <w:rsid w:val="00386FCF"/>
    <w:rsid w:val="00387A9A"/>
    <w:rsid w:val="0039077C"/>
    <w:rsid w:val="00393332"/>
    <w:rsid w:val="003939FE"/>
    <w:rsid w:val="003949BB"/>
    <w:rsid w:val="00396DF0"/>
    <w:rsid w:val="003979F3"/>
    <w:rsid w:val="003A0C30"/>
    <w:rsid w:val="003A0F54"/>
    <w:rsid w:val="003A2030"/>
    <w:rsid w:val="003A242D"/>
    <w:rsid w:val="003A2493"/>
    <w:rsid w:val="003A2F81"/>
    <w:rsid w:val="003A3394"/>
    <w:rsid w:val="003A35EF"/>
    <w:rsid w:val="003A4F68"/>
    <w:rsid w:val="003A6925"/>
    <w:rsid w:val="003A6C3F"/>
    <w:rsid w:val="003A6FD1"/>
    <w:rsid w:val="003B0342"/>
    <w:rsid w:val="003B4638"/>
    <w:rsid w:val="003B529E"/>
    <w:rsid w:val="003B632E"/>
    <w:rsid w:val="003B68FC"/>
    <w:rsid w:val="003B70EF"/>
    <w:rsid w:val="003C029F"/>
    <w:rsid w:val="003C1038"/>
    <w:rsid w:val="003C205C"/>
    <w:rsid w:val="003C35E0"/>
    <w:rsid w:val="003C54E7"/>
    <w:rsid w:val="003C55EC"/>
    <w:rsid w:val="003D0C94"/>
    <w:rsid w:val="003D0CA4"/>
    <w:rsid w:val="003D1E4D"/>
    <w:rsid w:val="003D2AE0"/>
    <w:rsid w:val="003D39BF"/>
    <w:rsid w:val="003D49A2"/>
    <w:rsid w:val="003D582E"/>
    <w:rsid w:val="003D6870"/>
    <w:rsid w:val="003D6D39"/>
    <w:rsid w:val="003E0385"/>
    <w:rsid w:val="003E0668"/>
    <w:rsid w:val="003E09F3"/>
    <w:rsid w:val="003E1EE0"/>
    <w:rsid w:val="003E3437"/>
    <w:rsid w:val="003E41F5"/>
    <w:rsid w:val="003E674B"/>
    <w:rsid w:val="003F0BD3"/>
    <w:rsid w:val="003F14CF"/>
    <w:rsid w:val="003F2943"/>
    <w:rsid w:val="003F3F2C"/>
    <w:rsid w:val="003F4625"/>
    <w:rsid w:val="003F481C"/>
    <w:rsid w:val="003F69B9"/>
    <w:rsid w:val="004022D4"/>
    <w:rsid w:val="00403CCE"/>
    <w:rsid w:val="00403D88"/>
    <w:rsid w:val="004040D9"/>
    <w:rsid w:val="004040F1"/>
    <w:rsid w:val="0040458B"/>
    <w:rsid w:val="0040486B"/>
    <w:rsid w:val="004061B0"/>
    <w:rsid w:val="004069C1"/>
    <w:rsid w:val="004079B9"/>
    <w:rsid w:val="00407BFE"/>
    <w:rsid w:val="0041012E"/>
    <w:rsid w:val="004106A3"/>
    <w:rsid w:val="004107CF"/>
    <w:rsid w:val="00411878"/>
    <w:rsid w:val="004118CC"/>
    <w:rsid w:val="00411B0A"/>
    <w:rsid w:val="004125FB"/>
    <w:rsid w:val="0041326B"/>
    <w:rsid w:val="00413313"/>
    <w:rsid w:val="0041477C"/>
    <w:rsid w:val="004149CE"/>
    <w:rsid w:val="00415472"/>
    <w:rsid w:val="0041560F"/>
    <w:rsid w:val="004173DF"/>
    <w:rsid w:val="004178F4"/>
    <w:rsid w:val="004210AF"/>
    <w:rsid w:val="0042302A"/>
    <w:rsid w:val="004235C4"/>
    <w:rsid w:val="00423C51"/>
    <w:rsid w:val="00425BB2"/>
    <w:rsid w:val="00425C65"/>
    <w:rsid w:val="00425E0C"/>
    <w:rsid w:val="00426C6D"/>
    <w:rsid w:val="00426E15"/>
    <w:rsid w:val="00426EBF"/>
    <w:rsid w:val="004273D9"/>
    <w:rsid w:val="004276F4"/>
    <w:rsid w:val="00427E80"/>
    <w:rsid w:val="00431FC8"/>
    <w:rsid w:val="00432E03"/>
    <w:rsid w:val="00433D44"/>
    <w:rsid w:val="004362C2"/>
    <w:rsid w:val="00436379"/>
    <w:rsid w:val="00440AAF"/>
    <w:rsid w:val="00440B72"/>
    <w:rsid w:val="00440E3B"/>
    <w:rsid w:val="00441E08"/>
    <w:rsid w:val="00442418"/>
    <w:rsid w:val="00442B8E"/>
    <w:rsid w:val="00443414"/>
    <w:rsid w:val="0044368B"/>
    <w:rsid w:val="00444CC9"/>
    <w:rsid w:val="00445579"/>
    <w:rsid w:val="00446490"/>
    <w:rsid w:val="00450E74"/>
    <w:rsid w:val="00452DF9"/>
    <w:rsid w:val="004532FE"/>
    <w:rsid w:val="0045338F"/>
    <w:rsid w:val="00453C3D"/>
    <w:rsid w:val="00453EA5"/>
    <w:rsid w:val="00454A9D"/>
    <w:rsid w:val="00455B3C"/>
    <w:rsid w:val="0046005B"/>
    <w:rsid w:val="00460CE8"/>
    <w:rsid w:val="00461817"/>
    <w:rsid w:val="00462AFF"/>
    <w:rsid w:val="0046367D"/>
    <w:rsid w:val="0046477D"/>
    <w:rsid w:val="00467E5E"/>
    <w:rsid w:val="0047049D"/>
    <w:rsid w:val="004732EF"/>
    <w:rsid w:val="00473D66"/>
    <w:rsid w:val="00474B97"/>
    <w:rsid w:val="00476009"/>
    <w:rsid w:val="0047687E"/>
    <w:rsid w:val="00477123"/>
    <w:rsid w:val="004805F3"/>
    <w:rsid w:val="00480952"/>
    <w:rsid w:val="00480AD5"/>
    <w:rsid w:val="00480C57"/>
    <w:rsid w:val="004815FD"/>
    <w:rsid w:val="00481875"/>
    <w:rsid w:val="00482E13"/>
    <w:rsid w:val="00484978"/>
    <w:rsid w:val="0048683C"/>
    <w:rsid w:val="004870EC"/>
    <w:rsid w:val="004879F9"/>
    <w:rsid w:val="004879FD"/>
    <w:rsid w:val="004910E3"/>
    <w:rsid w:val="00491C46"/>
    <w:rsid w:val="0049502D"/>
    <w:rsid w:val="0049532F"/>
    <w:rsid w:val="00495DC7"/>
    <w:rsid w:val="004A288B"/>
    <w:rsid w:val="004A3C5E"/>
    <w:rsid w:val="004A3CDF"/>
    <w:rsid w:val="004A5971"/>
    <w:rsid w:val="004A7A31"/>
    <w:rsid w:val="004A7BCC"/>
    <w:rsid w:val="004B0DF1"/>
    <w:rsid w:val="004B1251"/>
    <w:rsid w:val="004B138B"/>
    <w:rsid w:val="004B18ED"/>
    <w:rsid w:val="004B1AC8"/>
    <w:rsid w:val="004B20C4"/>
    <w:rsid w:val="004B2417"/>
    <w:rsid w:val="004B3390"/>
    <w:rsid w:val="004B3DA3"/>
    <w:rsid w:val="004B425B"/>
    <w:rsid w:val="004B5520"/>
    <w:rsid w:val="004B5DE2"/>
    <w:rsid w:val="004B6741"/>
    <w:rsid w:val="004B6EB2"/>
    <w:rsid w:val="004B6F40"/>
    <w:rsid w:val="004C0D2B"/>
    <w:rsid w:val="004C1F38"/>
    <w:rsid w:val="004C510A"/>
    <w:rsid w:val="004C58E0"/>
    <w:rsid w:val="004C61E9"/>
    <w:rsid w:val="004C7354"/>
    <w:rsid w:val="004C7A84"/>
    <w:rsid w:val="004D16BA"/>
    <w:rsid w:val="004D1B1C"/>
    <w:rsid w:val="004D1C14"/>
    <w:rsid w:val="004D1C5E"/>
    <w:rsid w:val="004D4739"/>
    <w:rsid w:val="004D4B48"/>
    <w:rsid w:val="004D5462"/>
    <w:rsid w:val="004D6324"/>
    <w:rsid w:val="004D6D9C"/>
    <w:rsid w:val="004D7F37"/>
    <w:rsid w:val="004E0346"/>
    <w:rsid w:val="004E03E5"/>
    <w:rsid w:val="004E0B1F"/>
    <w:rsid w:val="004E1BED"/>
    <w:rsid w:val="004E24B5"/>
    <w:rsid w:val="004E2ADD"/>
    <w:rsid w:val="004E3DAE"/>
    <w:rsid w:val="004E517C"/>
    <w:rsid w:val="004E53A2"/>
    <w:rsid w:val="004E5BC6"/>
    <w:rsid w:val="004E6DC4"/>
    <w:rsid w:val="004F1522"/>
    <w:rsid w:val="004F1759"/>
    <w:rsid w:val="004F28A2"/>
    <w:rsid w:val="004F3D26"/>
    <w:rsid w:val="004F4120"/>
    <w:rsid w:val="004F5759"/>
    <w:rsid w:val="004F645C"/>
    <w:rsid w:val="004F737B"/>
    <w:rsid w:val="0050009E"/>
    <w:rsid w:val="00500601"/>
    <w:rsid w:val="00500771"/>
    <w:rsid w:val="00500850"/>
    <w:rsid w:val="00500CF0"/>
    <w:rsid w:val="0050102D"/>
    <w:rsid w:val="005023B7"/>
    <w:rsid w:val="005027BF"/>
    <w:rsid w:val="005044BE"/>
    <w:rsid w:val="00504AB8"/>
    <w:rsid w:val="00505BA3"/>
    <w:rsid w:val="00506AAE"/>
    <w:rsid w:val="00507168"/>
    <w:rsid w:val="00507AA2"/>
    <w:rsid w:val="00507EC8"/>
    <w:rsid w:val="00511649"/>
    <w:rsid w:val="00511909"/>
    <w:rsid w:val="00512520"/>
    <w:rsid w:val="005136DB"/>
    <w:rsid w:val="00513A07"/>
    <w:rsid w:val="00514290"/>
    <w:rsid w:val="00514336"/>
    <w:rsid w:val="00514A88"/>
    <w:rsid w:val="00516135"/>
    <w:rsid w:val="00516724"/>
    <w:rsid w:val="005167D6"/>
    <w:rsid w:val="00516EAF"/>
    <w:rsid w:val="00516EEC"/>
    <w:rsid w:val="005171C2"/>
    <w:rsid w:val="00522661"/>
    <w:rsid w:val="00523664"/>
    <w:rsid w:val="00523E5E"/>
    <w:rsid w:val="005241B9"/>
    <w:rsid w:val="00524A2D"/>
    <w:rsid w:val="00525EA5"/>
    <w:rsid w:val="00526016"/>
    <w:rsid w:val="00530183"/>
    <w:rsid w:val="00532070"/>
    <w:rsid w:val="005325A8"/>
    <w:rsid w:val="00532CD0"/>
    <w:rsid w:val="005333DB"/>
    <w:rsid w:val="005334DC"/>
    <w:rsid w:val="00533F85"/>
    <w:rsid w:val="00534C98"/>
    <w:rsid w:val="005365DC"/>
    <w:rsid w:val="00536C03"/>
    <w:rsid w:val="005374A6"/>
    <w:rsid w:val="005401C8"/>
    <w:rsid w:val="00540B88"/>
    <w:rsid w:val="00541C25"/>
    <w:rsid w:val="00543325"/>
    <w:rsid w:val="00543700"/>
    <w:rsid w:val="005448D9"/>
    <w:rsid w:val="0054493F"/>
    <w:rsid w:val="00551D6A"/>
    <w:rsid w:val="00552161"/>
    <w:rsid w:val="00552B42"/>
    <w:rsid w:val="005534EF"/>
    <w:rsid w:val="00553B63"/>
    <w:rsid w:val="00553CCD"/>
    <w:rsid w:val="0055644F"/>
    <w:rsid w:val="00556F68"/>
    <w:rsid w:val="0055708B"/>
    <w:rsid w:val="0055784B"/>
    <w:rsid w:val="005614A5"/>
    <w:rsid w:val="00563017"/>
    <w:rsid w:val="00565578"/>
    <w:rsid w:val="005657CA"/>
    <w:rsid w:val="00566891"/>
    <w:rsid w:val="0056760E"/>
    <w:rsid w:val="00570C32"/>
    <w:rsid w:val="00570FEC"/>
    <w:rsid w:val="0057167A"/>
    <w:rsid w:val="00571F01"/>
    <w:rsid w:val="00574C5F"/>
    <w:rsid w:val="00577831"/>
    <w:rsid w:val="00580050"/>
    <w:rsid w:val="005806A9"/>
    <w:rsid w:val="00580D93"/>
    <w:rsid w:val="005810EF"/>
    <w:rsid w:val="00581FE6"/>
    <w:rsid w:val="00583190"/>
    <w:rsid w:val="00583C75"/>
    <w:rsid w:val="00584D3B"/>
    <w:rsid w:val="005851B0"/>
    <w:rsid w:val="00585F2E"/>
    <w:rsid w:val="005905A4"/>
    <w:rsid w:val="005934B5"/>
    <w:rsid w:val="00594A0D"/>
    <w:rsid w:val="005950F2"/>
    <w:rsid w:val="00595983"/>
    <w:rsid w:val="00596D3A"/>
    <w:rsid w:val="0059762E"/>
    <w:rsid w:val="0059785A"/>
    <w:rsid w:val="005A0918"/>
    <w:rsid w:val="005A3070"/>
    <w:rsid w:val="005A5171"/>
    <w:rsid w:val="005A5491"/>
    <w:rsid w:val="005A69BC"/>
    <w:rsid w:val="005A7426"/>
    <w:rsid w:val="005A7D32"/>
    <w:rsid w:val="005B0B73"/>
    <w:rsid w:val="005B0FCC"/>
    <w:rsid w:val="005B187D"/>
    <w:rsid w:val="005B2ED1"/>
    <w:rsid w:val="005B31CF"/>
    <w:rsid w:val="005B4042"/>
    <w:rsid w:val="005B4A16"/>
    <w:rsid w:val="005B4B3D"/>
    <w:rsid w:val="005B4C6C"/>
    <w:rsid w:val="005B6B4C"/>
    <w:rsid w:val="005B6C5A"/>
    <w:rsid w:val="005B741B"/>
    <w:rsid w:val="005B7467"/>
    <w:rsid w:val="005B7D29"/>
    <w:rsid w:val="005C05FA"/>
    <w:rsid w:val="005C243D"/>
    <w:rsid w:val="005C2916"/>
    <w:rsid w:val="005C2CDC"/>
    <w:rsid w:val="005C4274"/>
    <w:rsid w:val="005D0045"/>
    <w:rsid w:val="005D0897"/>
    <w:rsid w:val="005D1868"/>
    <w:rsid w:val="005D18DC"/>
    <w:rsid w:val="005D221A"/>
    <w:rsid w:val="005D2273"/>
    <w:rsid w:val="005D3FBD"/>
    <w:rsid w:val="005D47C5"/>
    <w:rsid w:val="005D4C2A"/>
    <w:rsid w:val="005D56A0"/>
    <w:rsid w:val="005D6964"/>
    <w:rsid w:val="005E225C"/>
    <w:rsid w:val="005E2EBB"/>
    <w:rsid w:val="005E33E3"/>
    <w:rsid w:val="005E47B1"/>
    <w:rsid w:val="005E4899"/>
    <w:rsid w:val="005E52B4"/>
    <w:rsid w:val="005E5A46"/>
    <w:rsid w:val="005E77DC"/>
    <w:rsid w:val="005F13D3"/>
    <w:rsid w:val="005F78B2"/>
    <w:rsid w:val="00600C30"/>
    <w:rsid w:val="0060234B"/>
    <w:rsid w:val="00603F08"/>
    <w:rsid w:val="00610972"/>
    <w:rsid w:val="0061329A"/>
    <w:rsid w:val="00613D06"/>
    <w:rsid w:val="0061588B"/>
    <w:rsid w:val="00616190"/>
    <w:rsid w:val="00616BB4"/>
    <w:rsid w:val="006179A9"/>
    <w:rsid w:val="00617A6B"/>
    <w:rsid w:val="00617F81"/>
    <w:rsid w:val="00622DB7"/>
    <w:rsid w:val="006241B0"/>
    <w:rsid w:val="0062545D"/>
    <w:rsid w:val="00626C63"/>
    <w:rsid w:val="0062751B"/>
    <w:rsid w:val="00630CDD"/>
    <w:rsid w:val="00630D9A"/>
    <w:rsid w:val="006311E5"/>
    <w:rsid w:val="0063135A"/>
    <w:rsid w:val="00631912"/>
    <w:rsid w:val="006321BB"/>
    <w:rsid w:val="006322D0"/>
    <w:rsid w:val="006327A2"/>
    <w:rsid w:val="00632EDE"/>
    <w:rsid w:val="006337ED"/>
    <w:rsid w:val="006343E3"/>
    <w:rsid w:val="00634522"/>
    <w:rsid w:val="00635EAD"/>
    <w:rsid w:val="00636D75"/>
    <w:rsid w:val="006370D1"/>
    <w:rsid w:val="006404CD"/>
    <w:rsid w:val="006421E4"/>
    <w:rsid w:val="006423F9"/>
    <w:rsid w:val="00642E08"/>
    <w:rsid w:val="00642F01"/>
    <w:rsid w:val="00642F70"/>
    <w:rsid w:val="00642FAF"/>
    <w:rsid w:val="00643052"/>
    <w:rsid w:val="00644EBD"/>
    <w:rsid w:val="006459FB"/>
    <w:rsid w:val="00646CB8"/>
    <w:rsid w:val="00646DB0"/>
    <w:rsid w:val="006507E9"/>
    <w:rsid w:val="00650C81"/>
    <w:rsid w:val="00653710"/>
    <w:rsid w:val="006559CA"/>
    <w:rsid w:val="00656A83"/>
    <w:rsid w:val="00660254"/>
    <w:rsid w:val="006619B8"/>
    <w:rsid w:val="006624F0"/>
    <w:rsid w:val="00662E95"/>
    <w:rsid w:val="00664CC0"/>
    <w:rsid w:val="00666716"/>
    <w:rsid w:val="0066754B"/>
    <w:rsid w:val="00670184"/>
    <w:rsid w:val="0067026C"/>
    <w:rsid w:val="00672833"/>
    <w:rsid w:val="00673A5D"/>
    <w:rsid w:val="00673AE5"/>
    <w:rsid w:val="00675A94"/>
    <w:rsid w:val="00676F60"/>
    <w:rsid w:val="006774B3"/>
    <w:rsid w:val="00677BB5"/>
    <w:rsid w:val="00677E86"/>
    <w:rsid w:val="0068064E"/>
    <w:rsid w:val="00681221"/>
    <w:rsid w:val="006820FA"/>
    <w:rsid w:val="00683562"/>
    <w:rsid w:val="00686E69"/>
    <w:rsid w:val="006909B0"/>
    <w:rsid w:val="00690AEE"/>
    <w:rsid w:val="00690B35"/>
    <w:rsid w:val="0069138C"/>
    <w:rsid w:val="00692075"/>
    <w:rsid w:val="006948EB"/>
    <w:rsid w:val="006A01AC"/>
    <w:rsid w:val="006A04B4"/>
    <w:rsid w:val="006A0635"/>
    <w:rsid w:val="006A0811"/>
    <w:rsid w:val="006A12F8"/>
    <w:rsid w:val="006A2931"/>
    <w:rsid w:val="006A2CD8"/>
    <w:rsid w:val="006A398D"/>
    <w:rsid w:val="006A5EF2"/>
    <w:rsid w:val="006A635F"/>
    <w:rsid w:val="006A6AF2"/>
    <w:rsid w:val="006A6DEF"/>
    <w:rsid w:val="006A7C27"/>
    <w:rsid w:val="006B0187"/>
    <w:rsid w:val="006B0C35"/>
    <w:rsid w:val="006B115B"/>
    <w:rsid w:val="006B183A"/>
    <w:rsid w:val="006B2A09"/>
    <w:rsid w:val="006B379F"/>
    <w:rsid w:val="006B5576"/>
    <w:rsid w:val="006B5E57"/>
    <w:rsid w:val="006B7273"/>
    <w:rsid w:val="006C1106"/>
    <w:rsid w:val="006C140F"/>
    <w:rsid w:val="006C39F3"/>
    <w:rsid w:val="006C40A4"/>
    <w:rsid w:val="006C5A9C"/>
    <w:rsid w:val="006C7180"/>
    <w:rsid w:val="006D0710"/>
    <w:rsid w:val="006D1402"/>
    <w:rsid w:val="006D2C8D"/>
    <w:rsid w:val="006D3ECD"/>
    <w:rsid w:val="006D4597"/>
    <w:rsid w:val="006D5514"/>
    <w:rsid w:val="006D5D7C"/>
    <w:rsid w:val="006E1633"/>
    <w:rsid w:val="006E2832"/>
    <w:rsid w:val="006E2EFF"/>
    <w:rsid w:val="006E348A"/>
    <w:rsid w:val="006E3BCC"/>
    <w:rsid w:val="006E4B09"/>
    <w:rsid w:val="006E5E78"/>
    <w:rsid w:val="006E6A4B"/>
    <w:rsid w:val="006E6D67"/>
    <w:rsid w:val="006E6FDE"/>
    <w:rsid w:val="006F06F1"/>
    <w:rsid w:val="006F1932"/>
    <w:rsid w:val="006F1B4B"/>
    <w:rsid w:val="006F29FF"/>
    <w:rsid w:val="006F337A"/>
    <w:rsid w:val="006F4106"/>
    <w:rsid w:val="006F4D8F"/>
    <w:rsid w:val="006F5115"/>
    <w:rsid w:val="006F5206"/>
    <w:rsid w:val="006F5C31"/>
    <w:rsid w:val="006F7213"/>
    <w:rsid w:val="0070106E"/>
    <w:rsid w:val="00701AD4"/>
    <w:rsid w:val="007034A4"/>
    <w:rsid w:val="007046F0"/>
    <w:rsid w:val="00706706"/>
    <w:rsid w:val="007073A4"/>
    <w:rsid w:val="00710BFD"/>
    <w:rsid w:val="00714B85"/>
    <w:rsid w:val="00714BDC"/>
    <w:rsid w:val="00715EC8"/>
    <w:rsid w:val="00717010"/>
    <w:rsid w:val="00717550"/>
    <w:rsid w:val="00717E66"/>
    <w:rsid w:val="00717FA4"/>
    <w:rsid w:val="00720A1D"/>
    <w:rsid w:val="0072166D"/>
    <w:rsid w:val="00721D6C"/>
    <w:rsid w:val="007238D3"/>
    <w:rsid w:val="00723950"/>
    <w:rsid w:val="00725CDB"/>
    <w:rsid w:val="00726D02"/>
    <w:rsid w:val="00726F76"/>
    <w:rsid w:val="007274D4"/>
    <w:rsid w:val="00727C4B"/>
    <w:rsid w:val="00730972"/>
    <w:rsid w:val="007337FB"/>
    <w:rsid w:val="00733D6D"/>
    <w:rsid w:val="007344BA"/>
    <w:rsid w:val="00734CFF"/>
    <w:rsid w:val="00735246"/>
    <w:rsid w:val="0073565F"/>
    <w:rsid w:val="00741017"/>
    <w:rsid w:val="0074191E"/>
    <w:rsid w:val="00741B30"/>
    <w:rsid w:val="007428D1"/>
    <w:rsid w:val="007435B7"/>
    <w:rsid w:val="00746357"/>
    <w:rsid w:val="00746B29"/>
    <w:rsid w:val="00747366"/>
    <w:rsid w:val="007475C6"/>
    <w:rsid w:val="00750F03"/>
    <w:rsid w:val="00753018"/>
    <w:rsid w:val="00753290"/>
    <w:rsid w:val="00753501"/>
    <w:rsid w:val="007536DA"/>
    <w:rsid w:val="00754842"/>
    <w:rsid w:val="00754E76"/>
    <w:rsid w:val="007552E9"/>
    <w:rsid w:val="007554F7"/>
    <w:rsid w:val="007573EF"/>
    <w:rsid w:val="00757E2A"/>
    <w:rsid w:val="007603CF"/>
    <w:rsid w:val="007609DE"/>
    <w:rsid w:val="00760E5C"/>
    <w:rsid w:val="0076119A"/>
    <w:rsid w:val="007617F3"/>
    <w:rsid w:val="00762501"/>
    <w:rsid w:val="00763970"/>
    <w:rsid w:val="007656B0"/>
    <w:rsid w:val="007664E0"/>
    <w:rsid w:val="00766DCF"/>
    <w:rsid w:val="007708B3"/>
    <w:rsid w:val="007709AF"/>
    <w:rsid w:val="00771436"/>
    <w:rsid w:val="007716D0"/>
    <w:rsid w:val="00771D5F"/>
    <w:rsid w:val="007741B7"/>
    <w:rsid w:val="00774B2D"/>
    <w:rsid w:val="0077511C"/>
    <w:rsid w:val="00775D06"/>
    <w:rsid w:val="007768FB"/>
    <w:rsid w:val="00776A5E"/>
    <w:rsid w:val="007800AC"/>
    <w:rsid w:val="00780F6B"/>
    <w:rsid w:val="007811F8"/>
    <w:rsid w:val="00781C90"/>
    <w:rsid w:val="0078324A"/>
    <w:rsid w:val="00783BDC"/>
    <w:rsid w:val="00783D88"/>
    <w:rsid w:val="0078474B"/>
    <w:rsid w:val="00784B89"/>
    <w:rsid w:val="00784CE8"/>
    <w:rsid w:val="00786564"/>
    <w:rsid w:val="00790D1D"/>
    <w:rsid w:val="00791532"/>
    <w:rsid w:val="00791896"/>
    <w:rsid w:val="00793A3C"/>
    <w:rsid w:val="00793B27"/>
    <w:rsid w:val="00794701"/>
    <w:rsid w:val="0079489B"/>
    <w:rsid w:val="00796504"/>
    <w:rsid w:val="007A044D"/>
    <w:rsid w:val="007A08CA"/>
    <w:rsid w:val="007A201A"/>
    <w:rsid w:val="007A2706"/>
    <w:rsid w:val="007A2F59"/>
    <w:rsid w:val="007A4AAB"/>
    <w:rsid w:val="007A592E"/>
    <w:rsid w:val="007A5EFA"/>
    <w:rsid w:val="007A6384"/>
    <w:rsid w:val="007A72C9"/>
    <w:rsid w:val="007A75D0"/>
    <w:rsid w:val="007A7E76"/>
    <w:rsid w:val="007B12BD"/>
    <w:rsid w:val="007B2880"/>
    <w:rsid w:val="007B4DF1"/>
    <w:rsid w:val="007B544E"/>
    <w:rsid w:val="007B54AC"/>
    <w:rsid w:val="007B54AF"/>
    <w:rsid w:val="007B5649"/>
    <w:rsid w:val="007B5758"/>
    <w:rsid w:val="007B5E0A"/>
    <w:rsid w:val="007B6936"/>
    <w:rsid w:val="007B774F"/>
    <w:rsid w:val="007C263A"/>
    <w:rsid w:val="007C2C36"/>
    <w:rsid w:val="007C37E7"/>
    <w:rsid w:val="007C3A2F"/>
    <w:rsid w:val="007C3B47"/>
    <w:rsid w:val="007C3CFB"/>
    <w:rsid w:val="007C4477"/>
    <w:rsid w:val="007C53CE"/>
    <w:rsid w:val="007C577C"/>
    <w:rsid w:val="007C65BA"/>
    <w:rsid w:val="007C6FB1"/>
    <w:rsid w:val="007C7034"/>
    <w:rsid w:val="007C739C"/>
    <w:rsid w:val="007D023A"/>
    <w:rsid w:val="007D0B38"/>
    <w:rsid w:val="007D0C4B"/>
    <w:rsid w:val="007D16E9"/>
    <w:rsid w:val="007D207A"/>
    <w:rsid w:val="007D3062"/>
    <w:rsid w:val="007D3AC0"/>
    <w:rsid w:val="007D4C2A"/>
    <w:rsid w:val="007D52EF"/>
    <w:rsid w:val="007D609E"/>
    <w:rsid w:val="007D689C"/>
    <w:rsid w:val="007D7ED1"/>
    <w:rsid w:val="007E35C9"/>
    <w:rsid w:val="007E47D9"/>
    <w:rsid w:val="007E4A61"/>
    <w:rsid w:val="007E5094"/>
    <w:rsid w:val="007E6E49"/>
    <w:rsid w:val="007F102E"/>
    <w:rsid w:val="007F1216"/>
    <w:rsid w:val="007F164A"/>
    <w:rsid w:val="007F1905"/>
    <w:rsid w:val="007F1E60"/>
    <w:rsid w:val="007F261E"/>
    <w:rsid w:val="007F3E1B"/>
    <w:rsid w:val="007F437A"/>
    <w:rsid w:val="007F4730"/>
    <w:rsid w:val="007F48D9"/>
    <w:rsid w:val="007F6E47"/>
    <w:rsid w:val="007F7635"/>
    <w:rsid w:val="007F78CE"/>
    <w:rsid w:val="007F7DCA"/>
    <w:rsid w:val="0080069C"/>
    <w:rsid w:val="008006E1"/>
    <w:rsid w:val="00801558"/>
    <w:rsid w:val="00801ABB"/>
    <w:rsid w:val="00803BCE"/>
    <w:rsid w:val="0080482C"/>
    <w:rsid w:val="00804938"/>
    <w:rsid w:val="00804E2D"/>
    <w:rsid w:val="008104E1"/>
    <w:rsid w:val="008106AB"/>
    <w:rsid w:val="00811D58"/>
    <w:rsid w:val="00812687"/>
    <w:rsid w:val="008126E8"/>
    <w:rsid w:val="008127E6"/>
    <w:rsid w:val="0081479E"/>
    <w:rsid w:val="00815305"/>
    <w:rsid w:val="008168A9"/>
    <w:rsid w:val="00816F21"/>
    <w:rsid w:val="00816FA9"/>
    <w:rsid w:val="00817542"/>
    <w:rsid w:val="00817C17"/>
    <w:rsid w:val="008200E3"/>
    <w:rsid w:val="008225A9"/>
    <w:rsid w:val="008229D0"/>
    <w:rsid w:val="008252A3"/>
    <w:rsid w:val="0082544B"/>
    <w:rsid w:val="00826208"/>
    <w:rsid w:val="008263E3"/>
    <w:rsid w:val="00826953"/>
    <w:rsid w:val="00826F3D"/>
    <w:rsid w:val="00827AF5"/>
    <w:rsid w:val="008324E5"/>
    <w:rsid w:val="00832644"/>
    <w:rsid w:val="00832991"/>
    <w:rsid w:val="00833160"/>
    <w:rsid w:val="0083424F"/>
    <w:rsid w:val="00834E08"/>
    <w:rsid w:val="0083528D"/>
    <w:rsid w:val="00835618"/>
    <w:rsid w:val="00836AC2"/>
    <w:rsid w:val="008378AF"/>
    <w:rsid w:val="00837A4B"/>
    <w:rsid w:val="008408F3"/>
    <w:rsid w:val="00842019"/>
    <w:rsid w:val="00842EFE"/>
    <w:rsid w:val="0084429A"/>
    <w:rsid w:val="0084462C"/>
    <w:rsid w:val="00844BA7"/>
    <w:rsid w:val="00845DB0"/>
    <w:rsid w:val="00846815"/>
    <w:rsid w:val="00846EF4"/>
    <w:rsid w:val="0084738B"/>
    <w:rsid w:val="00847424"/>
    <w:rsid w:val="00850009"/>
    <w:rsid w:val="008501DB"/>
    <w:rsid w:val="008502F1"/>
    <w:rsid w:val="00850F97"/>
    <w:rsid w:val="00851FA8"/>
    <w:rsid w:val="00853277"/>
    <w:rsid w:val="008537AC"/>
    <w:rsid w:val="008546D0"/>
    <w:rsid w:val="0085574E"/>
    <w:rsid w:val="00855EAF"/>
    <w:rsid w:val="00856698"/>
    <w:rsid w:val="00861047"/>
    <w:rsid w:val="00861D63"/>
    <w:rsid w:val="00861EBE"/>
    <w:rsid w:val="008629B2"/>
    <w:rsid w:val="0086304D"/>
    <w:rsid w:val="008639F5"/>
    <w:rsid w:val="00863FA6"/>
    <w:rsid w:val="00864112"/>
    <w:rsid w:val="00864D72"/>
    <w:rsid w:val="0086569D"/>
    <w:rsid w:val="00865BFD"/>
    <w:rsid w:val="00865EB0"/>
    <w:rsid w:val="00867E81"/>
    <w:rsid w:val="00870EC1"/>
    <w:rsid w:val="0087293B"/>
    <w:rsid w:val="00872D85"/>
    <w:rsid w:val="008732AD"/>
    <w:rsid w:val="00873F38"/>
    <w:rsid w:val="00874AC3"/>
    <w:rsid w:val="00874E24"/>
    <w:rsid w:val="00875E89"/>
    <w:rsid w:val="008762FB"/>
    <w:rsid w:val="00876C6E"/>
    <w:rsid w:val="0088050E"/>
    <w:rsid w:val="00880941"/>
    <w:rsid w:val="00881395"/>
    <w:rsid w:val="00881C4C"/>
    <w:rsid w:val="00882CBE"/>
    <w:rsid w:val="0088343E"/>
    <w:rsid w:val="0088473E"/>
    <w:rsid w:val="00885B8C"/>
    <w:rsid w:val="00885EFA"/>
    <w:rsid w:val="00886B3B"/>
    <w:rsid w:val="00887C09"/>
    <w:rsid w:val="00890630"/>
    <w:rsid w:val="00890CCD"/>
    <w:rsid w:val="00891464"/>
    <w:rsid w:val="00891AF0"/>
    <w:rsid w:val="008928C2"/>
    <w:rsid w:val="00893593"/>
    <w:rsid w:val="00893963"/>
    <w:rsid w:val="00895465"/>
    <w:rsid w:val="0089576C"/>
    <w:rsid w:val="00896349"/>
    <w:rsid w:val="00896F39"/>
    <w:rsid w:val="008978A6"/>
    <w:rsid w:val="008A06DF"/>
    <w:rsid w:val="008A24BA"/>
    <w:rsid w:val="008A5B97"/>
    <w:rsid w:val="008B082F"/>
    <w:rsid w:val="008B16FE"/>
    <w:rsid w:val="008B1952"/>
    <w:rsid w:val="008B1AEE"/>
    <w:rsid w:val="008B1E4D"/>
    <w:rsid w:val="008B22CA"/>
    <w:rsid w:val="008B2998"/>
    <w:rsid w:val="008B5209"/>
    <w:rsid w:val="008B6783"/>
    <w:rsid w:val="008B7029"/>
    <w:rsid w:val="008B7406"/>
    <w:rsid w:val="008B785A"/>
    <w:rsid w:val="008C022E"/>
    <w:rsid w:val="008C1070"/>
    <w:rsid w:val="008C1DB2"/>
    <w:rsid w:val="008C24B6"/>
    <w:rsid w:val="008C3712"/>
    <w:rsid w:val="008C376A"/>
    <w:rsid w:val="008C6E6F"/>
    <w:rsid w:val="008D0BF4"/>
    <w:rsid w:val="008D227B"/>
    <w:rsid w:val="008D308F"/>
    <w:rsid w:val="008D30FC"/>
    <w:rsid w:val="008D4161"/>
    <w:rsid w:val="008D78FD"/>
    <w:rsid w:val="008E0E52"/>
    <w:rsid w:val="008E1436"/>
    <w:rsid w:val="008E1E52"/>
    <w:rsid w:val="008E3B35"/>
    <w:rsid w:val="008E45DD"/>
    <w:rsid w:val="008E51C8"/>
    <w:rsid w:val="008E60D6"/>
    <w:rsid w:val="008E65CD"/>
    <w:rsid w:val="008E7F08"/>
    <w:rsid w:val="008F0207"/>
    <w:rsid w:val="008F0767"/>
    <w:rsid w:val="008F15A0"/>
    <w:rsid w:val="008F1DC4"/>
    <w:rsid w:val="008F212E"/>
    <w:rsid w:val="008F3419"/>
    <w:rsid w:val="008F7142"/>
    <w:rsid w:val="008F798D"/>
    <w:rsid w:val="0090056E"/>
    <w:rsid w:val="009014C9"/>
    <w:rsid w:val="009018F2"/>
    <w:rsid w:val="00901A40"/>
    <w:rsid w:val="009034B2"/>
    <w:rsid w:val="00903586"/>
    <w:rsid w:val="00904A7C"/>
    <w:rsid w:val="00905323"/>
    <w:rsid w:val="00905AE7"/>
    <w:rsid w:val="00905CDF"/>
    <w:rsid w:val="00906863"/>
    <w:rsid w:val="00906AB1"/>
    <w:rsid w:val="00907377"/>
    <w:rsid w:val="0091053C"/>
    <w:rsid w:val="009117B0"/>
    <w:rsid w:val="0091407E"/>
    <w:rsid w:val="0091418E"/>
    <w:rsid w:val="009155B8"/>
    <w:rsid w:val="00915F48"/>
    <w:rsid w:val="00920521"/>
    <w:rsid w:val="0092074E"/>
    <w:rsid w:val="00920814"/>
    <w:rsid w:val="00922B61"/>
    <w:rsid w:val="00926539"/>
    <w:rsid w:val="00926E42"/>
    <w:rsid w:val="0092734E"/>
    <w:rsid w:val="00931493"/>
    <w:rsid w:val="0093220E"/>
    <w:rsid w:val="00933B6A"/>
    <w:rsid w:val="009345DD"/>
    <w:rsid w:val="00934D46"/>
    <w:rsid w:val="00936917"/>
    <w:rsid w:val="00936D37"/>
    <w:rsid w:val="00943E56"/>
    <w:rsid w:val="00945B70"/>
    <w:rsid w:val="00946193"/>
    <w:rsid w:val="00946CA5"/>
    <w:rsid w:val="009473D8"/>
    <w:rsid w:val="009504CF"/>
    <w:rsid w:val="00950A9E"/>
    <w:rsid w:val="00952ED3"/>
    <w:rsid w:val="00953244"/>
    <w:rsid w:val="00953F09"/>
    <w:rsid w:val="0095551D"/>
    <w:rsid w:val="00956E22"/>
    <w:rsid w:val="009613B2"/>
    <w:rsid w:val="009614F5"/>
    <w:rsid w:val="00962879"/>
    <w:rsid w:val="0096351B"/>
    <w:rsid w:val="0096423E"/>
    <w:rsid w:val="0096594F"/>
    <w:rsid w:val="00965AFE"/>
    <w:rsid w:val="00966922"/>
    <w:rsid w:val="00966A63"/>
    <w:rsid w:val="00967047"/>
    <w:rsid w:val="0096774C"/>
    <w:rsid w:val="009706C9"/>
    <w:rsid w:val="009719C4"/>
    <w:rsid w:val="00971B2C"/>
    <w:rsid w:val="00971C9C"/>
    <w:rsid w:val="00972174"/>
    <w:rsid w:val="00972AFE"/>
    <w:rsid w:val="00972E9C"/>
    <w:rsid w:val="00975026"/>
    <w:rsid w:val="00975ED7"/>
    <w:rsid w:val="0097631E"/>
    <w:rsid w:val="00977867"/>
    <w:rsid w:val="0098078C"/>
    <w:rsid w:val="009832E9"/>
    <w:rsid w:val="00983F7E"/>
    <w:rsid w:val="00984426"/>
    <w:rsid w:val="00984A6B"/>
    <w:rsid w:val="00984E29"/>
    <w:rsid w:val="0098575E"/>
    <w:rsid w:val="00985B07"/>
    <w:rsid w:val="00985C3B"/>
    <w:rsid w:val="00986EC2"/>
    <w:rsid w:val="00986FDC"/>
    <w:rsid w:val="0098713D"/>
    <w:rsid w:val="0098787C"/>
    <w:rsid w:val="00987B57"/>
    <w:rsid w:val="0099071D"/>
    <w:rsid w:val="00992A47"/>
    <w:rsid w:val="00996232"/>
    <w:rsid w:val="00997E64"/>
    <w:rsid w:val="009A0C68"/>
    <w:rsid w:val="009A289A"/>
    <w:rsid w:val="009A3D91"/>
    <w:rsid w:val="009A4132"/>
    <w:rsid w:val="009A7BCD"/>
    <w:rsid w:val="009B25B6"/>
    <w:rsid w:val="009B2EFE"/>
    <w:rsid w:val="009B3044"/>
    <w:rsid w:val="009B4029"/>
    <w:rsid w:val="009B454C"/>
    <w:rsid w:val="009B491B"/>
    <w:rsid w:val="009B52FD"/>
    <w:rsid w:val="009B5523"/>
    <w:rsid w:val="009B55ED"/>
    <w:rsid w:val="009B6766"/>
    <w:rsid w:val="009C0757"/>
    <w:rsid w:val="009C0D16"/>
    <w:rsid w:val="009C28D0"/>
    <w:rsid w:val="009C2A01"/>
    <w:rsid w:val="009C2AE9"/>
    <w:rsid w:val="009C3C9A"/>
    <w:rsid w:val="009C3F49"/>
    <w:rsid w:val="009C4487"/>
    <w:rsid w:val="009C719F"/>
    <w:rsid w:val="009C7D92"/>
    <w:rsid w:val="009D04DC"/>
    <w:rsid w:val="009D050C"/>
    <w:rsid w:val="009D2513"/>
    <w:rsid w:val="009D6D3C"/>
    <w:rsid w:val="009E0786"/>
    <w:rsid w:val="009E0BE0"/>
    <w:rsid w:val="009E1459"/>
    <w:rsid w:val="009E1A8C"/>
    <w:rsid w:val="009E2B92"/>
    <w:rsid w:val="009E3FB8"/>
    <w:rsid w:val="009E40A3"/>
    <w:rsid w:val="009E4187"/>
    <w:rsid w:val="009E433E"/>
    <w:rsid w:val="009E521F"/>
    <w:rsid w:val="009E5B84"/>
    <w:rsid w:val="009F0C2A"/>
    <w:rsid w:val="009F0DA9"/>
    <w:rsid w:val="009F1C72"/>
    <w:rsid w:val="009F399C"/>
    <w:rsid w:val="009F484C"/>
    <w:rsid w:val="009F5C86"/>
    <w:rsid w:val="009F5D4B"/>
    <w:rsid w:val="009F62B6"/>
    <w:rsid w:val="009F6A00"/>
    <w:rsid w:val="009F6F23"/>
    <w:rsid w:val="009F72F1"/>
    <w:rsid w:val="009F735D"/>
    <w:rsid w:val="00A012B8"/>
    <w:rsid w:val="00A01E1A"/>
    <w:rsid w:val="00A0222B"/>
    <w:rsid w:val="00A03838"/>
    <w:rsid w:val="00A04AEA"/>
    <w:rsid w:val="00A055A8"/>
    <w:rsid w:val="00A059A1"/>
    <w:rsid w:val="00A06A34"/>
    <w:rsid w:val="00A06EAC"/>
    <w:rsid w:val="00A1251A"/>
    <w:rsid w:val="00A12A40"/>
    <w:rsid w:val="00A15654"/>
    <w:rsid w:val="00A17501"/>
    <w:rsid w:val="00A17989"/>
    <w:rsid w:val="00A17CD1"/>
    <w:rsid w:val="00A208EC"/>
    <w:rsid w:val="00A20E17"/>
    <w:rsid w:val="00A22AE8"/>
    <w:rsid w:val="00A241E4"/>
    <w:rsid w:val="00A32311"/>
    <w:rsid w:val="00A341DD"/>
    <w:rsid w:val="00A355C9"/>
    <w:rsid w:val="00A357DC"/>
    <w:rsid w:val="00A368D4"/>
    <w:rsid w:val="00A36B4B"/>
    <w:rsid w:val="00A37369"/>
    <w:rsid w:val="00A4028E"/>
    <w:rsid w:val="00A40DD8"/>
    <w:rsid w:val="00A421F4"/>
    <w:rsid w:val="00A4393D"/>
    <w:rsid w:val="00A4581F"/>
    <w:rsid w:val="00A469D4"/>
    <w:rsid w:val="00A46B66"/>
    <w:rsid w:val="00A50CD2"/>
    <w:rsid w:val="00A50DB7"/>
    <w:rsid w:val="00A511CB"/>
    <w:rsid w:val="00A536CB"/>
    <w:rsid w:val="00A53A99"/>
    <w:rsid w:val="00A561FC"/>
    <w:rsid w:val="00A56C02"/>
    <w:rsid w:val="00A60108"/>
    <w:rsid w:val="00A60109"/>
    <w:rsid w:val="00A60F00"/>
    <w:rsid w:val="00A60F7E"/>
    <w:rsid w:val="00A61789"/>
    <w:rsid w:val="00A61BD7"/>
    <w:rsid w:val="00A61CDF"/>
    <w:rsid w:val="00A61CF8"/>
    <w:rsid w:val="00A61D4B"/>
    <w:rsid w:val="00A63710"/>
    <w:rsid w:val="00A6430C"/>
    <w:rsid w:val="00A64777"/>
    <w:rsid w:val="00A6592D"/>
    <w:rsid w:val="00A6611C"/>
    <w:rsid w:val="00A73190"/>
    <w:rsid w:val="00A73D1A"/>
    <w:rsid w:val="00A74015"/>
    <w:rsid w:val="00A747E1"/>
    <w:rsid w:val="00A74E19"/>
    <w:rsid w:val="00A761FA"/>
    <w:rsid w:val="00A76797"/>
    <w:rsid w:val="00A76EDF"/>
    <w:rsid w:val="00A803A8"/>
    <w:rsid w:val="00A80F5D"/>
    <w:rsid w:val="00A81B31"/>
    <w:rsid w:val="00A81D16"/>
    <w:rsid w:val="00A8402E"/>
    <w:rsid w:val="00A850EA"/>
    <w:rsid w:val="00A86687"/>
    <w:rsid w:val="00A86E26"/>
    <w:rsid w:val="00A86EC8"/>
    <w:rsid w:val="00A86F1F"/>
    <w:rsid w:val="00A90371"/>
    <w:rsid w:val="00A90573"/>
    <w:rsid w:val="00A907B3"/>
    <w:rsid w:val="00A90B2B"/>
    <w:rsid w:val="00A933F0"/>
    <w:rsid w:val="00A93814"/>
    <w:rsid w:val="00A94E4D"/>
    <w:rsid w:val="00A95AC5"/>
    <w:rsid w:val="00A97759"/>
    <w:rsid w:val="00AA0C1C"/>
    <w:rsid w:val="00AA0ECF"/>
    <w:rsid w:val="00AA13E9"/>
    <w:rsid w:val="00AA1F78"/>
    <w:rsid w:val="00AA31C2"/>
    <w:rsid w:val="00AA5FEF"/>
    <w:rsid w:val="00AA6CFA"/>
    <w:rsid w:val="00AA7A89"/>
    <w:rsid w:val="00AB041E"/>
    <w:rsid w:val="00AB2E82"/>
    <w:rsid w:val="00AB41EB"/>
    <w:rsid w:val="00AB4A52"/>
    <w:rsid w:val="00AB4BC5"/>
    <w:rsid w:val="00AB614B"/>
    <w:rsid w:val="00AB6DBF"/>
    <w:rsid w:val="00AB744A"/>
    <w:rsid w:val="00AB7CA9"/>
    <w:rsid w:val="00AB7F24"/>
    <w:rsid w:val="00AC0DAA"/>
    <w:rsid w:val="00AC0FBD"/>
    <w:rsid w:val="00AC128F"/>
    <w:rsid w:val="00AC18E1"/>
    <w:rsid w:val="00AC3522"/>
    <w:rsid w:val="00AC3A32"/>
    <w:rsid w:val="00AC3A41"/>
    <w:rsid w:val="00AC5E18"/>
    <w:rsid w:val="00AC625A"/>
    <w:rsid w:val="00AC6353"/>
    <w:rsid w:val="00AC6AFA"/>
    <w:rsid w:val="00AC755A"/>
    <w:rsid w:val="00AC7DB0"/>
    <w:rsid w:val="00AD01A5"/>
    <w:rsid w:val="00AD1708"/>
    <w:rsid w:val="00AD30AB"/>
    <w:rsid w:val="00AD34B4"/>
    <w:rsid w:val="00AD3EAD"/>
    <w:rsid w:val="00AD4499"/>
    <w:rsid w:val="00AD5EA3"/>
    <w:rsid w:val="00AD6502"/>
    <w:rsid w:val="00AD6E2E"/>
    <w:rsid w:val="00AD6F97"/>
    <w:rsid w:val="00AE07B5"/>
    <w:rsid w:val="00AE4928"/>
    <w:rsid w:val="00AE5F33"/>
    <w:rsid w:val="00AE78DA"/>
    <w:rsid w:val="00AF2B68"/>
    <w:rsid w:val="00AF2D67"/>
    <w:rsid w:val="00AF309E"/>
    <w:rsid w:val="00AF30C9"/>
    <w:rsid w:val="00AF34CD"/>
    <w:rsid w:val="00AF367D"/>
    <w:rsid w:val="00AF38FC"/>
    <w:rsid w:val="00AF3DA9"/>
    <w:rsid w:val="00AF6015"/>
    <w:rsid w:val="00AF777A"/>
    <w:rsid w:val="00B01308"/>
    <w:rsid w:val="00B02954"/>
    <w:rsid w:val="00B02A1F"/>
    <w:rsid w:val="00B02C2E"/>
    <w:rsid w:val="00B02F0E"/>
    <w:rsid w:val="00B032D0"/>
    <w:rsid w:val="00B03E3A"/>
    <w:rsid w:val="00B05623"/>
    <w:rsid w:val="00B06541"/>
    <w:rsid w:val="00B065BF"/>
    <w:rsid w:val="00B06F07"/>
    <w:rsid w:val="00B0757B"/>
    <w:rsid w:val="00B07C4A"/>
    <w:rsid w:val="00B10953"/>
    <w:rsid w:val="00B10F00"/>
    <w:rsid w:val="00B10F13"/>
    <w:rsid w:val="00B11A80"/>
    <w:rsid w:val="00B12523"/>
    <w:rsid w:val="00B125D4"/>
    <w:rsid w:val="00B125EA"/>
    <w:rsid w:val="00B168AB"/>
    <w:rsid w:val="00B17A40"/>
    <w:rsid w:val="00B17C88"/>
    <w:rsid w:val="00B2100B"/>
    <w:rsid w:val="00B21120"/>
    <w:rsid w:val="00B25611"/>
    <w:rsid w:val="00B26128"/>
    <w:rsid w:val="00B2613B"/>
    <w:rsid w:val="00B26639"/>
    <w:rsid w:val="00B26893"/>
    <w:rsid w:val="00B30663"/>
    <w:rsid w:val="00B31F0D"/>
    <w:rsid w:val="00B32361"/>
    <w:rsid w:val="00B3244E"/>
    <w:rsid w:val="00B3291B"/>
    <w:rsid w:val="00B349FE"/>
    <w:rsid w:val="00B35ADC"/>
    <w:rsid w:val="00B36609"/>
    <w:rsid w:val="00B36C86"/>
    <w:rsid w:val="00B3733D"/>
    <w:rsid w:val="00B373F4"/>
    <w:rsid w:val="00B37499"/>
    <w:rsid w:val="00B37863"/>
    <w:rsid w:val="00B37C6C"/>
    <w:rsid w:val="00B4224F"/>
    <w:rsid w:val="00B42A04"/>
    <w:rsid w:val="00B42A06"/>
    <w:rsid w:val="00B42CBE"/>
    <w:rsid w:val="00B436E7"/>
    <w:rsid w:val="00B44BBD"/>
    <w:rsid w:val="00B458C5"/>
    <w:rsid w:val="00B45E81"/>
    <w:rsid w:val="00B45F20"/>
    <w:rsid w:val="00B466AB"/>
    <w:rsid w:val="00B47339"/>
    <w:rsid w:val="00B4785A"/>
    <w:rsid w:val="00B50184"/>
    <w:rsid w:val="00B5040F"/>
    <w:rsid w:val="00B5213A"/>
    <w:rsid w:val="00B55083"/>
    <w:rsid w:val="00B56B30"/>
    <w:rsid w:val="00B6045F"/>
    <w:rsid w:val="00B608DA"/>
    <w:rsid w:val="00B60E4D"/>
    <w:rsid w:val="00B61587"/>
    <w:rsid w:val="00B62289"/>
    <w:rsid w:val="00B62432"/>
    <w:rsid w:val="00B62AA8"/>
    <w:rsid w:val="00B650CD"/>
    <w:rsid w:val="00B66735"/>
    <w:rsid w:val="00B6706C"/>
    <w:rsid w:val="00B71312"/>
    <w:rsid w:val="00B729DD"/>
    <w:rsid w:val="00B770E0"/>
    <w:rsid w:val="00B77233"/>
    <w:rsid w:val="00B774F9"/>
    <w:rsid w:val="00B80B64"/>
    <w:rsid w:val="00B81ECC"/>
    <w:rsid w:val="00B83941"/>
    <w:rsid w:val="00B83B2F"/>
    <w:rsid w:val="00B87BF6"/>
    <w:rsid w:val="00B90365"/>
    <w:rsid w:val="00B9095D"/>
    <w:rsid w:val="00B9132D"/>
    <w:rsid w:val="00B92321"/>
    <w:rsid w:val="00B92E56"/>
    <w:rsid w:val="00B936D0"/>
    <w:rsid w:val="00B9525C"/>
    <w:rsid w:val="00B95A18"/>
    <w:rsid w:val="00B975C0"/>
    <w:rsid w:val="00B97F4A"/>
    <w:rsid w:val="00BA1C3F"/>
    <w:rsid w:val="00BA1F64"/>
    <w:rsid w:val="00BA34D3"/>
    <w:rsid w:val="00BA5599"/>
    <w:rsid w:val="00BA6F73"/>
    <w:rsid w:val="00BA72A7"/>
    <w:rsid w:val="00BB0694"/>
    <w:rsid w:val="00BB282D"/>
    <w:rsid w:val="00BB284A"/>
    <w:rsid w:val="00BB5432"/>
    <w:rsid w:val="00BB7651"/>
    <w:rsid w:val="00BB7C82"/>
    <w:rsid w:val="00BC013A"/>
    <w:rsid w:val="00BC05E1"/>
    <w:rsid w:val="00BC09A2"/>
    <w:rsid w:val="00BC2280"/>
    <w:rsid w:val="00BC2FE9"/>
    <w:rsid w:val="00BC3899"/>
    <w:rsid w:val="00BC3D46"/>
    <w:rsid w:val="00BC516D"/>
    <w:rsid w:val="00BC6361"/>
    <w:rsid w:val="00BC7875"/>
    <w:rsid w:val="00BD0BED"/>
    <w:rsid w:val="00BD1490"/>
    <w:rsid w:val="00BD15E0"/>
    <w:rsid w:val="00BD18BC"/>
    <w:rsid w:val="00BD2A3C"/>
    <w:rsid w:val="00BD3F74"/>
    <w:rsid w:val="00BD5339"/>
    <w:rsid w:val="00BD53D7"/>
    <w:rsid w:val="00BD67F0"/>
    <w:rsid w:val="00BE0091"/>
    <w:rsid w:val="00BE042F"/>
    <w:rsid w:val="00BE0ACD"/>
    <w:rsid w:val="00BE4D8C"/>
    <w:rsid w:val="00BE4EC5"/>
    <w:rsid w:val="00BF1510"/>
    <w:rsid w:val="00BF3FDD"/>
    <w:rsid w:val="00BF5553"/>
    <w:rsid w:val="00BF640C"/>
    <w:rsid w:val="00BF7895"/>
    <w:rsid w:val="00BF78E6"/>
    <w:rsid w:val="00BF7C5B"/>
    <w:rsid w:val="00C00AB9"/>
    <w:rsid w:val="00C017B3"/>
    <w:rsid w:val="00C02E98"/>
    <w:rsid w:val="00C03CB9"/>
    <w:rsid w:val="00C03D5B"/>
    <w:rsid w:val="00C043F0"/>
    <w:rsid w:val="00C0461E"/>
    <w:rsid w:val="00C046A0"/>
    <w:rsid w:val="00C06361"/>
    <w:rsid w:val="00C0729A"/>
    <w:rsid w:val="00C10559"/>
    <w:rsid w:val="00C1075C"/>
    <w:rsid w:val="00C10F05"/>
    <w:rsid w:val="00C13AB3"/>
    <w:rsid w:val="00C14BD2"/>
    <w:rsid w:val="00C15954"/>
    <w:rsid w:val="00C15D4C"/>
    <w:rsid w:val="00C17438"/>
    <w:rsid w:val="00C177AD"/>
    <w:rsid w:val="00C17F62"/>
    <w:rsid w:val="00C20CDB"/>
    <w:rsid w:val="00C216AC"/>
    <w:rsid w:val="00C24BD5"/>
    <w:rsid w:val="00C25D44"/>
    <w:rsid w:val="00C26047"/>
    <w:rsid w:val="00C31CDB"/>
    <w:rsid w:val="00C322F7"/>
    <w:rsid w:val="00C33DA0"/>
    <w:rsid w:val="00C34BB5"/>
    <w:rsid w:val="00C3517E"/>
    <w:rsid w:val="00C36BDF"/>
    <w:rsid w:val="00C37E41"/>
    <w:rsid w:val="00C40A53"/>
    <w:rsid w:val="00C43EB4"/>
    <w:rsid w:val="00C514F5"/>
    <w:rsid w:val="00C516C9"/>
    <w:rsid w:val="00C52591"/>
    <w:rsid w:val="00C52912"/>
    <w:rsid w:val="00C539F1"/>
    <w:rsid w:val="00C54011"/>
    <w:rsid w:val="00C5433D"/>
    <w:rsid w:val="00C566A5"/>
    <w:rsid w:val="00C56AE3"/>
    <w:rsid w:val="00C61155"/>
    <w:rsid w:val="00C62911"/>
    <w:rsid w:val="00C63BCA"/>
    <w:rsid w:val="00C648AC"/>
    <w:rsid w:val="00C6572D"/>
    <w:rsid w:val="00C66AB4"/>
    <w:rsid w:val="00C70009"/>
    <w:rsid w:val="00C709FB"/>
    <w:rsid w:val="00C735A5"/>
    <w:rsid w:val="00C75EDB"/>
    <w:rsid w:val="00C76389"/>
    <w:rsid w:val="00C7737B"/>
    <w:rsid w:val="00C7755A"/>
    <w:rsid w:val="00C8108B"/>
    <w:rsid w:val="00C811CF"/>
    <w:rsid w:val="00C81C99"/>
    <w:rsid w:val="00C833A7"/>
    <w:rsid w:val="00C8378E"/>
    <w:rsid w:val="00C840A9"/>
    <w:rsid w:val="00C84B5D"/>
    <w:rsid w:val="00C84D60"/>
    <w:rsid w:val="00C85D35"/>
    <w:rsid w:val="00C86944"/>
    <w:rsid w:val="00C872CB"/>
    <w:rsid w:val="00C9057C"/>
    <w:rsid w:val="00C90861"/>
    <w:rsid w:val="00C914B6"/>
    <w:rsid w:val="00C92524"/>
    <w:rsid w:val="00C93065"/>
    <w:rsid w:val="00C93CD0"/>
    <w:rsid w:val="00C94233"/>
    <w:rsid w:val="00C943FD"/>
    <w:rsid w:val="00C94756"/>
    <w:rsid w:val="00C95195"/>
    <w:rsid w:val="00C97CB9"/>
    <w:rsid w:val="00CA1600"/>
    <w:rsid w:val="00CA202F"/>
    <w:rsid w:val="00CA3A8E"/>
    <w:rsid w:val="00CA41EB"/>
    <w:rsid w:val="00CA4F07"/>
    <w:rsid w:val="00CA6D01"/>
    <w:rsid w:val="00CA724F"/>
    <w:rsid w:val="00CA7AD6"/>
    <w:rsid w:val="00CB2C85"/>
    <w:rsid w:val="00CB445D"/>
    <w:rsid w:val="00CB4BE5"/>
    <w:rsid w:val="00CB6633"/>
    <w:rsid w:val="00CB6A9B"/>
    <w:rsid w:val="00CB746D"/>
    <w:rsid w:val="00CB77AA"/>
    <w:rsid w:val="00CB7ABE"/>
    <w:rsid w:val="00CC3541"/>
    <w:rsid w:val="00CC4A4B"/>
    <w:rsid w:val="00CC4BBF"/>
    <w:rsid w:val="00CC4FF8"/>
    <w:rsid w:val="00CC5B8C"/>
    <w:rsid w:val="00CC67E6"/>
    <w:rsid w:val="00CC72DA"/>
    <w:rsid w:val="00CC791E"/>
    <w:rsid w:val="00CC7E1E"/>
    <w:rsid w:val="00CD17E1"/>
    <w:rsid w:val="00CD1F62"/>
    <w:rsid w:val="00CD3291"/>
    <w:rsid w:val="00CD3683"/>
    <w:rsid w:val="00CD3BD3"/>
    <w:rsid w:val="00CD4BD2"/>
    <w:rsid w:val="00CD5168"/>
    <w:rsid w:val="00CD5D0A"/>
    <w:rsid w:val="00CD5F5B"/>
    <w:rsid w:val="00CD6D42"/>
    <w:rsid w:val="00CD7B54"/>
    <w:rsid w:val="00CE170E"/>
    <w:rsid w:val="00CE3ABD"/>
    <w:rsid w:val="00CE3F43"/>
    <w:rsid w:val="00CE45E3"/>
    <w:rsid w:val="00CE6BCF"/>
    <w:rsid w:val="00CE6E60"/>
    <w:rsid w:val="00CE77DF"/>
    <w:rsid w:val="00CE7D99"/>
    <w:rsid w:val="00CF164A"/>
    <w:rsid w:val="00CF3AC4"/>
    <w:rsid w:val="00CF4667"/>
    <w:rsid w:val="00CF6AFF"/>
    <w:rsid w:val="00CF7330"/>
    <w:rsid w:val="00CF7775"/>
    <w:rsid w:val="00CF78E3"/>
    <w:rsid w:val="00D00252"/>
    <w:rsid w:val="00D01281"/>
    <w:rsid w:val="00D0136C"/>
    <w:rsid w:val="00D02BD7"/>
    <w:rsid w:val="00D031EB"/>
    <w:rsid w:val="00D04BB7"/>
    <w:rsid w:val="00D076AA"/>
    <w:rsid w:val="00D0795B"/>
    <w:rsid w:val="00D07B99"/>
    <w:rsid w:val="00D07DD3"/>
    <w:rsid w:val="00D10310"/>
    <w:rsid w:val="00D1088E"/>
    <w:rsid w:val="00D11DEE"/>
    <w:rsid w:val="00D1244B"/>
    <w:rsid w:val="00D12E39"/>
    <w:rsid w:val="00D160C1"/>
    <w:rsid w:val="00D16551"/>
    <w:rsid w:val="00D1670D"/>
    <w:rsid w:val="00D21177"/>
    <w:rsid w:val="00D21655"/>
    <w:rsid w:val="00D21A93"/>
    <w:rsid w:val="00D22827"/>
    <w:rsid w:val="00D2342A"/>
    <w:rsid w:val="00D23521"/>
    <w:rsid w:val="00D23AC3"/>
    <w:rsid w:val="00D25A4C"/>
    <w:rsid w:val="00D27715"/>
    <w:rsid w:val="00D279DE"/>
    <w:rsid w:val="00D30344"/>
    <w:rsid w:val="00D317B1"/>
    <w:rsid w:val="00D319D5"/>
    <w:rsid w:val="00D31C40"/>
    <w:rsid w:val="00D3509F"/>
    <w:rsid w:val="00D358F9"/>
    <w:rsid w:val="00D362D7"/>
    <w:rsid w:val="00D36692"/>
    <w:rsid w:val="00D36B10"/>
    <w:rsid w:val="00D37365"/>
    <w:rsid w:val="00D40177"/>
    <w:rsid w:val="00D410CD"/>
    <w:rsid w:val="00D41C5F"/>
    <w:rsid w:val="00D429F6"/>
    <w:rsid w:val="00D44298"/>
    <w:rsid w:val="00D4430C"/>
    <w:rsid w:val="00D44BDF"/>
    <w:rsid w:val="00D45F8C"/>
    <w:rsid w:val="00D463A9"/>
    <w:rsid w:val="00D4643D"/>
    <w:rsid w:val="00D469B3"/>
    <w:rsid w:val="00D47322"/>
    <w:rsid w:val="00D4764A"/>
    <w:rsid w:val="00D47FBE"/>
    <w:rsid w:val="00D51077"/>
    <w:rsid w:val="00D520D0"/>
    <w:rsid w:val="00D525BC"/>
    <w:rsid w:val="00D52741"/>
    <w:rsid w:val="00D53827"/>
    <w:rsid w:val="00D56C32"/>
    <w:rsid w:val="00D61750"/>
    <w:rsid w:val="00D61CB2"/>
    <w:rsid w:val="00D64B6D"/>
    <w:rsid w:val="00D657FA"/>
    <w:rsid w:val="00D65AE4"/>
    <w:rsid w:val="00D71772"/>
    <w:rsid w:val="00D71E12"/>
    <w:rsid w:val="00D7351D"/>
    <w:rsid w:val="00D73FE1"/>
    <w:rsid w:val="00D74788"/>
    <w:rsid w:val="00D756FD"/>
    <w:rsid w:val="00D75F45"/>
    <w:rsid w:val="00D76165"/>
    <w:rsid w:val="00D8068C"/>
    <w:rsid w:val="00D81044"/>
    <w:rsid w:val="00D820D0"/>
    <w:rsid w:val="00D82771"/>
    <w:rsid w:val="00D84C6C"/>
    <w:rsid w:val="00D84F5D"/>
    <w:rsid w:val="00D8614C"/>
    <w:rsid w:val="00D86CC0"/>
    <w:rsid w:val="00D9135D"/>
    <w:rsid w:val="00D91791"/>
    <w:rsid w:val="00D92294"/>
    <w:rsid w:val="00D93E7D"/>
    <w:rsid w:val="00D96AD4"/>
    <w:rsid w:val="00D973E3"/>
    <w:rsid w:val="00DA0155"/>
    <w:rsid w:val="00DA053A"/>
    <w:rsid w:val="00DA1FA0"/>
    <w:rsid w:val="00DA3F14"/>
    <w:rsid w:val="00DA4458"/>
    <w:rsid w:val="00DA56A6"/>
    <w:rsid w:val="00DA5FEC"/>
    <w:rsid w:val="00DA6153"/>
    <w:rsid w:val="00DA6AA0"/>
    <w:rsid w:val="00DA711B"/>
    <w:rsid w:val="00DA7FD6"/>
    <w:rsid w:val="00DB0C51"/>
    <w:rsid w:val="00DB27C6"/>
    <w:rsid w:val="00DB3E7D"/>
    <w:rsid w:val="00DB55DF"/>
    <w:rsid w:val="00DB7910"/>
    <w:rsid w:val="00DC0BCA"/>
    <w:rsid w:val="00DC1F96"/>
    <w:rsid w:val="00DC2A85"/>
    <w:rsid w:val="00DC3FDE"/>
    <w:rsid w:val="00DC41E4"/>
    <w:rsid w:val="00DC62AE"/>
    <w:rsid w:val="00DD04C6"/>
    <w:rsid w:val="00DD1076"/>
    <w:rsid w:val="00DD244E"/>
    <w:rsid w:val="00DD265B"/>
    <w:rsid w:val="00DD3CB4"/>
    <w:rsid w:val="00DD3E19"/>
    <w:rsid w:val="00DD47F5"/>
    <w:rsid w:val="00DD490E"/>
    <w:rsid w:val="00DD5177"/>
    <w:rsid w:val="00DD6E01"/>
    <w:rsid w:val="00DD7A51"/>
    <w:rsid w:val="00DE1025"/>
    <w:rsid w:val="00DE1AEA"/>
    <w:rsid w:val="00DE1C85"/>
    <w:rsid w:val="00DE21F5"/>
    <w:rsid w:val="00DE25F3"/>
    <w:rsid w:val="00DE26AD"/>
    <w:rsid w:val="00DE2F9C"/>
    <w:rsid w:val="00DE37C7"/>
    <w:rsid w:val="00DE3AF7"/>
    <w:rsid w:val="00DE4878"/>
    <w:rsid w:val="00DE5963"/>
    <w:rsid w:val="00DE5E97"/>
    <w:rsid w:val="00DF14D9"/>
    <w:rsid w:val="00DF1967"/>
    <w:rsid w:val="00DF40F5"/>
    <w:rsid w:val="00DF41B7"/>
    <w:rsid w:val="00DF4D03"/>
    <w:rsid w:val="00DF6BF4"/>
    <w:rsid w:val="00DF74ED"/>
    <w:rsid w:val="00E001E7"/>
    <w:rsid w:val="00E0148B"/>
    <w:rsid w:val="00E0189E"/>
    <w:rsid w:val="00E01A65"/>
    <w:rsid w:val="00E02468"/>
    <w:rsid w:val="00E02C03"/>
    <w:rsid w:val="00E02E7E"/>
    <w:rsid w:val="00E0341D"/>
    <w:rsid w:val="00E04D69"/>
    <w:rsid w:val="00E06CB1"/>
    <w:rsid w:val="00E11354"/>
    <w:rsid w:val="00E11678"/>
    <w:rsid w:val="00E11D2E"/>
    <w:rsid w:val="00E15623"/>
    <w:rsid w:val="00E17040"/>
    <w:rsid w:val="00E205DB"/>
    <w:rsid w:val="00E21661"/>
    <w:rsid w:val="00E21ACF"/>
    <w:rsid w:val="00E2284C"/>
    <w:rsid w:val="00E228A2"/>
    <w:rsid w:val="00E229D5"/>
    <w:rsid w:val="00E23BC7"/>
    <w:rsid w:val="00E2494F"/>
    <w:rsid w:val="00E25793"/>
    <w:rsid w:val="00E26D57"/>
    <w:rsid w:val="00E27C67"/>
    <w:rsid w:val="00E300F3"/>
    <w:rsid w:val="00E30D7B"/>
    <w:rsid w:val="00E3126F"/>
    <w:rsid w:val="00E31684"/>
    <w:rsid w:val="00E316D7"/>
    <w:rsid w:val="00E317F5"/>
    <w:rsid w:val="00E31968"/>
    <w:rsid w:val="00E31B04"/>
    <w:rsid w:val="00E325E0"/>
    <w:rsid w:val="00E33141"/>
    <w:rsid w:val="00E333E0"/>
    <w:rsid w:val="00E361F4"/>
    <w:rsid w:val="00E363BD"/>
    <w:rsid w:val="00E371D4"/>
    <w:rsid w:val="00E40766"/>
    <w:rsid w:val="00E41A2D"/>
    <w:rsid w:val="00E4363D"/>
    <w:rsid w:val="00E4366F"/>
    <w:rsid w:val="00E43ADC"/>
    <w:rsid w:val="00E43C2C"/>
    <w:rsid w:val="00E4473F"/>
    <w:rsid w:val="00E44809"/>
    <w:rsid w:val="00E456E1"/>
    <w:rsid w:val="00E469F7"/>
    <w:rsid w:val="00E46AD6"/>
    <w:rsid w:val="00E46BA2"/>
    <w:rsid w:val="00E47707"/>
    <w:rsid w:val="00E50921"/>
    <w:rsid w:val="00E50A21"/>
    <w:rsid w:val="00E50BE1"/>
    <w:rsid w:val="00E510BC"/>
    <w:rsid w:val="00E5161E"/>
    <w:rsid w:val="00E516AE"/>
    <w:rsid w:val="00E51B70"/>
    <w:rsid w:val="00E52FC2"/>
    <w:rsid w:val="00E531FF"/>
    <w:rsid w:val="00E53406"/>
    <w:rsid w:val="00E53522"/>
    <w:rsid w:val="00E54F46"/>
    <w:rsid w:val="00E55101"/>
    <w:rsid w:val="00E55766"/>
    <w:rsid w:val="00E55A83"/>
    <w:rsid w:val="00E55C42"/>
    <w:rsid w:val="00E55E57"/>
    <w:rsid w:val="00E56939"/>
    <w:rsid w:val="00E579EF"/>
    <w:rsid w:val="00E57A5B"/>
    <w:rsid w:val="00E62731"/>
    <w:rsid w:val="00E627EB"/>
    <w:rsid w:val="00E62FFA"/>
    <w:rsid w:val="00E63E5A"/>
    <w:rsid w:val="00E64605"/>
    <w:rsid w:val="00E6587D"/>
    <w:rsid w:val="00E66AE4"/>
    <w:rsid w:val="00E6778F"/>
    <w:rsid w:val="00E704A5"/>
    <w:rsid w:val="00E71200"/>
    <w:rsid w:val="00E71284"/>
    <w:rsid w:val="00E7193D"/>
    <w:rsid w:val="00E727AA"/>
    <w:rsid w:val="00E7320F"/>
    <w:rsid w:val="00E73651"/>
    <w:rsid w:val="00E7391D"/>
    <w:rsid w:val="00E74FE9"/>
    <w:rsid w:val="00E76440"/>
    <w:rsid w:val="00E76CF5"/>
    <w:rsid w:val="00E77098"/>
    <w:rsid w:val="00E804A1"/>
    <w:rsid w:val="00E81C81"/>
    <w:rsid w:val="00E81EAE"/>
    <w:rsid w:val="00E8211C"/>
    <w:rsid w:val="00E82182"/>
    <w:rsid w:val="00E83851"/>
    <w:rsid w:val="00E84DED"/>
    <w:rsid w:val="00E85DB4"/>
    <w:rsid w:val="00E868EE"/>
    <w:rsid w:val="00E87B6B"/>
    <w:rsid w:val="00E9124E"/>
    <w:rsid w:val="00E91341"/>
    <w:rsid w:val="00E91A88"/>
    <w:rsid w:val="00E93224"/>
    <w:rsid w:val="00E940DE"/>
    <w:rsid w:val="00E94320"/>
    <w:rsid w:val="00E9570D"/>
    <w:rsid w:val="00E9620D"/>
    <w:rsid w:val="00E970AC"/>
    <w:rsid w:val="00EA02DD"/>
    <w:rsid w:val="00EA098F"/>
    <w:rsid w:val="00EA1E92"/>
    <w:rsid w:val="00EA2D86"/>
    <w:rsid w:val="00EA4923"/>
    <w:rsid w:val="00EA52CD"/>
    <w:rsid w:val="00EA59A6"/>
    <w:rsid w:val="00EA5BAD"/>
    <w:rsid w:val="00EA6DD0"/>
    <w:rsid w:val="00EA7B75"/>
    <w:rsid w:val="00EB19A3"/>
    <w:rsid w:val="00EB1C1F"/>
    <w:rsid w:val="00EB5148"/>
    <w:rsid w:val="00EB521F"/>
    <w:rsid w:val="00EB52DD"/>
    <w:rsid w:val="00EB6338"/>
    <w:rsid w:val="00EB7806"/>
    <w:rsid w:val="00EB79F4"/>
    <w:rsid w:val="00EB7DC1"/>
    <w:rsid w:val="00EC055A"/>
    <w:rsid w:val="00EC11F5"/>
    <w:rsid w:val="00EC2D66"/>
    <w:rsid w:val="00EC316F"/>
    <w:rsid w:val="00EC3C16"/>
    <w:rsid w:val="00EC4527"/>
    <w:rsid w:val="00EC5540"/>
    <w:rsid w:val="00EC7EB0"/>
    <w:rsid w:val="00ED09D2"/>
    <w:rsid w:val="00ED10CF"/>
    <w:rsid w:val="00ED1FE5"/>
    <w:rsid w:val="00ED31DC"/>
    <w:rsid w:val="00ED44AD"/>
    <w:rsid w:val="00ED44BA"/>
    <w:rsid w:val="00ED4C73"/>
    <w:rsid w:val="00ED51EE"/>
    <w:rsid w:val="00ED63F8"/>
    <w:rsid w:val="00ED6CED"/>
    <w:rsid w:val="00ED6D87"/>
    <w:rsid w:val="00ED7534"/>
    <w:rsid w:val="00ED7C4E"/>
    <w:rsid w:val="00ED7E48"/>
    <w:rsid w:val="00EE0EC6"/>
    <w:rsid w:val="00EE1484"/>
    <w:rsid w:val="00EE1AFF"/>
    <w:rsid w:val="00EE3418"/>
    <w:rsid w:val="00EE3CCB"/>
    <w:rsid w:val="00EE454E"/>
    <w:rsid w:val="00EE4807"/>
    <w:rsid w:val="00EE4C69"/>
    <w:rsid w:val="00EE5D7F"/>
    <w:rsid w:val="00EE6C92"/>
    <w:rsid w:val="00EF1073"/>
    <w:rsid w:val="00EF1E09"/>
    <w:rsid w:val="00EF4E24"/>
    <w:rsid w:val="00EF4EC9"/>
    <w:rsid w:val="00EF60B1"/>
    <w:rsid w:val="00EF60D2"/>
    <w:rsid w:val="00EF65A3"/>
    <w:rsid w:val="00F007A5"/>
    <w:rsid w:val="00F01155"/>
    <w:rsid w:val="00F03578"/>
    <w:rsid w:val="00F03A4D"/>
    <w:rsid w:val="00F0581B"/>
    <w:rsid w:val="00F0631F"/>
    <w:rsid w:val="00F06818"/>
    <w:rsid w:val="00F06D61"/>
    <w:rsid w:val="00F071CD"/>
    <w:rsid w:val="00F116E3"/>
    <w:rsid w:val="00F12F94"/>
    <w:rsid w:val="00F141D5"/>
    <w:rsid w:val="00F14CF2"/>
    <w:rsid w:val="00F159F0"/>
    <w:rsid w:val="00F15F3F"/>
    <w:rsid w:val="00F15FB0"/>
    <w:rsid w:val="00F163E4"/>
    <w:rsid w:val="00F16560"/>
    <w:rsid w:val="00F16AD1"/>
    <w:rsid w:val="00F16C2D"/>
    <w:rsid w:val="00F21593"/>
    <w:rsid w:val="00F21B8B"/>
    <w:rsid w:val="00F228ED"/>
    <w:rsid w:val="00F230F7"/>
    <w:rsid w:val="00F23A0F"/>
    <w:rsid w:val="00F25463"/>
    <w:rsid w:val="00F25E2A"/>
    <w:rsid w:val="00F26447"/>
    <w:rsid w:val="00F272C4"/>
    <w:rsid w:val="00F2756C"/>
    <w:rsid w:val="00F30E6F"/>
    <w:rsid w:val="00F336ED"/>
    <w:rsid w:val="00F337CA"/>
    <w:rsid w:val="00F343B8"/>
    <w:rsid w:val="00F34DCC"/>
    <w:rsid w:val="00F35098"/>
    <w:rsid w:val="00F355EE"/>
    <w:rsid w:val="00F37C8B"/>
    <w:rsid w:val="00F40027"/>
    <w:rsid w:val="00F413E3"/>
    <w:rsid w:val="00F449A4"/>
    <w:rsid w:val="00F464A9"/>
    <w:rsid w:val="00F466A4"/>
    <w:rsid w:val="00F469A3"/>
    <w:rsid w:val="00F47EF2"/>
    <w:rsid w:val="00F500D3"/>
    <w:rsid w:val="00F50269"/>
    <w:rsid w:val="00F5053F"/>
    <w:rsid w:val="00F507AD"/>
    <w:rsid w:val="00F50A04"/>
    <w:rsid w:val="00F52527"/>
    <w:rsid w:val="00F526F1"/>
    <w:rsid w:val="00F527F2"/>
    <w:rsid w:val="00F52A78"/>
    <w:rsid w:val="00F53406"/>
    <w:rsid w:val="00F53439"/>
    <w:rsid w:val="00F55A93"/>
    <w:rsid w:val="00F56769"/>
    <w:rsid w:val="00F57344"/>
    <w:rsid w:val="00F57C6F"/>
    <w:rsid w:val="00F60229"/>
    <w:rsid w:val="00F612AB"/>
    <w:rsid w:val="00F618FE"/>
    <w:rsid w:val="00F6224D"/>
    <w:rsid w:val="00F622D4"/>
    <w:rsid w:val="00F6360C"/>
    <w:rsid w:val="00F65C3D"/>
    <w:rsid w:val="00F66ABD"/>
    <w:rsid w:val="00F700FD"/>
    <w:rsid w:val="00F701A7"/>
    <w:rsid w:val="00F70D5C"/>
    <w:rsid w:val="00F711F5"/>
    <w:rsid w:val="00F71B91"/>
    <w:rsid w:val="00F7322B"/>
    <w:rsid w:val="00F74BA6"/>
    <w:rsid w:val="00F74D9C"/>
    <w:rsid w:val="00F766F6"/>
    <w:rsid w:val="00F76A74"/>
    <w:rsid w:val="00F771C6"/>
    <w:rsid w:val="00F77457"/>
    <w:rsid w:val="00F776AD"/>
    <w:rsid w:val="00F7770E"/>
    <w:rsid w:val="00F778E6"/>
    <w:rsid w:val="00F802E6"/>
    <w:rsid w:val="00F80540"/>
    <w:rsid w:val="00F850EF"/>
    <w:rsid w:val="00F8573A"/>
    <w:rsid w:val="00F85B0E"/>
    <w:rsid w:val="00F85E0C"/>
    <w:rsid w:val="00F86C2C"/>
    <w:rsid w:val="00F8741A"/>
    <w:rsid w:val="00F875C1"/>
    <w:rsid w:val="00F90F8D"/>
    <w:rsid w:val="00F9167F"/>
    <w:rsid w:val="00F9169D"/>
    <w:rsid w:val="00F92049"/>
    <w:rsid w:val="00F92D84"/>
    <w:rsid w:val="00F9323C"/>
    <w:rsid w:val="00F955AC"/>
    <w:rsid w:val="00F95794"/>
    <w:rsid w:val="00F95AED"/>
    <w:rsid w:val="00F96319"/>
    <w:rsid w:val="00F96EB9"/>
    <w:rsid w:val="00F972C7"/>
    <w:rsid w:val="00F97B7B"/>
    <w:rsid w:val="00FA033B"/>
    <w:rsid w:val="00FA14D8"/>
    <w:rsid w:val="00FA1875"/>
    <w:rsid w:val="00FA1B7F"/>
    <w:rsid w:val="00FA2041"/>
    <w:rsid w:val="00FA268A"/>
    <w:rsid w:val="00FA379B"/>
    <w:rsid w:val="00FA3F44"/>
    <w:rsid w:val="00FA557B"/>
    <w:rsid w:val="00FA5C29"/>
    <w:rsid w:val="00FA79A0"/>
    <w:rsid w:val="00FB156A"/>
    <w:rsid w:val="00FB23A0"/>
    <w:rsid w:val="00FB3C06"/>
    <w:rsid w:val="00FB4EB5"/>
    <w:rsid w:val="00FB5231"/>
    <w:rsid w:val="00FB5AA0"/>
    <w:rsid w:val="00FB7271"/>
    <w:rsid w:val="00FB78EF"/>
    <w:rsid w:val="00FC174F"/>
    <w:rsid w:val="00FC3AB2"/>
    <w:rsid w:val="00FC3CA7"/>
    <w:rsid w:val="00FC3F7F"/>
    <w:rsid w:val="00FC3FB0"/>
    <w:rsid w:val="00FC53B1"/>
    <w:rsid w:val="00FC5929"/>
    <w:rsid w:val="00FC5940"/>
    <w:rsid w:val="00FC5C50"/>
    <w:rsid w:val="00FC6283"/>
    <w:rsid w:val="00FC7D18"/>
    <w:rsid w:val="00FC7FE7"/>
    <w:rsid w:val="00FD0D54"/>
    <w:rsid w:val="00FD103F"/>
    <w:rsid w:val="00FD1863"/>
    <w:rsid w:val="00FD2AFD"/>
    <w:rsid w:val="00FD2DDF"/>
    <w:rsid w:val="00FD3CE8"/>
    <w:rsid w:val="00FD41D5"/>
    <w:rsid w:val="00FD4247"/>
    <w:rsid w:val="00FD49A8"/>
    <w:rsid w:val="00FD4CC0"/>
    <w:rsid w:val="00FD4E60"/>
    <w:rsid w:val="00FE007A"/>
    <w:rsid w:val="00FE199A"/>
    <w:rsid w:val="00FE468A"/>
    <w:rsid w:val="00FE57A2"/>
    <w:rsid w:val="00FE7BF2"/>
    <w:rsid w:val="00FE7FEA"/>
    <w:rsid w:val="00FF12DB"/>
    <w:rsid w:val="00FF1660"/>
    <w:rsid w:val="00FF1EDF"/>
    <w:rsid w:val="00FF25F1"/>
    <w:rsid w:val="00FF40E6"/>
    <w:rsid w:val="00FF4556"/>
    <w:rsid w:val="00FF65B5"/>
    <w:rsid w:val="00FF6D83"/>
    <w:rsid w:val="02406368"/>
    <w:rsid w:val="03E47515"/>
    <w:rsid w:val="03F84410"/>
    <w:rsid w:val="04C41779"/>
    <w:rsid w:val="05B5093B"/>
    <w:rsid w:val="05E81B18"/>
    <w:rsid w:val="07505EAF"/>
    <w:rsid w:val="084E10AD"/>
    <w:rsid w:val="0DF56E8F"/>
    <w:rsid w:val="0E5E559E"/>
    <w:rsid w:val="0F1C30CE"/>
    <w:rsid w:val="10D037D3"/>
    <w:rsid w:val="11B457BA"/>
    <w:rsid w:val="12A9235F"/>
    <w:rsid w:val="13B341E1"/>
    <w:rsid w:val="1438560D"/>
    <w:rsid w:val="14667AD2"/>
    <w:rsid w:val="16695663"/>
    <w:rsid w:val="175974DB"/>
    <w:rsid w:val="17AE0216"/>
    <w:rsid w:val="18E82455"/>
    <w:rsid w:val="192947E9"/>
    <w:rsid w:val="192A6CEC"/>
    <w:rsid w:val="19B825D2"/>
    <w:rsid w:val="1B6F3710"/>
    <w:rsid w:val="1C6C02C3"/>
    <w:rsid w:val="1ED16490"/>
    <w:rsid w:val="222802D9"/>
    <w:rsid w:val="229B2426"/>
    <w:rsid w:val="2508508F"/>
    <w:rsid w:val="27E72873"/>
    <w:rsid w:val="28EE483A"/>
    <w:rsid w:val="2BBA765E"/>
    <w:rsid w:val="2BCA79C5"/>
    <w:rsid w:val="2D1C4ABA"/>
    <w:rsid w:val="2D4232D9"/>
    <w:rsid w:val="2DCF76E8"/>
    <w:rsid w:val="2DE32E0A"/>
    <w:rsid w:val="2DE72EC3"/>
    <w:rsid w:val="2FA41376"/>
    <w:rsid w:val="317D0479"/>
    <w:rsid w:val="32DF66A2"/>
    <w:rsid w:val="337D3954"/>
    <w:rsid w:val="33982193"/>
    <w:rsid w:val="35D54660"/>
    <w:rsid w:val="35EA24BC"/>
    <w:rsid w:val="372A14D0"/>
    <w:rsid w:val="376C737C"/>
    <w:rsid w:val="3B1D1724"/>
    <w:rsid w:val="3CAF727B"/>
    <w:rsid w:val="3DD30514"/>
    <w:rsid w:val="3DE47E3C"/>
    <w:rsid w:val="3E342859"/>
    <w:rsid w:val="3EDF6E30"/>
    <w:rsid w:val="3FB47094"/>
    <w:rsid w:val="4252375D"/>
    <w:rsid w:val="43C04447"/>
    <w:rsid w:val="44680128"/>
    <w:rsid w:val="465F3B36"/>
    <w:rsid w:val="47FE172A"/>
    <w:rsid w:val="4AAA7A11"/>
    <w:rsid w:val="4D3B2BA3"/>
    <w:rsid w:val="4D657844"/>
    <w:rsid w:val="4EC549BC"/>
    <w:rsid w:val="4EE9675B"/>
    <w:rsid w:val="506046C4"/>
    <w:rsid w:val="52020133"/>
    <w:rsid w:val="522D51B0"/>
    <w:rsid w:val="52304CA0"/>
    <w:rsid w:val="55C9326C"/>
    <w:rsid w:val="56204818"/>
    <w:rsid w:val="56A61500"/>
    <w:rsid w:val="570B45AD"/>
    <w:rsid w:val="57693F88"/>
    <w:rsid w:val="5BC93618"/>
    <w:rsid w:val="5BD25AFB"/>
    <w:rsid w:val="5C745F83"/>
    <w:rsid w:val="5D7B2792"/>
    <w:rsid w:val="5DA534FD"/>
    <w:rsid w:val="5E6F71EF"/>
    <w:rsid w:val="61872CBD"/>
    <w:rsid w:val="63B105EC"/>
    <w:rsid w:val="671958AB"/>
    <w:rsid w:val="67637865"/>
    <w:rsid w:val="69743290"/>
    <w:rsid w:val="69F056F2"/>
    <w:rsid w:val="6B3602F4"/>
    <w:rsid w:val="6BBD0E71"/>
    <w:rsid w:val="6D4872DF"/>
    <w:rsid w:val="6EB4281C"/>
    <w:rsid w:val="6EB74911"/>
    <w:rsid w:val="70696B58"/>
    <w:rsid w:val="71175F4C"/>
    <w:rsid w:val="792036CE"/>
    <w:rsid w:val="7C48754E"/>
    <w:rsid w:val="7F147065"/>
    <w:rsid w:val="7F8D407F"/>
    <w:rsid w:val="7FD87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42"/>
    <w:qFormat/>
    <w:uiPriority w:val="9"/>
    <w:pPr>
      <w:keepNext/>
      <w:keepLines/>
      <w:spacing w:before="340" w:after="330" w:line="576" w:lineRule="auto"/>
      <w:outlineLvl w:val="0"/>
    </w:pPr>
    <w:rPr>
      <w:b/>
      <w:kern w:val="44"/>
      <w:sz w:val="44"/>
    </w:rPr>
  </w:style>
  <w:style w:type="paragraph" w:styleId="3">
    <w:name w:val="heading 2"/>
    <w:basedOn w:val="1"/>
    <w:next w:val="1"/>
    <w:link w:val="76"/>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link w:val="138"/>
    <w:unhideWhenUsed/>
    <w:qFormat/>
    <w:uiPriority w:val="9"/>
    <w:pPr>
      <w:keepNext/>
      <w:keepLines/>
      <w:spacing w:before="260" w:after="260" w:line="413" w:lineRule="auto"/>
      <w:outlineLvl w:val="2"/>
    </w:pPr>
    <w:rPr>
      <w:b/>
      <w:sz w:val="32"/>
    </w:rPr>
  </w:style>
  <w:style w:type="paragraph" w:styleId="5">
    <w:name w:val="heading 4"/>
    <w:basedOn w:val="1"/>
    <w:next w:val="1"/>
    <w:link w:val="78"/>
    <w:unhideWhenUsed/>
    <w:qFormat/>
    <w:uiPriority w:val="9"/>
    <w:pPr>
      <w:keepNext/>
      <w:keepLines/>
      <w:spacing w:before="280" w:after="290" w:line="372" w:lineRule="auto"/>
      <w:outlineLvl w:val="3"/>
    </w:pPr>
    <w:rPr>
      <w:rFonts w:ascii="Arial" w:hAnsi="Arial" w:eastAsia="黑体"/>
      <w:b/>
      <w:sz w:val="28"/>
    </w:rPr>
  </w:style>
  <w:style w:type="paragraph" w:styleId="6">
    <w:name w:val="heading 5"/>
    <w:basedOn w:val="1"/>
    <w:next w:val="1"/>
    <w:link w:val="96"/>
    <w:unhideWhenUsed/>
    <w:qFormat/>
    <w:uiPriority w:val="0"/>
    <w:pPr>
      <w:keepNext/>
      <w:keepLines/>
      <w:spacing w:before="280" w:after="290" w:line="372" w:lineRule="auto"/>
      <w:outlineLvl w:val="4"/>
    </w:pPr>
    <w:rPr>
      <w:b/>
      <w:sz w:val="28"/>
    </w:rPr>
  </w:style>
  <w:style w:type="paragraph" w:styleId="7">
    <w:name w:val="heading 6"/>
    <w:basedOn w:val="1"/>
    <w:next w:val="1"/>
    <w:link w:val="81"/>
    <w:unhideWhenUsed/>
    <w:qFormat/>
    <w:uiPriority w:val="0"/>
    <w:pPr>
      <w:keepNext/>
      <w:keepLines/>
      <w:spacing w:before="240" w:after="64" w:line="317" w:lineRule="auto"/>
      <w:outlineLvl w:val="5"/>
    </w:pPr>
    <w:rPr>
      <w:rFonts w:ascii="Arial" w:hAnsi="Arial" w:eastAsia="黑体"/>
      <w:b/>
      <w:sz w:val="24"/>
    </w:rPr>
  </w:style>
  <w:style w:type="paragraph" w:styleId="8">
    <w:name w:val="heading 7"/>
    <w:basedOn w:val="1"/>
    <w:next w:val="1"/>
    <w:link w:val="94"/>
    <w:unhideWhenUsed/>
    <w:qFormat/>
    <w:uiPriority w:val="0"/>
    <w:pPr>
      <w:keepNext/>
      <w:keepLines/>
      <w:spacing w:before="240" w:after="64" w:line="317" w:lineRule="auto"/>
      <w:outlineLvl w:val="6"/>
    </w:pPr>
    <w:rPr>
      <w:b/>
      <w:sz w:val="24"/>
    </w:rPr>
  </w:style>
  <w:style w:type="paragraph" w:styleId="9">
    <w:name w:val="heading 8"/>
    <w:basedOn w:val="1"/>
    <w:next w:val="1"/>
    <w:link w:val="100"/>
    <w:unhideWhenUsed/>
    <w:qFormat/>
    <w:uiPriority w:val="0"/>
    <w:pPr>
      <w:keepNext/>
      <w:keepLines/>
      <w:spacing w:before="240" w:after="64" w:line="317" w:lineRule="auto"/>
      <w:outlineLvl w:val="7"/>
    </w:pPr>
    <w:rPr>
      <w:rFonts w:ascii="Arial" w:hAnsi="Arial" w:eastAsia="黑体"/>
      <w:sz w:val="24"/>
    </w:rPr>
  </w:style>
  <w:style w:type="paragraph" w:styleId="10">
    <w:name w:val="heading 9"/>
    <w:basedOn w:val="1"/>
    <w:next w:val="1"/>
    <w:link w:val="141"/>
    <w:unhideWhenUsed/>
    <w:qFormat/>
    <w:uiPriority w:val="0"/>
    <w:pPr>
      <w:keepNext/>
      <w:keepLines/>
      <w:spacing w:before="240" w:after="64" w:line="317" w:lineRule="auto"/>
      <w:outlineLvl w:val="8"/>
    </w:pPr>
    <w:rPr>
      <w:rFonts w:ascii="Arial" w:hAnsi="Arial" w:eastAsia="黑体"/>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rPr>
      <w:rFonts w:ascii="Calibri" w:hAnsi="Calibri" w:eastAsia="宋体" w:cs="Times New Roman"/>
      <w:szCs w:val="21"/>
    </w:rPr>
  </w:style>
  <w:style w:type="paragraph" w:styleId="12">
    <w:name w:val="E-mail Signature"/>
    <w:basedOn w:val="1"/>
    <w:next w:val="13"/>
    <w:qFormat/>
    <w:uiPriority w:val="0"/>
    <w:pPr>
      <w:spacing w:line="460" w:lineRule="exact"/>
      <w:ind w:firstLine="200"/>
    </w:pPr>
  </w:style>
  <w:style w:type="paragraph" w:customStyle="1" w:styleId="13">
    <w:name w:val="文章"/>
    <w:basedOn w:val="14"/>
    <w:next w:val="16"/>
    <w:autoRedefine/>
    <w:qFormat/>
    <w:uiPriority w:val="0"/>
    <w:pPr>
      <w:widowControl/>
      <w:ind w:firstLine="480"/>
      <w:jc w:val="center"/>
    </w:pPr>
    <w:rPr>
      <w:sz w:val="26"/>
    </w:rPr>
  </w:style>
  <w:style w:type="paragraph" w:styleId="14">
    <w:name w:val="Body Text Indent"/>
    <w:basedOn w:val="1"/>
    <w:next w:val="15"/>
    <w:link w:val="117"/>
    <w:qFormat/>
    <w:uiPriority w:val="0"/>
    <w:pPr>
      <w:spacing w:after="120"/>
      <w:ind w:left="420" w:leftChars="200"/>
    </w:pPr>
  </w:style>
  <w:style w:type="paragraph" w:styleId="15">
    <w:name w:val="caption"/>
    <w:basedOn w:val="1"/>
    <w:next w:val="1"/>
    <w:qFormat/>
    <w:uiPriority w:val="35"/>
    <w:rPr>
      <w:rFonts w:ascii="Cambria" w:hAnsi="Cambria" w:eastAsia="黑体" w:cs="Times New Roman"/>
      <w:sz w:val="20"/>
      <w:szCs w:val="20"/>
    </w:rPr>
  </w:style>
  <w:style w:type="paragraph" w:styleId="16">
    <w:name w:val="List"/>
    <w:basedOn w:val="1"/>
    <w:next w:val="1"/>
    <w:qFormat/>
    <w:uiPriority w:val="0"/>
    <w:pPr>
      <w:ind w:left="200" w:hanging="200" w:hangingChars="200"/>
    </w:pPr>
    <w:rPr>
      <w:rFonts w:ascii="Calibri" w:hAnsi="Calibri" w:eastAsia="宋体" w:cs="Times New Roman"/>
      <w:szCs w:val="21"/>
    </w:rPr>
  </w:style>
  <w:style w:type="paragraph" w:styleId="17">
    <w:name w:val="Normal Indent"/>
    <w:basedOn w:val="1"/>
    <w:next w:val="5"/>
    <w:link w:val="97"/>
    <w:qFormat/>
    <w:uiPriority w:val="0"/>
    <w:pPr>
      <w:ind w:firstLine="420" w:firstLineChars="200"/>
    </w:pPr>
  </w:style>
  <w:style w:type="paragraph" w:styleId="18">
    <w:name w:val="List Bullet"/>
    <w:basedOn w:val="1"/>
    <w:qFormat/>
    <w:uiPriority w:val="0"/>
    <w:pPr>
      <w:widowControl/>
      <w:tabs>
        <w:tab w:val="left" w:pos="5040"/>
      </w:tabs>
      <w:spacing w:after="220" w:line="220" w:lineRule="atLeast"/>
      <w:ind w:left="1800" w:leftChars="-114" w:right="720" w:hanging="360" w:firstLineChars="228"/>
      <w:jc w:val="left"/>
    </w:pPr>
    <w:rPr>
      <w:rFonts w:ascii="Calibri" w:hAnsi="Calibri" w:eastAsia="楷体_GB2312" w:cs="Times New Roman"/>
      <w:kern w:val="0"/>
      <w:szCs w:val="21"/>
    </w:rPr>
  </w:style>
  <w:style w:type="paragraph" w:styleId="19">
    <w:name w:val="Document Map"/>
    <w:basedOn w:val="1"/>
    <w:link w:val="175"/>
    <w:qFormat/>
    <w:uiPriority w:val="0"/>
    <w:pPr>
      <w:shd w:val="clear" w:color="auto" w:fill="000080"/>
    </w:pPr>
  </w:style>
  <w:style w:type="paragraph" w:styleId="20">
    <w:name w:val="annotation text"/>
    <w:basedOn w:val="1"/>
    <w:next w:val="21"/>
    <w:link w:val="79"/>
    <w:qFormat/>
    <w:uiPriority w:val="99"/>
    <w:pPr>
      <w:spacing w:line="360" w:lineRule="auto"/>
      <w:jc w:val="left"/>
    </w:pPr>
    <w:rPr>
      <w:rFonts w:ascii="Times New Roman" w:hAnsi="Times New Roman" w:eastAsia="宋体" w:cs="Times New Roman"/>
      <w:sz w:val="24"/>
      <w:szCs w:val="22"/>
    </w:rPr>
  </w:style>
  <w:style w:type="paragraph" w:styleId="21">
    <w:name w:val="toc 5"/>
    <w:basedOn w:val="1"/>
    <w:next w:val="1"/>
    <w:qFormat/>
    <w:uiPriority w:val="39"/>
    <w:pPr>
      <w:ind w:left="840"/>
      <w:jc w:val="left"/>
    </w:pPr>
    <w:rPr>
      <w:sz w:val="18"/>
      <w:szCs w:val="18"/>
    </w:rPr>
  </w:style>
  <w:style w:type="paragraph" w:styleId="22">
    <w:name w:val="Body Text"/>
    <w:basedOn w:val="1"/>
    <w:link w:val="87"/>
    <w:qFormat/>
    <w:uiPriority w:val="0"/>
    <w:pPr>
      <w:spacing w:after="120"/>
    </w:pPr>
  </w:style>
  <w:style w:type="paragraph" w:styleId="23">
    <w:name w:val="List 2"/>
    <w:basedOn w:val="1"/>
    <w:qFormat/>
    <w:uiPriority w:val="0"/>
    <w:pPr>
      <w:tabs>
        <w:tab w:val="left" w:pos="5040"/>
      </w:tabs>
      <w:adjustRightInd w:val="0"/>
      <w:spacing w:line="312" w:lineRule="atLeast"/>
      <w:ind w:left="840" w:leftChars="-114" w:hanging="420" w:firstLineChars="228"/>
      <w:textAlignment w:val="baseline"/>
    </w:pPr>
    <w:rPr>
      <w:rFonts w:ascii="Calibri" w:hAnsi="Calibri" w:eastAsia="楷体_GB2312" w:cs="Times New Roman"/>
      <w:kern w:val="0"/>
      <w:szCs w:val="21"/>
    </w:rPr>
  </w:style>
  <w:style w:type="paragraph" w:styleId="24">
    <w:name w:val="Block Text"/>
    <w:basedOn w:val="1"/>
    <w:qFormat/>
    <w:uiPriority w:val="0"/>
    <w:pPr>
      <w:widowControl/>
      <w:spacing w:line="440" w:lineRule="exact"/>
      <w:ind w:left="5" w:leftChars="3" w:right="-108" w:rightChars="-60" w:firstLine="437" w:firstLineChars="182"/>
      <w:jc w:val="left"/>
    </w:pPr>
    <w:rPr>
      <w:rFonts w:ascii="宋体" w:hAnsi="Calibri" w:eastAsia="宋体" w:cs="Times New Roman"/>
      <w:kern w:val="0"/>
      <w:sz w:val="24"/>
      <w:szCs w:val="20"/>
    </w:rPr>
  </w:style>
  <w:style w:type="paragraph" w:styleId="25">
    <w:name w:val="List Bullet 2"/>
    <w:basedOn w:val="18"/>
    <w:qFormat/>
    <w:uiPriority w:val="0"/>
    <w:pPr>
      <w:ind w:left="2160"/>
    </w:pPr>
  </w:style>
  <w:style w:type="paragraph" w:styleId="26">
    <w:name w:val="toc 3"/>
    <w:basedOn w:val="1"/>
    <w:next w:val="1"/>
    <w:autoRedefine/>
    <w:unhideWhenUsed/>
    <w:qFormat/>
    <w:uiPriority w:val="39"/>
    <w:pPr>
      <w:widowControl/>
      <w:spacing w:after="100" w:line="259" w:lineRule="auto"/>
      <w:ind w:left="440"/>
      <w:jc w:val="left"/>
    </w:pPr>
    <w:rPr>
      <w:rFonts w:cs="Times New Roman"/>
      <w:kern w:val="0"/>
      <w:sz w:val="22"/>
      <w:szCs w:val="22"/>
    </w:rPr>
  </w:style>
  <w:style w:type="paragraph" w:styleId="27">
    <w:name w:val="Plain Text"/>
    <w:basedOn w:val="1"/>
    <w:link w:val="170"/>
    <w:qFormat/>
    <w:uiPriority w:val="0"/>
    <w:rPr>
      <w:rFonts w:ascii="宋体" w:hAnsi="Courier New"/>
    </w:rPr>
  </w:style>
  <w:style w:type="paragraph" w:styleId="28">
    <w:name w:val="Date"/>
    <w:basedOn w:val="1"/>
    <w:next w:val="1"/>
    <w:link w:val="118"/>
    <w:qFormat/>
    <w:uiPriority w:val="0"/>
    <w:pPr>
      <w:ind w:left="100" w:leftChars="2500"/>
    </w:pPr>
  </w:style>
  <w:style w:type="paragraph" w:styleId="29">
    <w:name w:val="Body Text Indent 2"/>
    <w:basedOn w:val="1"/>
    <w:link w:val="99"/>
    <w:qFormat/>
    <w:uiPriority w:val="0"/>
    <w:pPr>
      <w:spacing w:after="120" w:line="480" w:lineRule="auto"/>
      <w:ind w:left="420" w:leftChars="200"/>
    </w:pPr>
  </w:style>
  <w:style w:type="paragraph" w:styleId="30">
    <w:name w:val="Balloon Text"/>
    <w:basedOn w:val="1"/>
    <w:link w:val="88"/>
    <w:qFormat/>
    <w:uiPriority w:val="0"/>
    <w:rPr>
      <w:sz w:val="18"/>
    </w:rPr>
  </w:style>
  <w:style w:type="paragraph" w:styleId="31">
    <w:name w:val="footer"/>
    <w:basedOn w:val="1"/>
    <w:link w:val="113"/>
    <w:qFormat/>
    <w:uiPriority w:val="0"/>
    <w:pPr>
      <w:tabs>
        <w:tab w:val="center" w:pos="4153"/>
        <w:tab w:val="right" w:pos="8306"/>
      </w:tabs>
      <w:snapToGrid w:val="0"/>
      <w:jc w:val="left"/>
    </w:pPr>
    <w:rPr>
      <w:sz w:val="18"/>
    </w:rPr>
  </w:style>
  <w:style w:type="paragraph" w:styleId="32">
    <w:name w:val="header"/>
    <w:basedOn w:val="1"/>
    <w:link w:val="9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33">
    <w:name w:val="toc 1"/>
    <w:basedOn w:val="1"/>
    <w:next w:val="1"/>
    <w:autoRedefine/>
    <w:qFormat/>
    <w:uiPriority w:val="39"/>
    <w:pPr>
      <w:tabs>
        <w:tab w:val="right" w:leader="dot" w:pos="9060"/>
      </w:tabs>
      <w:spacing w:line="360" w:lineRule="auto"/>
    </w:pPr>
  </w:style>
  <w:style w:type="paragraph" w:styleId="34">
    <w:name w:val="Body Text Indent 3"/>
    <w:basedOn w:val="1"/>
    <w:link w:val="150"/>
    <w:qFormat/>
    <w:uiPriority w:val="0"/>
    <w:pPr>
      <w:spacing w:after="120"/>
      <w:ind w:left="420" w:leftChars="200"/>
    </w:pPr>
    <w:rPr>
      <w:sz w:val="16"/>
    </w:rPr>
  </w:style>
  <w:style w:type="paragraph" w:styleId="35">
    <w:name w:val="index 7"/>
    <w:basedOn w:val="1"/>
    <w:next w:val="1"/>
    <w:qFormat/>
    <w:uiPriority w:val="0"/>
    <w:pPr>
      <w:ind w:left="1960" w:hanging="280"/>
      <w:jc w:val="left"/>
    </w:pPr>
    <w:rPr>
      <w:rFonts w:ascii="Calibri" w:hAnsi="Calibri" w:eastAsia="宋体" w:cs="Times New Roman"/>
      <w:sz w:val="18"/>
      <w:szCs w:val="18"/>
    </w:rPr>
  </w:style>
  <w:style w:type="paragraph" w:styleId="36">
    <w:name w:val="toc 2"/>
    <w:basedOn w:val="1"/>
    <w:next w:val="12"/>
    <w:autoRedefine/>
    <w:unhideWhenUsed/>
    <w:qFormat/>
    <w:uiPriority w:val="39"/>
    <w:pPr>
      <w:widowControl/>
      <w:spacing w:after="100" w:line="259" w:lineRule="auto"/>
      <w:ind w:left="220"/>
      <w:jc w:val="left"/>
    </w:pPr>
    <w:rPr>
      <w:rFonts w:cs="Times New Roman"/>
      <w:kern w:val="0"/>
      <w:sz w:val="22"/>
      <w:szCs w:val="22"/>
    </w:rPr>
  </w:style>
  <w:style w:type="paragraph" w:styleId="37">
    <w:name w:val="Body Text 2"/>
    <w:basedOn w:val="1"/>
    <w:link w:val="179"/>
    <w:qFormat/>
    <w:uiPriority w:val="0"/>
    <w:pPr>
      <w:spacing w:after="120" w:line="480" w:lineRule="auto"/>
    </w:pPr>
  </w:style>
  <w:style w:type="paragraph" w:styleId="38">
    <w:name w:val="HTML Preformatted"/>
    <w:basedOn w:val="1"/>
    <w:link w:val="176"/>
    <w:qFormat/>
    <w:uiPriority w:val="0"/>
    <w:rPr>
      <w:rFonts w:ascii="Courier New" w:hAnsi="Courier New"/>
      <w:sz w:val="20"/>
    </w:rPr>
  </w:style>
  <w:style w:type="paragraph" w:styleId="39">
    <w:name w:val="Normal (Web)"/>
    <w:basedOn w:val="1"/>
    <w:link w:val="122"/>
    <w:qFormat/>
    <w:uiPriority w:val="0"/>
    <w:pPr>
      <w:widowControl/>
      <w:spacing w:beforeAutospacing="1" w:afterAutospacing="1" w:line="360" w:lineRule="auto"/>
      <w:jc w:val="left"/>
    </w:pPr>
    <w:rPr>
      <w:rFonts w:hint="eastAsia" w:ascii="宋体" w:hAnsi="宋体" w:eastAsia="宋体" w:cs="Times New Roman"/>
      <w:kern w:val="0"/>
      <w:sz w:val="24"/>
      <w:szCs w:val="20"/>
    </w:rPr>
  </w:style>
  <w:style w:type="paragraph" w:styleId="40">
    <w:name w:val="index 1"/>
    <w:basedOn w:val="1"/>
    <w:next w:val="1"/>
    <w:qFormat/>
    <w:uiPriority w:val="0"/>
    <w:rPr>
      <w:rFonts w:ascii="Calibri" w:hAnsi="Calibri" w:eastAsia="宋体" w:cs="Times New Roman"/>
    </w:rPr>
  </w:style>
  <w:style w:type="paragraph" w:styleId="41">
    <w:name w:val="Title"/>
    <w:basedOn w:val="1"/>
    <w:link w:val="143"/>
    <w:qFormat/>
    <w:uiPriority w:val="10"/>
    <w:pPr>
      <w:spacing w:before="240" w:after="60"/>
      <w:jc w:val="center"/>
      <w:outlineLvl w:val="0"/>
    </w:pPr>
    <w:rPr>
      <w:rFonts w:ascii="Arial" w:hAnsi="Arial"/>
      <w:b/>
      <w:sz w:val="32"/>
    </w:rPr>
  </w:style>
  <w:style w:type="paragraph" w:styleId="42">
    <w:name w:val="annotation subject"/>
    <w:basedOn w:val="20"/>
    <w:next w:val="20"/>
    <w:link w:val="129"/>
    <w:qFormat/>
    <w:uiPriority w:val="99"/>
    <w:rPr>
      <w:b/>
    </w:rPr>
  </w:style>
  <w:style w:type="paragraph" w:styleId="43">
    <w:name w:val="Body Text First Indent"/>
    <w:basedOn w:val="22"/>
    <w:link w:val="86"/>
    <w:qFormat/>
    <w:uiPriority w:val="0"/>
    <w:pPr>
      <w:ind w:firstLine="420" w:firstLineChars="100"/>
    </w:pPr>
  </w:style>
  <w:style w:type="paragraph" w:styleId="44">
    <w:name w:val="Body Text First Indent 2"/>
    <w:basedOn w:val="14"/>
    <w:next w:val="1"/>
    <w:link w:val="309"/>
    <w:qFormat/>
    <w:uiPriority w:val="0"/>
    <w:pPr>
      <w:ind w:firstLine="420" w:firstLineChars="200"/>
    </w:pPr>
    <w:rPr>
      <w:rFonts w:ascii="Times New Roman" w:hAnsi="Times New Roman" w:eastAsia="宋体" w:cs="Times New Roman"/>
      <w:sz w:val="24"/>
      <w:szCs w:val="20"/>
    </w:rPr>
  </w:style>
  <w:style w:type="table" w:styleId="46">
    <w:name w:val="Table Grid"/>
    <w:basedOn w:val="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basedOn w:val="47"/>
    <w:qFormat/>
    <w:uiPriority w:val="99"/>
    <w:rPr>
      <w:color w:val="954F72"/>
      <w:u w:val="single"/>
    </w:rPr>
  </w:style>
  <w:style w:type="character" w:styleId="51">
    <w:name w:val="Emphasis"/>
    <w:basedOn w:val="47"/>
    <w:qFormat/>
    <w:uiPriority w:val="0"/>
    <w:rPr>
      <w:rFonts w:hint="default" w:ascii="Verdana" w:hAnsi="Verdana" w:eastAsia="仿宋_GB2312" w:cs="Verdana"/>
      <w:kern w:val="0"/>
      <w:sz w:val="24"/>
      <w:szCs w:val="20"/>
      <w:lang w:eastAsia="en-US"/>
    </w:rPr>
  </w:style>
  <w:style w:type="character" w:styleId="52">
    <w:name w:val="line number"/>
    <w:basedOn w:val="47"/>
    <w:qFormat/>
    <w:uiPriority w:val="0"/>
  </w:style>
  <w:style w:type="character" w:styleId="53">
    <w:name w:val="HTML Definition"/>
    <w:basedOn w:val="47"/>
    <w:qFormat/>
    <w:uiPriority w:val="0"/>
    <w:rPr>
      <w:rFonts w:hint="default" w:ascii="Verdana" w:hAnsi="Verdana" w:eastAsia="仿宋_GB2312" w:cs="Verdana"/>
      <w:kern w:val="0"/>
      <w:sz w:val="24"/>
      <w:szCs w:val="20"/>
      <w:lang w:eastAsia="en-US"/>
    </w:rPr>
  </w:style>
  <w:style w:type="character" w:styleId="54">
    <w:name w:val="HTML Variable"/>
    <w:basedOn w:val="47"/>
    <w:qFormat/>
    <w:uiPriority w:val="0"/>
    <w:rPr>
      <w:rFonts w:hint="default" w:ascii="Verdana" w:hAnsi="Verdana" w:eastAsia="仿宋_GB2312" w:cs="Verdana"/>
      <w:kern w:val="0"/>
      <w:sz w:val="24"/>
      <w:szCs w:val="20"/>
      <w:lang w:eastAsia="en-US"/>
    </w:rPr>
  </w:style>
  <w:style w:type="character" w:styleId="55">
    <w:name w:val="Hyperlink"/>
    <w:basedOn w:val="47"/>
    <w:qFormat/>
    <w:uiPriority w:val="99"/>
    <w:rPr>
      <w:color w:val="0000FF"/>
      <w:u w:val="single"/>
    </w:rPr>
  </w:style>
  <w:style w:type="character" w:styleId="56">
    <w:name w:val="HTML Code"/>
    <w:basedOn w:val="47"/>
    <w:qFormat/>
    <w:uiPriority w:val="0"/>
    <w:rPr>
      <w:rFonts w:hint="default" w:ascii="serif" w:hAnsi="serif" w:eastAsia="serif" w:cs="serif"/>
      <w:kern w:val="0"/>
      <w:sz w:val="21"/>
      <w:szCs w:val="21"/>
      <w:lang w:eastAsia="en-US"/>
    </w:rPr>
  </w:style>
  <w:style w:type="character" w:styleId="57">
    <w:name w:val="annotation reference"/>
    <w:basedOn w:val="47"/>
    <w:qFormat/>
    <w:uiPriority w:val="99"/>
    <w:rPr>
      <w:sz w:val="21"/>
      <w:szCs w:val="21"/>
    </w:rPr>
  </w:style>
  <w:style w:type="character" w:styleId="58">
    <w:name w:val="HTML Cite"/>
    <w:basedOn w:val="47"/>
    <w:qFormat/>
    <w:uiPriority w:val="0"/>
    <w:rPr>
      <w:rFonts w:hint="default" w:ascii="Verdana" w:hAnsi="Verdana" w:eastAsia="仿宋_GB2312" w:cs="Verdana"/>
      <w:kern w:val="0"/>
      <w:sz w:val="24"/>
      <w:szCs w:val="20"/>
      <w:lang w:eastAsia="en-US"/>
    </w:rPr>
  </w:style>
  <w:style w:type="character" w:styleId="59">
    <w:name w:val="HTML Keyboard"/>
    <w:basedOn w:val="47"/>
    <w:qFormat/>
    <w:uiPriority w:val="0"/>
    <w:rPr>
      <w:rFonts w:hint="default" w:ascii="serif" w:hAnsi="serif" w:eastAsia="serif" w:cs="serif"/>
      <w:kern w:val="0"/>
      <w:sz w:val="21"/>
      <w:szCs w:val="21"/>
      <w:lang w:eastAsia="en-US"/>
    </w:rPr>
  </w:style>
  <w:style w:type="character" w:styleId="60">
    <w:name w:val="HTML Sample"/>
    <w:basedOn w:val="47"/>
    <w:qFormat/>
    <w:uiPriority w:val="0"/>
    <w:rPr>
      <w:rFonts w:hint="default" w:ascii="serif" w:hAnsi="serif" w:eastAsia="serif" w:cs="serif"/>
      <w:kern w:val="0"/>
      <w:sz w:val="21"/>
      <w:szCs w:val="21"/>
      <w:lang w:eastAsia="en-US"/>
    </w:rPr>
  </w:style>
  <w:style w:type="paragraph" w:customStyle="1" w:styleId="61">
    <w:name w:val="Default"/>
    <w:basedOn w:val="62"/>
    <w:next w:val="63"/>
    <w:link w:val="103"/>
    <w:qFormat/>
    <w:uiPriority w:val="0"/>
    <w:pPr>
      <w:widowControl w:val="0"/>
      <w:autoSpaceDE w:val="0"/>
      <w:autoSpaceDN w:val="0"/>
      <w:adjustRightInd w:val="0"/>
    </w:pPr>
    <w:rPr>
      <w:rFonts w:hint="eastAsia" w:ascii="宋体" w:hAnsi="宋体" w:eastAsia="宋体" w:cs="宋体"/>
      <w:color w:val="000000"/>
      <w:sz w:val="24"/>
      <w:szCs w:val="24"/>
      <w:lang w:val="en-US" w:eastAsia="zh-CN" w:bidi="ar-SA"/>
    </w:rPr>
  </w:style>
  <w:style w:type="paragraph" w:customStyle="1" w:styleId="62">
    <w:name w:val="纯文本1"/>
    <w:basedOn w:val="1"/>
    <w:qFormat/>
    <w:uiPriority w:val="0"/>
    <w:pPr>
      <w:adjustRightInd w:val="0"/>
    </w:pPr>
    <w:rPr>
      <w:rFonts w:ascii="宋体" w:hAnsi="Courier New"/>
    </w:rPr>
  </w:style>
  <w:style w:type="paragraph" w:customStyle="1" w:styleId="63">
    <w:name w:val="正文文字 6"/>
    <w:basedOn w:val="64"/>
    <w:next w:val="1"/>
    <w:qFormat/>
    <w:uiPriority w:val="0"/>
    <w:pPr>
      <w:widowControl w:val="0"/>
      <w:ind w:left="240"/>
      <w:jc w:val="both"/>
    </w:pPr>
    <w:rPr>
      <w:rFonts w:ascii="宋体"/>
      <w:b/>
      <w:bCs/>
      <w:sz w:val="32"/>
      <w:szCs w:val="32"/>
    </w:rPr>
  </w:style>
  <w:style w:type="paragraph" w:customStyle="1" w:styleId="64">
    <w:name w:val="图位置"/>
    <w:next w:val="65"/>
    <w:qFormat/>
    <w:uiPriority w:val="0"/>
    <w:pPr>
      <w:jc w:val="center"/>
    </w:pPr>
    <w:rPr>
      <w:rFonts w:ascii="Times New Roman" w:hAnsi="Times New Roman" w:eastAsia="宋体" w:cs="Times New Roman"/>
      <w:kern w:val="2"/>
      <w:sz w:val="24"/>
      <w:szCs w:val="21"/>
      <w:lang w:val="en-US" w:eastAsia="zh-CN" w:bidi="ar-SA"/>
    </w:rPr>
  </w:style>
  <w:style w:type="paragraph" w:customStyle="1" w:styleId="65">
    <w:name w:val="图题"/>
    <w:basedOn w:val="1"/>
    <w:next w:val="1"/>
    <w:qFormat/>
    <w:uiPriority w:val="0"/>
    <w:pPr>
      <w:jc w:val="center"/>
    </w:pPr>
    <w:rPr>
      <w:rFonts w:ascii="宋体" w:hAnsi="宋体" w:eastAsia="黑体"/>
      <w:b/>
    </w:rPr>
  </w:style>
  <w:style w:type="paragraph" w:customStyle="1" w:styleId="66">
    <w:name w:val="表格字体"/>
    <w:basedOn w:val="67"/>
    <w:link w:val="72"/>
    <w:qFormat/>
    <w:uiPriority w:val="0"/>
    <w:pPr>
      <w:snapToGrid w:val="0"/>
      <w:jc w:val="center"/>
    </w:pPr>
    <w:rPr>
      <w:rFonts w:ascii="Times New Roman" w:hAnsi="Times New Roman" w:eastAsia="宋体" w:cs="Times New Roman"/>
      <w:sz w:val="21"/>
      <w:szCs w:val="21"/>
    </w:rPr>
  </w:style>
  <w:style w:type="paragraph" w:customStyle="1" w:styleId="67">
    <w:name w:val="正文1"/>
    <w:basedOn w:val="1"/>
    <w:qFormat/>
    <w:uiPriority w:val="0"/>
    <w:pPr>
      <w:adjustRightInd w:val="0"/>
    </w:pPr>
    <w:rPr>
      <w:rFonts w:eastAsia="楷体_GB2312"/>
      <w:sz w:val="24"/>
      <w:szCs w:val="20"/>
    </w:rPr>
  </w:style>
  <w:style w:type="character" w:customStyle="1" w:styleId="68">
    <w:name w:val="图注 Char"/>
    <w:basedOn w:val="47"/>
    <w:link w:val="69"/>
    <w:qFormat/>
    <w:uiPriority w:val="0"/>
    <w:rPr>
      <w:rFonts w:hint="default" w:ascii="Times New Roman" w:hAnsi="Times New Roman" w:eastAsia="宋体" w:cs="Times New Roman"/>
      <w:b/>
      <w:sz w:val="21"/>
      <w:szCs w:val="24"/>
      <w:lang w:val="zh-CN"/>
    </w:rPr>
  </w:style>
  <w:style w:type="paragraph" w:customStyle="1" w:styleId="69">
    <w:name w:val="图注"/>
    <w:basedOn w:val="1"/>
    <w:link w:val="68"/>
    <w:qFormat/>
    <w:uiPriority w:val="0"/>
    <w:pPr>
      <w:widowControl/>
      <w:jc w:val="center"/>
    </w:pPr>
    <w:rPr>
      <w:rFonts w:ascii="Times New Roman" w:hAnsi="Times New Roman" w:eastAsia="宋体" w:cs="Times New Roman"/>
      <w:b/>
      <w:kern w:val="0"/>
    </w:rPr>
  </w:style>
  <w:style w:type="character" w:customStyle="1" w:styleId="70">
    <w:name w:val="批注文字 Char"/>
    <w:basedOn w:val="47"/>
    <w:qFormat/>
    <w:uiPriority w:val="99"/>
    <w:rPr>
      <w:rFonts w:hint="default" w:ascii="Times New Roman" w:hAnsi="Times New Roman" w:eastAsia="宋体" w:cs="Times New Roman"/>
      <w:kern w:val="2"/>
      <w:sz w:val="24"/>
      <w:szCs w:val="22"/>
    </w:rPr>
  </w:style>
  <w:style w:type="paragraph" w:customStyle="1" w:styleId="71">
    <w:name w:val="表题"/>
    <w:basedOn w:val="1"/>
    <w:link w:val="73"/>
    <w:qFormat/>
    <w:uiPriority w:val="0"/>
    <w:pPr>
      <w:autoSpaceDE w:val="0"/>
      <w:autoSpaceDN w:val="0"/>
      <w:adjustRightInd w:val="0"/>
      <w:snapToGrid w:val="0"/>
      <w:jc w:val="center"/>
    </w:pPr>
    <w:rPr>
      <w:rFonts w:ascii="Times New Roman" w:hAnsi="Times New Roman" w:eastAsia="宋体" w:cs="Times New Roman"/>
      <w:b/>
      <w:bCs/>
      <w:kern w:val="0"/>
      <w:szCs w:val="21"/>
    </w:rPr>
  </w:style>
  <w:style w:type="character" w:customStyle="1" w:styleId="72">
    <w:name w:val="表格字体 字符"/>
    <w:basedOn w:val="47"/>
    <w:link w:val="66"/>
    <w:qFormat/>
    <w:uiPriority w:val="0"/>
    <w:rPr>
      <w:rFonts w:hint="default" w:ascii="Times New Roman" w:hAnsi="Times New Roman" w:eastAsia="宋体" w:cs="Times New Roman"/>
      <w:kern w:val="2"/>
      <w:sz w:val="21"/>
      <w:szCs w:val="21"/>
    </w:rPr>
  </w:style>
  <w:style w:type="character" w:customStyle="1" w:styleId="73">
    <w:name w:val="表题 字符"/>
    <w:basedOn w:val="47"/>
    <w:link w:val="71"/>
    <w:qFormat/>
    <w:uiPriority w:val="0"/>
    <w:rPr>
      <w:rFonts w:hint="default" w:ascii="Times New Roman" w:hAnsi="Times New Roman" w:eastAsia="宋体" w:cs="Times New Roman"/>
      <w:b/>
      <w:bCs/>
      <w:sz w:val="21"/>
      <w:szCs w:val="21"/>
    </w:rPr>
  </w:style>
  <w:style w:type="character" w:customStyle="1" w:styleId="74">
    <w:name w:val="附图 字符"/>
    <w:basedOn w:val="47"/>
    <w:link w:val="75"/>
    <w:qFormat/>
    <w:uiPriority w:val="0"/>
    <w:rPr>
      <w:rFonts w:hint="default" w:ascii="Times New Roman" w:hAnsi="Times New Roman" w:eastAsia="宋体" w:cs="Times New Roman"/>
      <w:b/>
      <w:kern w:val="2"/>
      <w:sz w:val="24"/>
      <w:szCs w:val="21"/>
    </w:rPr>
  </w:style>
  <w:style w:type="paragraph" w:customStyle="1" w:styleId="75">
    <w:name w:val="附图"/>
    <w:basedOn w:val="1"/>
    <w:link w:val="74"/>
    <w:qFormat/>
    <w:uiPriority w:val="0"/>
    <w:pPr>
      <w:spacing w:line="360" w:lineRule="auto"/>
      <w:jc w:val="center"/>
      <w:outlineLvl w:val="1"/>
    </w:pPr>
    <w:rPr>
      <w:rFonts w:ascii="Times New Roman" w:hAnsi="Times New Roman" w:eastAsia="宋体" w:cs="Times New Roman"/>
      <w:b/>
      <w:sz w:val="24"/>
      <w:szCs w:val="21"/>
    </w:rPr>
  </w:style>
  <w:style w:type="character" w:customStyle="1" w:styleId="76">
    <w:name w:val="标题 2 Char1"/>
    <w:basedOn w:val="47"/>
    <w:link w:val="3"/>
    <w:qFormat/>
    <w:uiPriority w:val="0"/>
    <w:rPr>
      <w:b/>
      <w:bCs/>
      <w:iCs/>
      <w:sz w:val="30"/>
      <w:szCs w:val="28"/>
    </w:rPr>
  </w:style>
  <w:style w:type="character" w:customStyle="1" w:styleId="77">
    <w:name w:val="Body text|2"/>
    <w:basedOn w:val="47"/>
    <w:qFormat/>
    <w:uiPriority w:val="0"/>
    <w:rPr>
      <w:rFonts w:hint="eastAsia" w:ascii="宋体" w:hAnsi="宋体" w:eastAsia="宋体" w:cs="PMingLiU"/>
      <w:color w:val="000000"/>
      <w:spacing w:val="20"/>
      <w:w w:val="100"/>
      <w:position w:val="0"/>
      <w:szCs w:val="22"/>
      <w:shd w:val="clear" w:color="auto" w:fill="FFFFFF"/>
      <w:lang w:val="zh-CN" w:eastAsia="zh-CN" w:bidi="zh-CN"/>
    </w:rPr>
  </w:style>
  <w:style w:type="character" w:customStyle="1" w:styleId="78">
    <w:name w:val="标题 4 Char1"/>
    <w:basedOn w:val="47"/>
    <w:link w:val="5"/>
    <w:qFormat/>
    <w:uiPriority w:val="0"/>
    <w:rPr>
      <w:bCs/>
      <w:sz w:val="24"/>
      <w:szCs w:val="28"/>
    </w:rPr>
  </w:style>
  <w:style w:type="character" w:customStyle="1" w:styleId="79">
    <w:name w:val="批注文字 Char1"/>
    <w:basedOn w:val="47"/>
    <w:link w:val="20"/>
    <w:qFormat/>
    <w:uiPriority w:val="0"/>
    <w:rPr>
      <w:sz w:val="24"/>
    </w:rPr>
  </w:style>
  <w:style w:type="character" w:customStyle="1" w:styleId="80">
    <w:name w:val="标题 8 Char"/>
    <w:basedOn w:val="47"/>
    <w:qFormat/>
    <w:uiPriority w:val="0"/>
    <w:rPr>
      <w:rFonts w:ascii="Calibri Light" w:hAnsi="Calibri Light" w:eastAsia="宋体" w:cs="Times New Roman"/>
      <w:kern w:val="2"/>
      <w:sz w:val="24"/>
      <w:szCs w:val="24"/>
    </w:rPr>
  </w:style>
  <w:style w:type="character" w:customStyle="1" w:styleId="81">
    <w:name w:val="标题 6 Char1"/>
    <w:basedOn w:val="47"/>
    <w:link w:val="7"/>
    <w:qFormat/>
    <w:uiPriority w:val="0"/>
    <w:rPr>
      <w:b/>
      <w:bCs/>
      <w:sz w:val="22"/>
      <w:szCs w:val="22"/>
    </w:rPr>
  </w:style>
  <w:style w:type="character" w:customStyle="1" w:styleId="82">
    <w:name w:val="cctt"/>
    <w:basedOn w:val="47"/>
    <w:qFormat/>
    <w:uiPriority w:val="0"/>
    <w:rPr>
      <w:rFonts w:hint="default" w:ascii="Verdana" w:hAnsi="Verdana" w:eastAsia="仿宋_GB2312" w:cs="Verdana"/>
      <w:kern w:val="0"/>
      <w:sz w:val="24"/>
      <w:szCs w:val="20"/>
      <w:lang w:eastAsia="en-US"/>
    </w:rPr>
  </w:style>
  <w:style w:type="character" w:customStyle="1" w:styleId="83">
    <w:name w:val="lh151"/>
    <w:basedOn w:val="47"/>
    <w:qFormat/>
    <w:uiPriority w:val="0"/>
  </w:style>
  <w:style w:type="character" w:customStyle="1" w:styleId="84">
    <w:name w:val="批注框文本 字符1"/>
    <w:basedOn w:val="47"/>
    <w:qFormat/>
    <w:uiPriority w:val="99"/>
    <w:rPr>
      <w:rFonts w:hint="default" w:ascii="Times New Roman" w:hAnsi="Times New Roman" w:eastAsia="宋体" w:cs="Times New Roman"/>
      <w:sz w:val="18"/>
      <w:szCs w:val="18"/>
    </w:rPr>
  </w:style>
  <w:style w:type="character" w:customStyle="1" w:styleId="85">
    <w:name w:val="纯文本 字符1"/>
    <w:basedOn w:val="47"/>
    <w:qFormat/>
    <w:uiPriority w:val="0"/>
    <w:rPr>
      <w:rFonts w:hint="eastAsia" w:ascii="宋体" w:hAnsi="Courier New" w:eastAsia="宋体" w:cs="Courier New"/>
      <w:kern w:val="2"/>
      <w:sz w:val="21"/>
      <w:szCs w:val="21"/>
    </w:rPr>
  </w:style>
  <w:style w:type="character" w:customStyle="1" w:styleId="86">
    <w:name w:val="正文首行缩进 Char"/>
    <w:basedOn w:val="87"/>
    <w:link w:val="43"/>
    <w:qFormat/>
    <w:uiPriority w:val="0"/>
    <w:rPr>
      <w:kern w:val="2"/>
      <w:sz w:val="24"/>
      <w:szCs w:val="24"/>
    </w:rPr>
  </w:style>
  <w:style w:type="character" w:customStyle="1" w:styleId="87">
    <w:name w:val="正文文本 Char1"/>
    <w:basedOn w:val="47"/>
    <w:link w:val="22"/>
    <w:qFormat/>
    <w:uiPriority w:val="0"/>
    <w:rPr>
      <w:sz w:val="18"/>
    </w:rPr>
  </w:style>
  <w:style w:type="character" w:customStyle="1" w:styleId="88">
    <w:name w:val="批注框文本 Char1"/>
    <w:basedOn w:val="47"/>
    <w:link w:val="30"/>
    <w:qFormat/>
    <w:uiPriority w:val="0"/>
    <w:rPr>
      <w:sz w:val="18"/>
    </w:rPr>
  </w:style>
  <w:style w:type="character" w:customStyle="1" w:styleId="89">
    <w:name w:val="正文1 字符"/>
    <w:basedOn w:val="47"/>
    <w:qFormat/>
    <w:uiPriority w:val="0"/>
    <w:rPr>
      <w:rFonts w:hint="eastAsia" w:ascii="楷体_GB2312" w:eastAsia="楷体_GB2312" w:cs="楷体_GB2312"/>
      <w:kern w:val="2"/>
      <w:sz w:val="24"/>
    </w:rPr>
  </w:style>
  <w:style w:type="character" w:customStyle="1" w:styleId="90">
    <w:name w:val="页脚 Char1"/>
    <w:basedOn w:val="47"/>
    <w:qFormat/>
    <w:uiPriority w:val="99"/>
    <w:rPr>
      <w:rFonts w:hint="default" w:ascii="Times New Roman" w:hAnsi="Times New Roman" w:eastAsia="宋体" w:cs="Times New Roman"/>
      <w:color w:val="000000"/>
      <w:sz w:val="18"/>
      <w:szCs w:val="18"/>
    </w:rPr>
  </w:style>
  <w:style w:type="character" w:customStyle="1" w:styleId="91">
    <w:name w:val="标题 6 Char"/>
    <w:basedOn w:val="47"/>
    <w:qFormat/>
    <w:uiPriority w:val="0"/>
    <w:rPr>
      <w:rFonts w:hint="default" w:ascii="Calibri Light" w:hAnsi="Calibri Light" w:eastAsia="宋体" w:cs="Times New Roman"/>
      <w:b/>
      <w:bCs/>
      <w:kern w:val="2"/>
      <w:sz w:val="24"/>
      <w:szCs w:val="24"/>
    </w:rPr>
  </w:style>
  <w:style w:type="character" w:customStyle="1" w:styleId="92">
    <w:name w:val="HTML 预设格式 Char"/>
    <w:basedOn w:val="47"/>
    <w:qFormat/>
    <w:uiPriority w:val="0"/>
    <w:rPr>
      <w:rFonts w:hint="default" w:ascii="Courier New" w:hAnsi="Courier New" w:cs="Courier New"/>
      <w:kern w:val="2"/>
    </w:rPr>
  </w:style>
  <w:style w:type="character" w:customStyle="1" w:styleId="93">
    <w:name w:val="正文文本 2 Char"/>
    <w:basedOn w:val="47"/>
    <w:qFormat/>
    <w:uiPriority w:val="0"/>
    <w:rPr>
      <w:kern w:val="2"/>
      <w:sz w:val="24"/>
      <w:szCs w:val="24"/>
    </w:rPr>
  </w:style>
  <w:style w:type="character" w:customStyle="1" w:styleId="94">
    <w:name w:val="标题 7 Char1"/>
    <w:basedOn w:val="47"/>
    <w:link w:val="8"/>
    <w:qFormat/>
    <w:uiPriority w:val="0"/>
    <w:rPr>
      <w:sz w:val="24"/>
      <w:szCs w:val="24"/>
    </w:rPr>
  </w:style>
  <w:style w:type="character" w:customStyle="1" w:styleId="95">
    <w:name w:val="页眉 Char1"/>
    <w:basedOn w:val="47"/>
    <w:link w:val="32"/>
    <w:qFormat/>
    <w:uiPriority w:val="0"/>
    <w:rPr>
      <w:sz w:val="18"/>
    </w:rPr>
  </w:style>
  <w:style w:type="character" w:customStyle="1" w:styleId="96">
    <w:name w:val="标题 5 Char1"/>
    <w:basedOn w:val="47"/>
    <w:link w:val="6"/>
    <w:qFormat/>
    <w:uiPriority w:val="0"/>
    <w:rPr>
      <w:bCs/>
      <w:iCs/>
      <w:sz w:val="24"/>
      <w:szCs w:val="26"/>
    </w:rPr>
  </w:style>
  <w:style w:type="character" w:customStyle="1" w:styleId="97">
    <w:name w:val="正文缩进 Char1"/>
    <w:basedOn w:val="47"/>
    <w:link w:val="17"/>
    <w:qFormat/>
    <w:uiPriority w:val="0"/>
    <w:rPr>
      <w:kern w:val="2"/>
      <w:sz w:val="21"/>
      <w:szCs w:val="24"/>
    </w:rPr>
  </w:style>
  <w:style w:type="character" w:customStyle="1" w:styleId="98">
    <w:name w:val="批注文字 字符1"/>
    <w:basedOn w:val="47"/>
    <w:qFormat/>
    <w:uiPriority w:val="0"/>
    <w:rPr>
      <w:rFonts w:hint="default" w:ascii="Times New Roman" w:hAnsi="Times New Roman" w:eastAsia="宋体" w:cs="Times New Roman"/>
      <w:sz w:val="24"/>
    </w:rPr>
  </w:style>
  <w:style w:type="character" w:customStyle="1" w:styleId="99">
    <w:name w:val="正文文本缩进 2 Char1"/>
    <w:basedOn w:val="47"/>
    <w:link w:val="29"/>
    <w:qFormat/>
    <w:uiPriority w:val="0"/>
    <w:rPr>
      <w:rFonts w:hint="eastAsia" w:ascii="宋体" w:hAnsi="宋体" w:eastAsia="宋体" w:cs="宋体"/>
      <w:sz w:val="28"/>
      <w:szCs w:val="28"/>
    </w:rPr>
  </w:style>
  <w:style w:type="character" w:customStyle="1" w:styleId="100">
    <w:name w:val="标题 8 Char1"/>
    <w:basedOn w:val="47"/>
    <w:link w:val="9"/>
    <w:qFormat/>
    <w:uiPriority w:val="0"/>
    <w:rPr>
      <w:rFonts w:hint="eastAsia" w:ascii="等线 Light" w:hAnsi="等线 Light" w:eastAsia="等线 Light" w:cs="等线 Light"/>
      <w:kern w:val="2"/>
      <w:sz w:val="24"/>
      <w:szCs w:val="24"/>
    </w:rPr>
  </w:style>
  <w:style w:type="character" w:customStyle="1" w:styleId="101">
    <w:name w:val="fontborder"/>
    <w:basedOn w:val="47"/>
    <w:qFormat/>
    <w:uiPriority w:val="0"/>
    <w:rPr>
      <w:rFonts w:hint="default" w:ascii="Verdana" w:hAnsi="Verdana" w:eastAsia="仿宋_GB2312" w:cs="Verdana"/>
      <w:kern w:val="0"/>
      <w:sz w:val="24"/>
      <w:szCs w:val="20"/>
      <w:bdr w:val="single" w:color="000000" w:sz="4" w:space="0"/>
      <w:lang w:eastAsia="en-US"/>
    </w:rPr>
  </w:style>
  <w:style w:type="character" w:customStyle="1" w:styleId="102">
    <w:name w:val="附件 Char"/>
    <w:basedOn w:val="47"/>
    <w:qFormat/>
    <w:uiPriority w:val="0"/>
    <w:rPr>
      <w:rFonts w:hint="default" w:ascii="Times New Roman" w:hAnsi="Times New Roman" w:cs="Times New Roman"/>
      <w:b/>
      <w:kern w:val="2"/>
      <w:sz w:val="24"/>
      <w:szCs w:val="24"/>
    </w:rPr>
  </w:style>
  <w:style w:type="character" w:customStyle="1" w:styleId="103">
    <w:name w:val="Default Char"/>
    <w:basedOn w:val="47"/>
    <w:link w:val="61"/>
    <w:qFormat/>
    <w:uiPriority w:val="0"/>
    <w:rPr>
      <w:rFonts w:hint="eastAsia" w:ascii="宋体" w:hAnsi="宋体" w:eastAsia="宋体" w:cs="宋体"/>
      <w:color w:val="000000"/>
      <w:sz w:val="24"/>
      <w:szCs w:val="24"/>
    </w:rPr>
  </w:style>
  <w:style w:type="character" w:customStyle="1" w:styleId="104">
    <w:name w:val="标题 1 Char"/>
    <w:basedOn w:val="47"/>
    <w:qFormat/>
    <w:uiPriority w:val="0"/>
    <w:rPr>
      <w:b/>
      <w:bCs/>
      <w:kern w:val="44"/>
      <w:sz w:val="44"/>
      <w:szCs w:val="44"/>
    </w:rPr>
  </w:style>
  <w:style w:type="character" w:customStyle="1" w:styleId="105">
    <w:name w:val="标题 2 Char"/>
    <w:basedOn w:val="47"/>
    <w:qFormat/>
    <w:uiPriority w:val="0"/>
    <w:rPr>
      <w:rFonts w:hint="default" w:ascii="Calibri Light" w:hAnsi="Calibri Light" w:eastAsia="宋体" w:cs="Times New Roman"/>
      <w:b/>
      <w:bCs/>
      <w:kern w:val="2"/>
      <w:sz w:val="32"/>
      <w:szCs w:val="32"/>
    </w:rPr>
  </w:style>
  <w:style w:type="character" w:customStyle="1" w:styleId="106">
    <w:name w:val="标题 3 Char"/>
    <w:basedOn w:val="47"/>
    <w:qFormat/>
    <w:uiPriority w:val="0"/>
    <w:rPr>
      <w:b/>
      <w:bCs/>
      <w:kern w:val="2"/>
      <w:sz w:val="32"/>
      <w:szCs w:val="32"/>
    </w:rPr>
  </w:style>
  <w:style w:type="character" w:customStyle="1" w:styleId="107">
    <w:name w:val="标题 4 Char"/>
    <w:basedOn w:val="47"/>
    <w:qFormat/>
    <w:uiPriority w:val="0"/>
    <w:rPr>
      <w:rFonts w:hint="default" w:ascii="Calibri Light" w:hAnsi="Calibri Light" w:eastAsia="宋体" w:cs="Times New Roman"/>
      <w:b/>
      <w:bCs/>
      <w:kern w:val="2"/>
      <w:sz w:val="28"/>
      <w:szCs w:val="28"/>
    </w:rPr>
  </w:style>
  <w:style w:type="character" w:customStyle="1" w:styleId="108">
    <w:name w:val="标题 5 Char"/>
    <w:basedOn w:val="47"/>
    <w:qFormat/>
    <w:uiPriority w:val="0"/>
    <w:rPr>
      <w:b/>
      <w:bCs/>
      <w:kern w:val="2"/>
      <w:sz w:val="28"/>
      <w:szCs w:val="28"/>
    </w:rPr>
  </w:style>
  <w:style w:type="character" w:customStyle="1" w:styleId="109">
    <w:name w:val="标题 7 Char"/>
    <w:basedOn w:val="47"/>
    <w:qFormat/>
    <w:uiPriority w:val="0"/>
    <w:rPr>
      <w:b/>
      <w:bCs/>
      <w:kern w:val="2"/>
      <w:sz w:val="24"/>
      <w:szCs w:val="24"/>
    </w:rPr>
  </w:style>
  <w:style w:type="character" w:customStyle="1" w:styleId="110">
    <w:name w:val="表头 Char"/>
    <w:basedOn w:val="47"/>
    <w:link w:val="111"/>
    <w:qFormat/>
    <w:uiPriority w:val="0"/>
    <w:rPr>
      <w:rFonts w:hint="eastAsia" w:ascii="黑体" w:hAnsi="宋体" w:eastAsia="黑体" w:cs="黑体"/>
      <w:spacing w:val="-10"/>
      <w:sz w:val="21"/>
      <w:szCs w:val="21"/>
    </w:rPr>
  </w:style>
  <w:style w:type="paragraph" w:customStyle="1" w:styleId="111">
    <w:name w:val="表头"/>
    <w:basedOn w:val="1"/>
    <w:link w:val="110"/>
    <w:qFormat/>
    <w:uiPriority w:val="0"/>
    <w:pPr>
      <w:tabs>
        <w:tab w:val="left" w:pos="5040"/>
      </w:tabs>
      <w:adjustRightInd w:val="0"/>
      <w:spacing w:line="320" w:lineRule="atLeast"/>
      <w:ind w:left="-239" w:leftChars="-114" w:firstLine="228" w:firstLineChars="228"/>
      <w:jc w:val="center"/>
      <w:textAlignment w:val="baseline"/>
    </w:pPr>
    <w:rPr>
      <w:rFonts w:hint="eastAsia" w:ascii="黑体" w:hAnsi="宋体" w:eastAsia="黑体" w:cs="黑体"/>
      <w:spacing w:val="-10"/>
      <w:kern w:val="0"/>
      <w:szCs w:val="21"/>
    </w:rPr>
  </w:style>
  <w:style w:type="character" w:customStyle="1" w:styleId="112">
    <w:name w:val="标题 9 Char"/>
    <w:basedOn w:val="47"/>
    <w:qFormat/>
    <w:uiPriority w:val="0"/>
    <w:rPr>
      <w:rFonts w:hint="default" w:ascii="Calibri Light" w:hAnsi="Calibri Light" w:eastAsia="宋体" w:cs="Times New Roman"/>
      <w:kern w:val="2"/>
      <w:sz w:val="21"/>
      <w:szCs w:val="21"/>
    </w:rPr>
  </w:style>
  <w:style w:type="character" w:customStyle="1" w:styleId="113">
    <w:name w:val="页脚 Char2"/>
    <w:basedOn w:val="47"/>
    <w:link w:val="31"/>
    <w:qFormat/>
    <w:uiPriority w:val="0"/>
    <w:rPr>
      <w:sz w:val="18"/>
    </w:rPr>
  </w:style>
  <w:style w:type="character" w:customStyle="1" w:styleId="114">
    <w:name w:val="5.表图标题 字符"/>
    <w:basedOn w:val="47"/>
    <w:link w:val="115"/>
    <w:qFormat/>
    <w:uiPriority w:val="0"/>
    <w:rPr>
      <w:b/>
      <w:kern w:val="2"/>
      <w:sz w:val="21"/>
      <w:szCs w:val="22"/>
    </w:rPr>
  </w:style>
  <w:style w:type="paragraph" w:customStyle="1" w:styleId="115">
    <w:name w:val="5.表图标题"/>
    <w:next w:val="1"/>
    <w:link w:val="114"/>
    <w:qFormat/>
    <w:uiPriority w:val="0"/>
    <w:pPr>
      <w:widowControl w:val="0"/>
      <w:jc w:val="center"/>
    </w:pPr>
    <w:rPr>
      <w:rFonts w:ascii="Times New Roman" w:hAnsi="Times New Roman" w:eastAsia="宋体" w:cs="Times New Roman"/>
      <w:b/>
      <w:kern w:val="2"/>
      <w:sz w:val="21"/>
      <w:szCs w:val="22"/>
      <w:lang w:val="en-US" w:eastAsia="zh-CN" w:bidi="ar-SA"/>
    </w:rPr>
  </w:style>
  <w:style w:type="character" w:customStyle="1" w:styleId="116">
    <w:name w:val="页脚 Char"/>
    <w:basedOn w:val="47"/>
    <w:qFormat/>
    <w:uiPriority w:val="0"/>
    <w:rPr>
      <w:kern w:val="2"/>
      <w:sz w:val="18"/>
      <w:szCs w:val="18"/>
    </w:rPr>
  </w:style>
  <w:style w:type="character" w:customStyle="1" w:styleId="117">
    <w:name w:val="正文文本缩进 Char1"/>
    <w:basedOn w:val="47"/>
    <w:link w:val="14"/>
    <w:qFormat/>
    <w:uiPriority w:val="0"/>
    <w:rPr>
      <w:sz w:val="24"/>
    </w:rPr>
  </w:style>
  <w:style w:type="character" w:customStyle="1" w:styleId="118">
    <w:name w:val="日期 Char1"/>
    <w:basedOn w:val="47"/>
    <w:link w:val="28"/>
    <w:qFormat/>
    <w:uiPriority w:val="0"/>
    <w:rPr>
      <w:sz w:val="24"/>
    </w:rPr>
  </w:style>
  <w:style w:type="character" w:customStyle="1" w:styleId="119">
    <w:name w:val="日期 Char"/>
    <w:basedOn w:val="47"/>
    <w:qFormat/>
    <w:uiPriority w:val="0"/>
    <w:rPr>
      <w:kern w:val="2"/>
      <w:sz w:val="24"/>
      <w:szCs w:val="24"/>
    </w:rPr>
  </w:style>
  <w:style w:type="character" w:customStyle="1" w:styleId="120">
    <w:name w:val="未处理的提及1"/>
    <w:basedOn w:val="47"/>
    <w:qFormat/>
    <w:uiPriority w:val="99"/>
    <w:rPr>
      <w:color w:val="605E5C"/>
      <w:shd w:val="clear" w:color="auto" w:fill="E1DFDD"/>
    </w:rPr>
  </w:style>
  <w:style w:type="character" w:customStyle="1" w:styleId="121">
    <w:name w:val="页脚 字符"/>
    <w:basedOn w:val="47"/>
    <w:qFormat/>
    <w:uiPriority w:val="99"/>
  </w:style>
  <w:style w:type="character" w:customStyle="1" w:styleId="122">
    <w:name w:val="普通(网站) Char"/>
    <w:basedOn w:val="47"/>
    <w:link w:val="39"/>
    <w:qFormat/>
    <w:uiPriority w:val="0"/>
    <w:rPr>
      <w:rFonts w:hint="eastAsia" w:ascii="宋体" w:hAnsi="宋体" w:eastAsia="宋体" w:cs="宋体"/>
      <w:sz w:val="24"/>
    </w:rPr>
  </w:style>
  <w:style w:type="character" w:customStyle="1" w:styleId="123">
    <w:name w:val="正文文本 字符1"/>
    <w:basedOn w:val="47"/>
    <w:qFormat/>
    <w:uiPriority w:val="0"/>
    <w:rPr>
      <w:rFonts w:hint="default" w:ascii="Times New Roman" w:hAnsi="Times New Roman" w:eastAsia="宋体" w:cs="Times New Roman"/>
      <w:sz w:val="24"/>
    </w:rPr>
  </w:style>
  <w:style w:type="character" w:customStyle="1" w:styleId="124">
    <w:name w:val="正文文本 Char"/>
    <w:basedOn w:val="47"/>
    <w:qFormat/>
    <w:uiPriority w:val="0"/>
    <w:rPr>
      <w:kern w:val="2"/>
      <w:sz w:val="24"/>
      <w:szCs w:val="24"/>
    </w:rPr>
  </w:style>
  <w:style w:type="character" w:customStyle="1" w:styleId="125">
    <w:name w:val="表格 Char"/>
    <w:basedOn w:val="47"/>
    <w:link w:val="126"/>
    <w:qFormat/>
    <w:uiPriority w:val="0"/>
    <w:rPr>
      <w:rFonts w:hint="eastAsia" w:ascii="宋体" w:hAnsi="宋体" w:eastAsia="宋体" w:cs="宋体"/>
      <w:sz w:val="21"/>
    </w:rPr>
  </w:style>
  <w:style w:type="paragraph" w:customStyle="1" w:styleId="126">
    <w:name w:val="表格"/>
    <w:basedOn w:val="17"/>
    <w:next w:val="1"/>
    <w:link w:val="125"/>
    <w:qFormat/>
    <w:uiPriority w:val="0"/>
    <w:pPr>
      <w:adjustRightInd w:val="0"/>
      <w:snapToGrid w:val="0"/>
      <w:spacing w:beforeLines="10" w:afterLines="10" w:line="259" w:lineRule="auto"/>
      <w:jc w:val="center"/>
    </w:pPr>
    <w:rPr>
      <w:rFonts w:hint="eastAsia" w:ascii="宋体" w:hAnsi="宋体" w:eastAsia="宋体" w:cs="宋体"/>
      <w:kern w:val="0"/>
      <w:szCs w:val="20"/>
    </w:rPr>
  </w:style>
  <w:style w:type="character" w:customStyle="1" w:styleId="127">
    <w:name w:val="日期 字符"/>
    <w:basedOn w:val="47"/>
    <w:qFormat/>
    <w:uiPriority w:val="0"/>
    <w:rPr>
      <w:rFonts w:hint="default" w:ascii="Times New Roman" w:hAnsi="Times New Roman" w:eastAsia="宋体" w:cs="Times New Roman"/>
      <w:sz w:val="24"/>
    </w:rPr>
  </w:style>
  <w:style w:type="character" w:customStyle="1" w:styleId="128">
    <w:name w:val="批注框文本 Char"/>
    <w:basedOn w:val="47"/>
    <w:qFormat/>
    <w:uiPriority w:val="0"/>
    <w:rPr>
      <w:kern w:val="2"/>
      <w:sz w:val="18"/>
      <w:szCs w:val="18"/>
    </w:rPr>
  </w:style>
  <w:style w:type="character" w:customStyle="1" w:styleId="129">
    <w:name w:val="批注主题 Char1"/>
    <w:basedOn w:val="47"/>
    <w:link w:val="42"/>
    <w:qFormat/>
    <w:uiPriority w:val="0"/>
    <w:rPr>
      <w:b/>
      <w:kern w:val="2"/>
      <w:sz w:val="24"/>
    </w:rPr>
  </w:style>
  <w:style w:type="character" w:customStyle="1" w:styleId="130">
    <w:name w:val="批注主题 Char"/>
    <w:qFormat/>
    <w:uiPriority w:val="0"/>
    <w:rPr>
      <w:b/>
      <w:bCs/>
      <w:kern w:val="2"/>
      <w:sz w:val="24"/>
      <w:szCs w:val="24"/>
    </w:rPr>
  </w:style>
  <w:style w:type="character" w:customStyle="1" w:styleId="131">
    <w:name w:val="页眉 Char"/>
    <w:basedOn w:val="47"/>
    <w:qFormat/>
    <w:uiPriority w:val="0"/>
    <w:rPr>
      <w:kern w:val="2"/>
      <w:sz w:val="18"/>
      <w:szCs w:val="18"/>
    </w:rPr>
  </w:style>
  <w:style w:type="character" w:customStyle="1" w:styleId="132">
    <w:name w:val="正文文本缩进 Char"/>
    <w:basedOn w:val="47"/>
    <w:qFormat/>
    <w:uiPriority w:val="0"/>
    <w:rPr>
      <w:kern w:val="2"/>
      <w:sz w:val="24"/>
      <w:szCs w:val="24"/>
    </w:rPr>
  </w:style>
  <w:style w:type="character" w:customStyle="1" w:styleId="133">
    <w:name w:val="表格内容 Char1"/>
    <w:basedOn w:val="47"/>
    <w:link w:val="134"/>
    <w:qFormat/>
    <w:uiPriority w:val="0"/>
    <w:rPr>
      <w:kern w:val="2"/>
      <w:sz w:val="21"/>
      <w:szCs w:val="21"/>
    </w:rPr>
  </w:style>
  <w:style w:type="paragraph" w:customStyle="1" w:styleId="134">
    <w:name w:val="表格内容"/>
    <w:basedOn w:val="1"/>
    <w:link w:val="133"/>
    <w:qFormat/>
    <w:uiPriority w:val="0"/>
    <w:pPr>
      <w:spacing w:line="360" w:lineRule="auto"/>
      <w:jc w:val="center"/>
    </w:pPr>
    <w:rPr>
      <w:rFonts w:ascii="Times New Roman" w:hAnsi="Times New Roman" w:eastAsia="宋体" w:cs="Times New Roman"/>
      <w:szCs w:val="21"/>
    </w:rPr>
  </w:style>
  <w:style w:type="character" w:customStyle="1" w:styleId="135">
    <w:name w:val="A正文 Char"/>
    <w:basedOn w:val="47"/>
    <w:qFormat/>
    <w:uiPriority w:val="0"/>
    <w:rPr>
      <w:kern w:val="2"/>
      <w:sz w:val="24"/>
      <w:szCs w:val="24"/>
      <w:lang w:val="zh-CN"/>
    </w:rPr>
  </w:style>
  <w:style w:type="character" w:customStyle="1" w:styleId="136">
    <w:name w:val="表格字体 Char"/>
    <w:basedOn w:val="47"/>
    <w:qFormat/>
    <w:uiPriority w:val="0"/>
    <w:rPr>
      <w:rFonts w:hint="default" w:ascii="Times New Roman" w:hAnsi="Times New Roman" w:eastAsia="宋体" w:cs="Times New Roman"/>
      <w:kern w:val="0"/>
      <w:szCs w:val="24"/>
    </w:rPr>
  </w:style>
  <w:style w:type="character" w:customStyle="1" w:styleId="137">
    <w:name w:val="表题 Char"/>
    <w:basedOn w:val="47"/>
    <w:qFormat/>
    <w:uiPriority w:val="0"/>
    <w:rPr>
      <w:rFonts w:hint="default" w:ascii="Times New Roman" w:hAnsi="Times New Roman" w:eastAsia="宋体" w:cs="Times New Roman"/>
      <w:b/>
      <w:bCs/>
      <w:kern w:val="0"/>
      <w:szCs w:val="21"/>
    </w:rPr>
  </w:style>
  <w:style w:type="character" w:customStyle="1" w:styleId="138">
    <w:name w:val="标题 3 Char2"/>
    <w:basedOn w:val="47"/>
    <w:link w:val="4"/>
    <w:qFormat/>
    <w:uiPriority w:val="0"/>
    <w:rPr>
      <w:b/>
      <w:bCs/>
      <w:sz w:val="24"/>
      <w:szCs w:val="26"/>
    </w:rPr>
  </w:style>
  <w:style w:type="character" w:customStyle="1" w:styleId="139">
    <w:name w:val="标题2 Char"/>
    <w:basedOn w:val="47"/>
    <w:link w:val="140"/>
    <w:qFormat/>
    <w:uiPriority w:val="0"/>
    <w:rPr>
      <w:rFonts w:hint="eastAsia" w:ascii="仿宋_GB2312" w:eastAsia="仿宋_GB2312" w:cs="仿宋_GB2312"/>
      <w:kern w:val="2"/>
      <w:sz w:val="28"/>
      <w:szCs w:val="24"/>
    </w:rPr>
  </w:style>
  <w:style w:type="paragraph" w:customStyle="1" w:styleId="140">
    <w:name w:val="缩进"/>
    <w:basedOn w:val="1"/>
    <w:link w:val="139"/>
    <w:qFormat/>
    <w:uiPriority w:val="0"/>
    <w:pPr>
      <w:autoSpaceDE w:val="0"/>
      <w:autoSpaceDN w:val="0"/>
      <w:adjustRightInd w:val="0"/>
      <w:spacing w:line="400" w:lineRule="atLeast"/>
      <w:ind w:firstLine="425"/>
      <w:textAlignment w:val="baseline"/>
    </w:pPr>
    <w:rPr>
      <w:rFonts w:hint="eastAsia" w:ascii="仿宋_GB2312" w:hAnsi="Times New Roman" w:eastAsia="仿宋_GB2312" w:cs="仿宋_GB2312"/>
      <w:sz w:val="28"/>
    </w:rPr>
  </w:style>
  <w:style w:type="character" w:customStyle="1" w:styleId="141">
    <w:name w:val="标题 9 Char1"/>
    <w:basedOn w:val="47"/>
    <w:link w:val="10"/>
    <w:qFormat/>
    <w:uiPriority w:val="0"/>
    <w:rPr>
      <w:rFonts w:hint="default" w:ascii="Cambria" w:hAnsi="Cambria" w:eastAsia="Cambria" w:cs="Cambria"/>
      <w:sz w:val="22"/>
      <w:szCs w:val="22"/>
    </w:rPr>
  </w:style>
  <w:style w:type="character" w:customStyle="1" w:styleId="142">
    <w:name w:val="标题 1 Char1"/>
    <w:basedOn w:val="47"/>
    <w:link w:val="2"/>
    <w:qFormat/>
    <w:uiPriority w:val="0"/>
    <w:rPr>
      <w:b/>
      <w:bCs/>
      <w:kern w:val="32"/>
      <w:sz w:val="36"/>
      <w:szCs w:val="32"/>
    </w:rPr>
  </w:style>
  <w:style w:type="character" w:customStyle="1" w:styleId="143">
    <w:name w:val="标题 Char1"/>
    <w:basedOn w:val="47"/>
    <w:link w:val="41"/>
    <w:qFormat/>
    <w:uiPriority w:val="0"/>
    <w:rPr>
      <w:b/>
      <w:bCs/>
      <w:kern w:val="28"/>
      <w:sz w:val="24"/>
      <w:szCs w:val="32"/>
    </w:rPr>
  </w:style>
  <w:style w:type="character" w:customStyle="1" w:styleId="144">
    <w:name w:val="标题 Char"/>
    <w:basedOn w:val="47"/>
    <w:qFormat/>
    <w:uiPriority w:val="0"/>
    <w:rPr>
      <w:rFonts w:hint="default" w:ascii="Calibri Light" w:hAnsi="Calibri Light" w:eastAsia="Calibri Light" w:cs="Times New Roman"/>
      <w:b/>
      <w:bCs/>
      <w:kern w:val="2"/>
      <w:sz w:val="32"/>
      <w:szCs w:val="32"/>
    </w:rPr>
  </w:style>
  <w:style w:type="character" w:customStyle="1" w:styleId="145">
    <w:name w:val="标题 字符1"/>
    <w:basedOn w:val="47"/>
    <w:qFormat/>
    <w:uiPriority w:val="10"/>
    <w:rPr>
      <w:rFonts w:hint="eastAsia" w:ascii="等线 Light" w:hAnsi="等线 Light" w:eastAsia="等线 Light" w:cs="Times New Roman"/>
      <w:b/>
      <w:bCs/>
      <w:kern w:val="2"/>
      <w:sz w:val="32"/>
      <w:szCs w:val="32"/>
    </w:rPr>
  </w:style>
  <w:style w:type="character" w:customStyle="1" w:styleId="146">
    <w:name w:val="附件 字符"/>
    <w:basedOn w:val="47"/>
    <w:link w:val="147"/>
    <w:qFormat/>
    <w:uiPriority w:val="0"/>
    <w:rPr>
      <w:b/>
      <w:kern w:val="2"/>
      <w:sz w:val="24"/>
      <w:szCs w:val="21"/>
    </w:rPr>
  </w:style>
  <w:style w:type="paragraph" w:customStyle="1" w:styleId="147">
    <w:name w:val="附件"/>
    <w:basedOn w:val="75"/>
    <w:link w:val="146"/>
    <w:qFormat/>
    <w:uiPriority w:val="0"/>
    <w:pPr>
      <w:spacing w:line="240" w:lineRule="auto"/>
      <w:jc w:val="both"/>
    </w:pPr>
  </w:style>
  <w:style w:type="character" w:customStyle="1" w:styleId="148">
    <w:name w:val="fontstrikethrough"/>
    <w:basedOn w:val="47"/>
    <w:qFormat/>
    <w:uiPriority w:val="0"/>
    <w:rPr>
      <w:rFonts w:hint="default" w:ascii="Verdana" w:hAnsi="Verdana" w:eastAsia="仿宋_GB2312" w:cs="Verdana"/>
      <w:strike/>
      <w:kern w:val="0"/>
      <w:sz w:val="24"/>
      <w:szCs w:val="20"/>
      <w:lang w:eastAsia="en-US"/>
    </w:rPr>
  </w:style>
  <w:style w:type="character" w:customStyle="1" w:styleId="149">
    <w:name w:val="font01"/>
    <w:basedOn w:val="47"/>
    <w:qFormat/>
    <w:uiPriority w:val="0"/>
    <w:rPr>
      <w:rFonts w:hint="default" w:ascii="Times New Roman" w:hAnsi="Times New Roman" w:eastAsia="仿宋_GB2312" w:cs="Times New Roman"/>
      <w:color w:val="000000"/>
      <w:kern w:val="0"/>
      <w:sz w:val="21"/>
      <w:szCs w:val="21"/>
      <w:u w:val="none"/>
      <w:lang w:eastAsia="en-US"/>
    </w:rPr>
  </w:style>
  <w:style w:type="character" w:customStyle="1" w:styleId="150">
    <w:name w:val="正文文本缩进 3 Char1"/>
    <w:basedOn w:val="47"/>
    <w:link w:val="34"/>
    <w:qFormat/>
    <w:uiPriority w:val="0"/>
    <w:rPr>
      <w:rFonts w:hint="default" w:ascii="Calibri" w:hAnsi="Calibri" w:cs="Calibri"/>
      <w:spacing w:val="20"/>
      <w:kern w:val="2"/>
      <w:sz w:val="28"/>
      <w:szCs w:val="28"/>
    </w:rPr>
  </w:style>
  <w:style w:type="character" w:customStyle="1" w:styleId="151">
    <w:name w:val="text01"/>
    <w:basedOn w:val="47"/>
    <w:qFormat/>
    <w:uiPriority w:val="0"/>
    <w:rPr>
      <w:rFonts w:hint="default" w:ascii="??" w:hAnsi="??" w:eastAsia="??" w:cs="??"/>
      <w:color w:val="333333"/>
      <w:sz w:val="18"/>
      <w:szCs w:val="18"/>
      <w:u w:val="none"/>
    </w:rPr>
  </w:style>
  <w:style w:type="character" w:customStyle="1" w:styleId="152">
    <w:name w:val="unnamed1"/>
    <w:basedOn w:val="47"/>
    <w:qFormat/>
    <w:uiPriority w:val="0"/>
    <w:rPr>
      <w:rFonts w:hint="default" w:ascii="Verdana" w:hAnsi="Verdana" w:eastAsia="仿宋_GB2312" w:cs="Verdana"/>
      <w:kern w:val="0"/>
      <w:sz w:val="24"/>
      <w:szCs w:val="20"/>
      <w:lang w:eastAsia="en-US"/>
    </w:rPr>
  </w:style>
  <w:style w:type="character" w:customStyle="1" w:styleId="153">
    <w:name w:val="Plain Text Char1 Char"/>
    <w:basedOn w:val="47"/>
    <w:qFormat/>
    <w:uiPriority w:val="0"/>
    <w:rPr>
      <w:rFonts w:hint="eastAsia" w:ascii="楷体_GB2312" w:eastAsia="楷体_GB2312" w:cs="楷体_GB2312"/>
      <w:kern w:val="2"/>
      <w:sz w:val="28"/>
      <w:szCs w:val="28"/>
      <w:lang w:val="en-US" w:eastAsia="zh-CN" w:bidi="ar"/>
    </w:rPr>
  </w:style>
  <w:style w:type="character" w:customStyle="1" w:styleId="154">
    <w:name w:val="纯文本 Char"/>
    <w:basedOn w:val="47"/>
    <w:qFormat/>
    <w:uiPriority w:val="0"/>
    <w:rPr>
      <w:rFonts w:hint="eastAsia" w:ascii="楷体_GB2312" w:eastAsia="楷体_GB2312" w:cs="楷体_GB2312"/>
      <w:kern w:val="2"/>
      <w:sz w:val="28"/>
      <w:szCs w:val="28"/>
      <w:lang w:val="en-US" w:eastAsia="zh-CN" w:bidi="ar"/>
    </w:rPr>
  </w:style>
  <w:style w:type="character" w:customStyle="1" w:styleId="155">
    <w:name w:val="标题 3 Char1"/>
    <w:basedOn w:val="47"/>
    <w:qFormat/>
    <w:uiPriority w:val="0"/>
    <w:rPr>
      <w:rFonts w:hint="eastAsia" w:ascii="楷体_GB2312" w:eastAsia="楷体_GB2312" w:cs="楷体_GB2312"/>
      <w:b/>
      <w:bCs/>
      <w:kern w:val="2"/>
      <w:sz w:val="28"/>
      <w:szCs w:val="32"/>
      <w:lang w:val="en-US" w:eastAsia="zh-CN" w:bidi="ar"/>
    </w:rPr>
  </w:style>
  <w:style w:type="character" w:customStyle="1" w:styleId="156">
    <w:name w:val="正文缩进 Char"/>
    <w:basedOn w:val="47"/>
    <w:qFormat/>
    <w:uiPriority w:val="0"/>
    <w:rPr>
      <w:rFonts w:hint="eastAsia" w:ascii="宋体" w:hAnsi="宋体" w:eastAsia="宋体" w:cs="宋体"/>
      <w:kern w:val="2"/>
      <w:sz w:val="28"/>
      <w:szCs w:val="28"/>
      <w:lang w:val="en-US" w:eastAsia="zh-CN"/>
    </w:rPr>
  </w:style>
  <w:style w:type="character" w:customStyle="1" w:styleId="157">
    <w:name w:val="font31"/>
    <w:basedOn w:val="47"/>
    <w:qFormat/>
    <w:uiPriority w:val="0"/>
    <w:rPr>
      <w:rFonts w:hint="eastAsia" w:ascii="宋体" w:hAnsi="宋体" w:eastAsia="宋体" w:cs="宋体"/>
      <w:color w:val="000000"/>
      <w:kern w:val="0"/>
      <w:sz w:val="22"/>
      <w:szCs w:val="22"/>
      <w:u w:val="none"/>
      <w:lang w:eastAsia="en-US"/>
    </w:rPr>
  </w:style>
  <w:style w:type="character" w:customStyle="1" w:styleId="158">
    <w:name w:val="无间隔 Char"/>
    <w:basedOn w:val="47"/>
    <w:link w:val="159"/>
    <w:qFormat/>
    <w:uiPriority w:val="0"/>
    <w:rPr>
      <w:kern w:val="2"/>
      <w:sz w:val="21"/>
      <w:szCs w:val="22"/>
    </w:rPr>
  </w:style>
  <w:style w:type="paragraph" w:styleId="159">
    <w:name w:val="No Spacing"/>
    <w:link w:val="158"/>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60">
    <w:name w:val="font21"/>
    <w:basedOn w:val="47"/>
    <w:qFormat/>
    <w:uiPriority w:val="0"/>
    <w:rPr>
      <w:rFonts w:hint="eastAsia" w:ascii="宋体" w:hAnsi="宋体" w:eastAsia="宋体" w:cs="宋体"/>
      <w:color w:val="000000"/>
      <w:kern w:val="0"/>
      <w:sz w:val="21"/>
      <w:szCs w:val="21"/>
      <w:u w:val="none"/>
      <w:lang w:eastAsia="en-US"/>
    </w:rPr>
  </w:style>
  <w:style w:type="character" w:customStyle="1" w:styleId="161">
    <w:name w:val="6.表格正文 字符"/>
    <w:basedOn w:val="47"/>
    <w:link w:val="162"/>
    <w:qFormat/>
    <w:uiPriority w:val="0"/>
    <w:rPr>
      <w:kern w:val="2"/>
      <w:sz w:val="21"/>
      <w:szCs w:val="22"/>
    </w:rPr>
  </w:style>
  <w:style w:type="paragraph" w:customStyle="1" w:styleId="162">
    <w:name w:val="6.表格正文"/>
    <w:next w:val="1"/>
    <w:link w:val="16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63">
    <w:name w:val="正文缩进：2字符 Char"/>
    <w:basedOn w:val="47"/>
    <w:link w:val="164"/>
    <w:qFormat/>
    <w:uiPriority w:val="0"/>
    <w:rPr>
      <w:rFonts w:hint="eastAsia" w:ascii="宋体" w:hAnsi="宋体" w:eastAsia="宋体" w:cs="宋体"/>
      <w:kern w:val="2"/>
      <w:sz w:val="28"/>
    </w:rPr>
  </w:style>
  <w:style w:type="paragraph" w:customStyle="1" w:styleId="164">
    <w:name w:val="正文缩进：2字符"/>
    <w:basedOn w:val="1"/>
    <w:link w:val="163"/>
    <w:qFormat/>
    <w:uiPriority w:val="0"/>
    <w:pPr>
      <w:spacing w:line="360" w:lineRule="auto"/>
      <w:ind w:firstLine="560" w:firstLineChars="200"/>
    </w:pPr>
    <w:rPr>
      <w:rFonts w:hint="eastAsia" w:ascii="宋体" w:hAnsi="宋体" w:eastAsia="宋体" w:cs="宋体"/>
      <w:sz w:val="28"/>
      <w:szCs w:val="20"/>
    </w:rPr>
  </w:style>
  <w:style w:type="character" w:customStyle="1" w:styleId="165">
    <w:name w:val="正文文本首行缩进 字符"/>
    <w:basedOn w:val="47"/>
    <w:link w:val="166"/>
    <w:qFormat/>
    <w:uiPriority w:val="0"/>
    <w:rPr>
      <w:rFonts w:ascii="Calibri" w:hAnsi="Calibri" w:eastAsia="楷体_GB2312" w:cs="Calibri"/>
      <w:sz w:val="21"/>
      <w:szCs w:val="21"/>
    </w:rPr>
  </w:style>
  <w:style w:type="paragraph" w:customStyle="1" w:styleId="166">
    <w:name w:val="_Style 176"/>
    <w:basedOn w:val="1"/>
    <w:next w:val="1"/>
    <w:link w:val="165"/>
    <w:qFormat/>
    <w:uiPriority w:val="0"/>
    <w:pPr>
      <w:ind w:left="1680"/>
      <w:jc w:val="left"/>
    </w:pPr>
    <w:rPr>
      <w:rFonts w:ascii="Calibri" w:hAnsi="Calibri" w:eastAsia="楷体_GB2312" w:cs="Calibri"/>
      <w:kern w:val="0"/>
      <w:szCs w:val="21"/>
    </w:rPr>
  </w:style>
  <w:style w:type="character" w:customStyle="1" w:styleId="167">
    <w:name w:val="zw1"/>
    <w:basedOn w:val="47"/>
    <w:qFormat/>
    <w:uiPriority w:val="0"/>
    <w:rPr>
      <w:rFonts w:ascii="mso-ascii-font-family :" w:hAnsi="_x000B__x000C_" w:eastAsia="mso-ascii-font-family :" w:cs="_x000B__x000C_"/>
      <w:color w:val="auto"/>
      <w:spacing w:val="375"/>
      <w:sz w:val="18"/>
      <w:szCs w:val="18"/>
    </w:rPr>
  </w:style>
  <w:style w:type="character" w:customStyle="1" w:styleId="168">
    <w:name w:val="indetail1"/>
    <w:basedOn w:val="47"/>
    <w:qFormat/>
    <w:uiPriority w:val="0"/>
    <w:rPr>
      <w:spacing w:val="0"/>
      <w:sz w:val="18"/>
      <w:szCs w:val="18"/>
      <w:bdr w:val="single" w:color="auto" w:sz="6" w:space="0"/>
    </w:rPr>
  </w:style>
  <w:style w:type="character" w:customStyle="1" w:styleId="169">
    <w:name w:val="font11"/>
    <w:basedOn w:val="47"/>
    <w:qFormat/>
    <w:uiPriority w:val="0"/>
    <w:rPr>
      <w:rFonts w:hint="eastAsia" w:ascii="宋体" w:hAnsi="宋体" w:eastAsia="宋体" w:cs="宋体"/>
      <w:color w:val="000000"/>
      <w:kern w:val="0"/>
      <w:sz w:val="21"/>
      <w:szCs w:val="21"/>
      <w:u w:val="none"/>
      <w:lang w:eastAsia="en-US"/>
    </w:rPr>
  </w:style>
  <w:style w:type="character" w:customStyle="1" w:styleId="170">
    <w:name w:val="纯文本 Char2"/>
    <w:basedOn w:val="47"/>
    <w:link w:val="27"/>
    <w:qFormat/>
    <w:uiPriority w:val="0"/>
    <w:rPr>
      <w:rFonts w:hint="eastAsia" w:ascii="楷体_GB2312" w:eastAsia="楷体_GB2312" w:cs="楷体_GB2312"/>
      <w:kern w:val="2"/>
      <w:sz w:val="28"/>
      <w:szCs w:val="28"/>
    </w:rPr>
  </w:style>
  <w:style w:type="character" w:customStyle="1" w:styleId="171">
    <w:name w:val="表内 Char"/>
    <w:basedOn w:val="47"/>
    <w:link w:val="172"/>
    <w:qFormat/>
    <w:uiPriority w:val="0"/>
    <w:rPr>
      <w:sz w:val="21"/>
      <w:szCs w:val="21"/>
    </w:rPr>
  </w:style>
  <w:style w:type="paragraph" w:customStyle="1" w:styleId="172">
    <w:name w:val="表内"/>
    <w:basedOn w:val="1"/>
    <w:link w:val="171"/>
    <w:qFormat/>
    <w:uiPriority w:val="0"/>
    <w:pPr>
      <w:jc w:val="center"/>
    </w:pPr>
    <w:rPr>
      <w:rFonts w:ascii="Times New Roman" w:hAnsi="Times New Roman" w:eastAsia="宋体" w:cs="Times New Roman"/>
      <w:kern w:val="0"/>
      <w:szCs w:val="21"/>
    </w:rPr>
  </w:style>
  <w:style w:type="character" w:customStyle="1" w:styleId="173">
    <w:name w:val="kuang1"/>
    <w:basedOn w:val="47"/>
    <w:qFormat/>
    <w:uiPriority w:val="0"/>
    <w:rPr>
      <w:spacing w:val="0"/>
      <w:sz w:val="18"/>
      <w:szCs w:val="18"/>
    </w:rPr>
  </w:style>
  <w:style w:type="character" w:customStyle="1" w:styleId="174">
    <w:name w:val="文档结构图 Char"/>
    <w:basedOn w:val="47"/>
    <w:qFormat/>
    <w:uiPriority w:val="0"/>
    <w:rPr>
      <w:rFonts w:hint="eastAsia" w:ascii="Microsoft YaHei UI" w:hAnsi="Microsoft YaHei UI" w:eastAsia="Microsoft YaHei UI" w:cs="Microsoft YaHei UI"/>
      <w:kern w:val="2"/>
      <w:sz w:val="18"/>
      <w:szCs w:val="18"/>
    </w:rPr>
  </w:style>
  <w:style w:type="character" w:customStyle="1" w:styleId="175">
    <w:name w:val="文档结构图 Char1"/>
    <w:basedOn w:val="47"/>
    <w:link w:val="19"/>
    <w:qFormat/>
    <w:uiPriority w:val="0"/>
    <w:rPr>
      <w:rFonts w:hint="default" w:ascii="Calibri" w:hAnsi="Calibri" w:cs="Calibri"/>
      <w:kern w:val="2"/>
      <w:sz w:val="21"/>
      <w:szCs w:val="21"/>
      <w:shd w:val="clear" w:color="auto" w:fill="000080"/>
    </w:rPr>
  </w:style>
  <w:style w:type="character" w:customStyle="1" w:styleId="176">
    <w:name w:val="HTML 预设格式 Char1"/>
    <w:basedOn w:val="47"/>
    <w:link w:val="38"/>
    <w:qFormat/>
    <w:uiPriority w:val="0"/>
    <w:rPr>
      <w:rFonts w:hint="eastAsia" w:ascii="黑体" w:hAnsi="Courier New" w:eastAsia="黑体" w:cs="黑体"/>
    </w:rPr>
  </w:style>
  <w:style w:type="character" w:customStyle="1" w:styleId="177">
    <w:name w:val="纯文本 Char1"/>
    <w:basedOn w:val="47"/>
    <w:qFormat/>
    <w:uiPriority w:val="0"/>
    <w:rPr>
      <w:rFonts w:hint="eastAsia" w:ascii="宋体" w:hAnsi="Courier New" w:eastAsia="宋体" w:cs="Courier New"/>
      <w:kern w:val="2"/>
      <w:sz w:val="21"/>
      <w:szCs w:val="21"/>
    </w:rPr>
  </w:style>
  <w:style w:type="character" w:customStyle="1" w:styleId="178">
    <w:name w:val="正文文本缩进 2 Char"/>
    <w:basedOn w:val="47"/>
    <w:qFormat/>
    <w:uiPriority w:val="0"/>
    <w:rPr>
      <w:kern w:val="2"/>
      <w:sz w:val="24"/>
      <w:szCs w:val="24"/>
    </w:rPr>
  </w:style>
  <w:style w:type="character" w:customStyle="1" w:styleId="179">
    <w:name w:val="正文文本 2 Char1"/>
    <w:basedOn w:val="47"/>
    <w:link w:val="37"/>
    <w:qFormat/>
    <w:uiPriority w:val="0"/>
    <w:rPr>
      <w:rFonts w:hint="default" w:ascii="Calibri" w:hAnsi="Calibri" w:cs="Calibri"/>
      <w:kern w:val="2"/>
      <w:sz w:val="21"/>
      <w:szCs w:val="21"/>
    </w:rPr>
  </w:style>
  <w:style w:type="character" w:customStyle="1" w:styleId="180">
    <w:name w:val="正文文本缩进 3 Char"/>
    <w:basedOn w:val="47"/>
    <w:qFormat/>
    <w:uiPriority w:val="0"/>
    <w:rPr>
      <w:kern w:val="2"/>
      <w:sz w:val="16"/>
      <w:szCs w:val="16"/>
    </w:rPr>
  </w:style>
  <w:style w:type="character" w:customStyle="1" w:styleId="181">
    <w:name w:val="正文文本 字符2"/>
    <w:basedOn w:val="47"/>
    <w:qFormat/>
    <w:uiPriority w:val="99"/>
    <w:rPr>
      <w:rFonts w:hint="default" w:ascii="Times New Roman" w:hAnsi="Times New Roman" w:eastAsia="宋体" w:cs="Times New Roman"/>
      <w:sz w:val="24"/>
      <w:szCs w:val="24"/>
    </w:rPr>
  </w:style>
  <w:style w:type="character" w:customStyle="1" w:styleId="182">
    <w:name w:val="批注主题 字符1"/>
    <w:basedOn w:val="47"/>
    <w:qFormat/>
    <w:uiPriority w:val="99"/>
    <w:rPr>
      <w:rFonts w:hint="default" w:ascii="Times New Roman" w:hAnsi="Times New Roman" w:eastAsia="宋体" w:cs="Times New Roman"/>
      <w:b/>
      <w:bCs/>
      <w:sz w:val="24"/>
      <w:szCs w:val="24"/>
    </w:rPr>
  </w:style>
  <w:style w:type="character" w:customStyle="1" w:styleId="183">
    <w:name w:val="正文文本缩进 字符1"/>
    <w:basedOn w:val="47"/>
    <w:qFormat/>
    <w:uiPriority w:val="99"/>
    <w:rPr>
      <w:rFonts w:hint="default" w:ascii="Times New Roman" w:hAnsi="Times New Roman" w:eastAsia="宋体" w:cs="Times New Roman"/>
      <w:sz w:val="24"/>
      <w:szCs w:val="24"/>
    </w:rPr>
  </w:style>
  <w:style w:type="character" w:customStyle="1" w:styleId="184">
    <w:name w:val="表格表头 Char"/>
    <w:basedOn w:val="47"/>
    <w:link w:val="185"/>
    <w:qFormat/>
    <w:uiPriority w:val="0"/>
    <w:rPr>
      <w:b/>
      <w:kern w:val="2"/>
      <w:sz w:val="21"/>
      <w:szCs w:val="24"/>
      <w:lang w:val="zh-CN"/>
    </w:rPr>
  </w:style>
  <w:style w:type="paragraph" w:customStyle="1" w:styleId="185">
    <w:name w:val="表格表头"/>
    <w:basedOn w:val="9"/>
    <w:link w:val="184"/>
    <w:qFormat/>
    <w:uiPriority w:val="0"/>
    <w:pPr>
      <w:tabs>
        <w:tab w:val="left" w:pos="210"/>
      </w:tabs>
      <w:spacing w:before="0" w:after="0" w:line="240" w:lineRule="auto"/>
      <w:ind w:left="2830" w:hanging="420"/>
      <w:jc w:val="center"/>
    </w:pPr>
    <w:rPr>
      <w:rFonts w:ascii="Times New Roman" w:hAnsi="Times New Roman" w:eastAsia="宋体" w:cs="Times New Roman"/>
      <w:b/>
      <w:sz w:val="21"/>
      <w:lang w:val="zh-CN"/>
    </w:rPr>
  </w:style>
  <w:style w:type="table" w:customStyle="1" w:styleId="186">
    <w:name w:val="网格型1"/>
    <w:basedOn w:val="45"/>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table" w:customStyle="1" w:styleId="187">
    <w:name w:val="Table Normal"/>
    <w:basedOn w:val="45"/>
    <w:semiHidden/>
    <w:qFormat/>
    <w:uiPriority w:val="0"/>
    <w:pPr>
      <w:widowControl w:val="0"/>
      <w:autoSpaceDE w:val="0"/>
      <w:autoSpaceDN w:val="0"/>
    </w:pPr>
    <w:rPr>
      <w:rFonts w:hint="eastAsia" w:ascii="等线" w:hAnsi="等线" w:eastAsia="等线" w:cs="等线"/>
      <w:sz w:val="22"/>
      <w:szCs w:val="22"/>
      <w:lang w:eastAsia="en-US"/>
    </w:rPr>
    <w:tblPr>
      <w:tblCellMar>
        <w:left w:w="0" w:type="dxa"/>
        <w:right w:w="0" w:type="dxa"/>
      </w:tblCellMar>
    </w:tblPr>
  </w:style>
  <w:style w:type="paragraph" w:customStyle="1" w:styleId="188">
    <w:name w:val="A正文"/>
    <w:basedOn w:val="1"/>
    <w:next w:val="22"/>
    <w:qFormat/>
    <w:uiPriority w:val="0"/>
    <w:pPr>
      <w:spacing w:line="360" w:lineRule="auto"/>
      <w:ind w:firstLine="200" w:firstLineChars="200"/>
    </w:pPr>
    <w:rPr>
      <w:rFonts w:ascii="Times New Roman" w:hAnsi="Times New Roman" w:eastAsia="宋体" w:cs="Times New Roman"/>
      <w:sz w:val="24"/>
    </w:rPr>
  </w:style>
  <w:style w:type="character" w:customStyle="1" w:styleId="189">
    <w:name w:val="普通(网站) 字符"/>
    <w:qFormat/>
    <w:locked/>
    <w:uiPriority w:val="0"/>
    <w:rPr>
      <w:rFonts w:ascii="宋体" w:hAnsi="宋体" w:eastAsia="宋体"/>
      <w:sz w:val="24"/>
    </w:rPr>
  </w:style>
  <w:style w:type="paragraph" w:styleId="190">
    <w:name w:val="List Paragraph"/>
    <w:basedOn w:val="1"/>
    <w:qFormat/>
    <w:uiPriority w:val="99"/>
    <w:pPr>
      <w:ind w:firstLine="420" w:firstLineChars="200"/>
    </w:pPr>
  </w:style>
  <w:style w:type="character" w:customStyle="1" w:styleId="191">
    <w:name w:val="页脚 字符1"/>
    <w:qFormat/>
    <w:locked/>
    <w:uiPriority w:val="99"/>
    <w:rPr>
      <w:sz w:val="18"/>
    </w:rPr>
  </w:style>
  <w:style w:type="character" w:customStyle="1" w:styleId="192">
    <w:name w:val="日期 字符1"/>
    <w:qFormat/>
    <w:locked/>
    <w:uiPriority w:val="0"/>
    <w:rPr>
      <w:rFonts w:ascii="Times New Roman" w:hAnsi="Times New Roman" w:eastAsia="宋体"/>
      <w:sz w:val="24"/>
    </w:rPr>
  </w:style>
  <w:style w:type="character" w:customStyle="1" w:styleId="193">
    <w:name w:val="正文文本 字符"/>
    <w:qFormat/>
    <w:locked/>
    <w:uiPriority w:val="0"/>
    <w:rPr>
      <w:sz w:val="18"/>
    </w:rPr>
  </w:style>
  <w:style w:type="character" w:customStyle="1" w:styleId="194">
    <w:name w:val="批注文字 字符"/>
    <w:qFormat/>
    <w:locked/>
    <w:uiPriority w:val="0"/>
    <w:rPr>
      <w:rFonts w:ascii="Times New Roman" w:hAnsi="Times New Roman" w:eastAsia="宋体"/>
      <w:sz w:val="24"/>
    </w:rPr>
  </w:style>
  <w:style w:type="character" w:customStyle="1" w:styleId="195">
    <w:name w:val="批注框文本 字符"/>
    <w:semiHidden/>
    <w:qFormat/>
    <w:locked/>
    <w:uiPriority w:val="0"/>
    <w:rPr>
      <w:rFonts w:ascii="Times New Roman" w:hAnsi="Times New Roman" w:eastAsia="宋体"/>
      <w:sz w:val="18"/>
    </w:rPr>
  </w:style>
  <w:style w:type="character" w:customStyle="1" w:styleId="196">
    <w:name w:val="批注主题 字符"/>
    <w:semiHidden/>
    <w:qFormat/>
    <w:locked/>
    <w:uiPriority w:val="99"/>
    <w:rPr>
      <w:rFonts w:ascii="Times New Roman" w:hAnsi="Times New Roman" w:eastAsia="宋体"/>
      <w:b/>
      <w:kern w:val="2"/>
      <w:sz w:val="24"/>
    </w:rPr>
  </w:style>
  <w:style w:type="character" w:customStyle="1" w:styleId="197">
    <w:name w:val="页眉 字符"/>
    <w:qFormat/>
    <w:locked/>
    <w:uiPriority w:val="99"/>
    <w:rPr>
      <w:sz w:val="18"/>
    </w:rPr>
  </w:style>
  <w:style w:type="character" w:customStyle="1" w:styleId="198">
    <w:name w:val="正文文本缩进 字符"/>
    <w:qFormat/>
    <w:locked/>
    <w:uiPriority w:val="0"/>
    <w:rPr>
      <w:rFonts w:ascii="Times New Roman" w:hAnsi="Times New Roman" w:eastAsia="宋体"/>
      <w:sz w:val="24"/>
    </w:rPr>
  </w:style>
  <w:style w:type="paragraph" w:customStyle="1" w:styleId="199">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0">
    <w:name w:val="普通(网站)2"/>
    <w:basedOn w:val="1"/>
    <w:qFormat/>
    <w:uiPriority w:val="0"/>
    <w:pPr>
      <w:widowControl/>
      <w:spacing w:before="100" w:beforeAutospacing="1" w:after="100" w:afterAutospacing="1" w:line="360" w:lineRule="auto"/>
      <w:jc w:val="left"/>
    </w:pPr>
    <w:rPr>
      <w:rFonts w:ascii="宋体" w:hAnsi="宋体" w:eastAsia="宋体" w:cs="Times New Roman"/>
      <w:sz w:val="24"/>
      <w:szCs w:val="20"/>
    </w:rPr>
  </w:style>
  <w:style w:type="character" w:customStyle="1" w:styleId="201">
    <w:name w:val="标题 8 字符"/>
    <w:qFormat/>
    <w:uiPriority w:val="0"/>
    <w:rPr>
      <w:rFonts w:ascii="等线 Light" w:hAnsi="等线 Light" w:eastAsia="等线 Light" w:cs="Times New Roman"/>
      <w:kern w:val="2"/>
      <w:sz w:val="24"/>
      <w:szCs w:val="24"/>
    </w:rPr>
  </w:style>
  <w:style w:type="character" w:customStyle="1" w:styleId="202">
    <w:name w:val="正文缩进 字符"/>
    <w:qFormat/>
    <w:uiPriority w:val="0"/>
    <w:rPr>
      <w:kern w:val="2"/>
      <w:sz w:val="21"/>
      <w:szCs w:val="24"/>
    </w:rPr>
  </w:style>
  <w:style w:type="character" w:customStyle="1" w:styleId="203">
    <w:name w:val="标题 2 字符"/>
    <w:qFormat/>
    <w:uiPriority w:val="9"/>
    <w:rPr>
      <w:b/>
      <w:bCs/>
      <w:iCs/>
      <w:sz w:val="30"/>
      <w:szCs w:val="28"/>
    </w:rPr>
  </w:style>
  <w:style w:type="character" w:customStyle="1" w:styleId="204">
    <w:name w:val="标题 3 字符"/>
    <w:qFormat/>
    <w:uiPriority w:val="9"/>
    <w:rPr>
      <w:b/>
      <w:bCs/>
      <w:sz w:val="24"/>
      <w:szCs w:val="26"/>
    </w:rPr>
  </w:style>
  <w:style w:type="character" w:customStyle="1" w:styleId="205">
    <w:name w:val="标题 4 字符"/>
    <w:qFormat/>
    <w:uiPriority w:val="9"/>
    <w:rPr>
      <w:bCs/>
      <w:sz w:val="24"/>
      <w:szCs w:val="28"/>
    </w:rPr>
  </w:style>
  <w:style w:type="character" w:customStyle="1" w:styleId="206">
    <w:name w:val="标题 5 字符"/>
    <w:qFormat/>
    <w:uiPriority w:val="0"/>
    <w:rPr>
      <w:bCs/>
      <w:iCs/>
      <w:sz w:val="24"/>
      <w:szCs w:val="26"/>
    </w:rPr>
  </w:style>
  <w:style w:type="character" w:customStyle="1" w:styleId="207">
    <w:name w:val="标题 6 字符"/>
    <w:qFormat/>
    <w:uiPriority w:val="0"/>
    <w:rPr>
      <w:b/>
      <w:bCs/>
      <w:sz w:val="22"/>
      <w:szCs w:val="22"/>
    </w:rPr>
  </w:style>
  <w:style w:type="character" w:customStyle="1" w:styleId="208">
    <w:name w:val="标题 7 字符"/>
    <w:qFormat/>
    <w:uiPriority w:val="0"/>
    <w:rPr>
      <w:sz w:val="24"/>
      <w:szCs w:val="24"/>
    </w:rPr>
  </w:style>
  <w:style w:type="character" w:customStyle="1" w:styleId="209">
    <w:name w:val="标题 9 字符"/>
    <w:qFormat/>
    <w:uiPriority w:val="0"/>
    <w:rPr>
      <w:rFonts w:ascii="Cambria" w:hAnsi="Cambria"/>
      <w:sz w:val="22"/>
      <w:szCs w:val="22"/>
    </w:rPr>
  </w:style>
  <w:style w:type="character" w:customStyle="1" w:styleId="210">
    <w:name w:val="标题 1 字符"/>
    <w:qFormat/>
    <w:uiPriority w:val="9"/>
    <w:rPr>
      <w:b/>
      <w:bCs/>
      <w:kern w:val="32"/>
      <w:sz w:val="36"/>
      <w:szCs w:val="32"/>
    </w:rPr>
  </w:style>
  <w:style w:type="character" w:customStyle="1" w:styleId="211">
    <w:name w:val="标题 字符"/>
    <w:qFormat/>
    <w:uiPriority w:val="10"/>
    <w:rPr>
      <w:b/>
      <w:bCs/>
      <w:kern w:val="28"/>
      <w:sz w:val="24"/>
      <w:szCs w:val="32"/>
    </w:rPr>
  </w:style>
  <w:style w:type="paragraph" w:customStyle="1" w:styleId="212">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13">
    <w:name w:val="font5"/>
    <w:basedOn w:val="1"/>
    <w:qFormat/>
    <w:uiPriority w:val="0"/>
    <w:pPr>
      <w:widowControl/>
      <w:spacing w:before="100" w:beforeAutospacing="1" w:after="100" w:afterAutospacing="1"/>
      <w:jc w:val="left"/>
    </w:pPr>
    <w:rPr>
      <w:rFonts w:ascii="Times New Roman" w:hAnsi="Times New Roman" w:eastAsia="宋体" w:cs="Times New Roman"/>
      <w:color w:val="000000"/>
      <w:kern w:val="0"/>
      <w:szCs w:val="21"/>
    </w:rPr>
  </w:style>
  <w:style w:type="paragraph" w:customStyle="1" w:styleId="214">
    <w:name w:val="font6"/>
    <w:basedOn w:val="1"/>
    <w:next w:val="36"/>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215">
    <w:name w:val="font7"/>
    <w:basedOn w:val="1"/>
    <w:qFormat/>
    <w:uiPriority w:val="0"/>
    <w:pPr>
      <w:widowControl/>
      <w:spacing w:before="100" w:beforeAutospacing="1" w:after="100" w:afterAutospacing="1"/>
      <w:jc w:val="left"/>
    </w:pPr>
    <w:rPr>
      <w:rFonts w:ascii="宋体" w:hAnsi="宋体" w:eastAsia="宋体" w:cs="宋体"/>
      <w:color w:val="000000"/>
      <w:kern w:val="0"/>
      <w:szCs w:val="21"/>
    </w:rPr>
  </w:style>
  <w:style w:type="paragraph" w:customStyle="1" w:styleId="216">
    <w:name w:val="font8"/>
    <w:basedOn w:val="1"/>
    <w:qFormat/>
    <w:uiPriority w:val="0"/>
    <w:pPr>
      <w:widowControl/>
      <w:spacing w:before="100" w:beforeAutospacing="1" w:after="100" w:afterAutospacing="1"/>
      <w:jc w:val="left"/>
    </w:pPr>
    <w:rPr>
      <w:rFonts w:ascii="Times New Roman" w:hAnsi="Times New Roman" w:eastAsia="宋体" w:cs="Times New Roman"/>
      <w:color w:val="000000"/>
      <w:kern w:val="0"/>
      <w:szCs w:val="21"/>
    </w:rPr>
  </w:style>
  <w:style w:type="paragraph" w:customStyle="1" w:styleId="217">
    <w:name w:val="font9"/>
    <w:basedOn w:val="1"/>
    <w:qFormat/>
    <w:uiPriority w:val="0"/>
    <w:pPr>
      <w:widowControl/>
      <w:spacing w:before="100" w:beforeAutospacing="1" w:after="100" w:afterAutospacing="1"/>
      <w:jc w:val="left"/>
    </w:pPr>
    <w:rPr>
      <w:rFonts w:ascii="Times New Roman" w:hAnsi="Times New Roman" w:eastAsia="宋体" w:cs="Times New Roman"/>
      <w:color w:val="000000"/>
      <w:kern w:val="0"/>
      <w:szCs w:val="21"/>
    </w:rPr>
  </w:style>
  <w:style w:type="paragraph" w:customStyle="1" w:styleId="218">
    <w:name w:val="xl63"/>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eastAsia="宋体" w:cs="宋体"/>
      <w:kern w:val="0"/>
      <w:szCs w:val="21"/>
    </w:rPr>
  </w:style>
  <w:style w:type="paragraph" w:customStyle="1" w:styleId="219">
    <w:name w:val="xl64"/>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20">
    <w:name w:val="xl65"/>
    <w:basedOn w:val="1"/>
    <w:qFormat/>
    <w:uiPriority w:val="0"/>
    <w:pPr>
      <w:widowControl/>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21">
    <w:name w:val="xl66"/>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eastAsia="宋体" w:cs="宋体"/>
      <w:kern w:val="0"/>
      <w:szCs w:val="21"/>
    </w:rPr>
  </w:style>
  <w:style w:type="paragraph" w:customStyle="1" w:styleId="222">
    <w:name w:val="xl67"/>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eastAsia="宋体" w:cs="宋体"/>
      <w:kern w:val="0"/>
      <w:szCs w:val="21"/>
    </w:rPr>
  </w:style>
  <w:style w:type="paragraph" w:customStyle="1" w:styleId="223">
    <w:name w:val="xl68"/>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textAlignment w:val="center"/>
    </w:pPr>
    <w:rPr>
      <w:rFonts w:ascii="宋体" w:hAnsi="宋体" w:eastAsia="宋体" w:cs="宋体"/>
      <w:kern w:val="0"/>
      <w:szCs w:val="21"/>
    </w:rPr>
  </w:style>
  <w:style w:type="paragraph" w:customStyle="1" w:styleId="224">
    <w:name w:val="xl69"/>
    <w:basedOn w:val="1"/>
    <w:qFormat/>
    <w:uiPriority w:val="0"/>
    <w:pPr>
      <w:widowControl/>
      <w:pBdr>
        <w:top w:val="single" w:color="000000" w:sz="8" w:space="0"/>
        <w:bottom w:val="single" w:color="000000" w:sz="8" w:space="0"/>
      </w:pBdr>
      <w:spacing w:before="100" w:beforeAutospacing="1" w:after="100" w:afterAutospacing="1"/>
      <w:jc w:val="center"/>
      <w:textAlignment w:val="center"/>
    </w:pPr>
    <w:rPr>
      <w:rFonts w:ascii="宋体" w:hAnsi="宋体" w:eastAsia="宋体" w:cs="宋体"/>
      <w:kern w:val="0"/>
      <w:szCs w:val="21"/>
    </w:rPr>
  </w:style>
  <w:style w:type="paragraph" w:customStyle="1" w:styleId="225">
    <w:name w:val="xl70"/>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eastAsia="宋体" w:cs="宋体"/>
      <w:kern w:val="0"/>
      <w:szCs w:val="21"/>
    </w:rPr>
  </w:style>
  <w:style w:type="paragraph" w:customStyle="1" w:styleId="226">
    <w:name w:val="xl71"/>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27">
    <w:name w:val="xl72"/>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28">
    <w:name w:val="xl73"/>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29">
    <w:name w:val="xl74"/>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eastAsia="宋体" w:cs="宋体"/>
      <w:kern w:val="0"/>
      <w:szCs w:val="21"/>
    </w:rPr>
  </w:style>
  <w:style w:type="paragraph" w:customStyle="1" w:styleId="230">
    <w:name w:val="xl75"/>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31">
    <w:name w:val="xl76"/>
    <w:basedOn w:val="1"/>
    <w:qFormat/>
    <w:uiPriority w:val="0"/>
    <w:pPr>
      <w:widowControl/>
      <w:pBdr>
        <w:top w:val="single" w:color="000000" w:sz="8" w:space="0"/>
        <w:bottom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32">
    <w:name w:val="xl77"/>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33">
    <w:name w:val="xl78"/>
    <w:basedOn w:val="1"/>
    <w:qFormat/>
    <w:uiPriority w:val="0"/>
    <w:pPr>
      <w:widowControl/>
      <w:pBdr>
        <w:top w:val="single" w:color="000000" w:sz="8" w:space="0"/>
        <w:bottom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34">
    <w:name w:val="xl79"/>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35">
    <w:name w:val="xl80"/>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36">
    <w:name w:val="xl81"/>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paragraph" w:customStyle="1" w:styleId="237">
    <w:name w:val="xl82"/>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kern w:val="0"/>
      <w:szCs w:val="21"/>
    </w:rPr>
  </w:style>
  <w:style w:type="character" w:customStyle="1" w:styleId="238">
    <w:name w:val="纯文本 字符"/>
    <w:qFormat/>
    <w:uiPriority w:val="0"/>
    <w:rPr>
      <w:rFonts w:eastAsia="楷体_GB2312"/>
      <w:kern w:val="2"/>
      <w:sz w:val="28"/>
      <w:szCs w:val="28"/>
    </w:rPr>
  </w:style>
  <w:style w:type="character" w:customStyle="1" w:styleId="239">
    <w:name w:val="文档结构图 字符"/>
    <w:qFormat/>
    <w:uiPriority w:val="0"/>
    <w:rPr>
      <w:rFonts w:ascii="Calibri" w:hAnsi="Calibri"/>
      <w:kern w:val="2"/>
      <w:sz w:val="21"/>
      <w:szCs w:val="21"/>
      <w:shd w:val="clear" w:color="auto" w:fill="000080"/>
    </w:rPr>
  </w:style>
  <w:style w:type="character" w:customStyle="1" w:styleId="240">
    <w:name w:val="HTML 预设格式 字符"/>
    <w:qFormat/>
    <w:uiPriority w:val="0"/>
    <w:rPr>
      <w:rFonts w:ascii="黑体" w:hAnsi="Courier New" w:eastAsia="黑体"/>
    </w:rPr>
  </w:style>
  <w:style w:type="paragraph" w:customStyle="1" w:styleId="241">
    <w:name w:val="样式2"/>
    <w:basedOn w:val="33"/>
    <w:qFormat/>
    <w:uiPriority w:val="0"/>
    <w:pPr>
      <w:tabs>
        <w:tab w:val="right" w:leader="dot" w:pos="9459"/>
      </w:tabs>
      <w:adjustRightInd w:val="0"/>
      <w:spacing w:before="120" w:after="120" w:line="360" w:lineRule="atLeast"/>
      <w:jc w:val="left"/>
      <w:textAlignment w:val="baseline"/>
    </w:pPr>
    <w:rPr>
      <w:rFonts w:ascii="Times New Roman" w:hAnsi="Calibri" w:eastAsia="宋体" w:cs="Times New Roman"/>
      <w:kern w:val="0"/>
      <w:sz w:val="32"/>
      <w:szCs w:val="32"/>
    </w:rPr>
  </w:style>
  <w:style w:type="character" w:customStyle="1" w:styleId="242">
    <w:name w:val="正文文本缩进 2 字符"/>
    <w:qFormat/>
    <w:uiPriority w:val="0"/>
    <w:rPr>
      <w:rFonts w:ascii="宋体" w:hAnsi="宋体" w:cs="宋体"/>
      <w:sz w:val="28"/>
      <w:szCs w:val="28"/>
    </w:rPr>
  </w:style>
  <w:style w:type="paragraph" w:customStyle="1" w:styleId="243">
    <w:name w:val="新正文"/>
    <w:basedOn w:val="1"/>
    <w:qFormat/>
    <w:uiPriority w:val="0"/>
    <w:pPr>
      <w:spacing w:line="480" w:lineRule="exact"/>
      <w:ind w:firstLine="567"/>
    </w:pPr>
    <w:rPr>
      <w:rFonts w:ascii="仿宋_GB2312" w:hAnsi="Calibri" w:eastAsia="仿宋_GB2312" w:cs="Times New Roman"/>
      <w:bCs/>
      <w:kern w:val="0"/>
      <w:sz w:val="28"/>
      <w:szCs w:val="20"/>
    </w:rPr>
  </w:style>
  <w:style w:type="character" w:customStyle="1" w:styleId="244">
    <w:name w:val="正文文本 2 字符"/>
    <w:qFormat/>
    <w:uiPriority w:val="0"/>
    <w:rPr>
      <w:rFonts w:ascii="Calibri" w:hAnsi="Calibri"/>
      <w:kern w:val="2"/>
      <w:sz w:val="21"/>
      <w:szCs w:val="21"/>
    </w:rPr>
  </w:style>
  <w:style w:type="paragraph" w:customStyle="1" w:styleId="245">
    <w:name w:val="封面项目名称2"/>
    <w:qFormat/>
    <w:uiPriority w:val="0"/>
    <w:pPr>
      <w:jc w:val="distribute"/>
      <w:outlineLvl w:val="7"/>
    </w:pPr>
    <w:rPr>
      <w:rFonts w:ascii="Calibri" w:hAnsi="Calibri" w:eastAsia="宋体" w:cs="Times New Roman"/>
      <w:b/>
      <w:color w:val="000000"/>
      <w:spacing w:val="-60"/>
      <w:kern w:val="52"/>
      <w:sz w:val="52"/>
      <w:lang w:val="en-US" w:eastAsia="zh-CN" w:bidi="ar-SA"/>
    </w:rPr>
  </w:style>
  <w:style w:type="paragraph" w:customStyle="1" w:styleId="246">
    <w:name w:val="Char"/>
    <w:basedOn w:val="1"/>
    <w:qFormat/>
    <w:uiPriority w:val="0"/>
    <w:pPr>
      <w:spacing w:line="360" w:lineRule="auto"/>
      <w:ind w:firstLine="200" w:firstLineChars="200"/>
    </w:pPr>
    <w:rPr>
      <w:rFonts w:ascii="Calibri" w:hAnsi="Calibri" w:eastAsia="宋体" w:cs="Times New Roman"/>
      <w:sz w:val="28"/>
      <w:szCs w:val="28"/>
    </w:rPr>
  </w:style>
  <w:style w:type="paragraph" w:customStyle="1" w:styleId="247">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character" w:customStyle="1" w:styleId="248">
    <w:name w:val="正文文本缩进 3 字符"/>
    <w:qFormat/>
    <w:uiPriority w:val="0"/>
    <w:rPr>
      <w:rFonts w:ascii="Calibri" w:hAnsi="Calibri"/>
      <w:spacing w:val="20"/>
      <w:kern w:val="2"/>
      <w:sz w:val="28"/>
      <w:szCs w:val="28"/>
    </w:rPr>
  </w:style>
  <w:style w:type="paragraph" w:customStyle="1" w:styleId="249">
    <w:name w:val="封面项目名称1"/>
    <w:basedOn w:val="245"/>
    <w:next w:val="245"/>
    <w:qFormat/>
    <w:uiPriority w:val="0"/>
    <w:rPr>
      <w:snapToGrid w:val="0"/>
      <w:spacing w:val="-56"/>
      <w:kern w:val="48"/>
      <w:sz w:val="48"/>
    </w:rPr>
  </w:style>
  <w:style w:type="paragraph" w:customStyle="1" w:styleId="250">
    <w:name w:val="样式1"/>
    <w:basedOn w:val="33"/>
    <w:qFormat/>
    <w:uiPriority w:val="0"/>
    <w:pPr>
      <w:tabs>
        <w:tab w:val="right" w:leader="dot" w:pos="9459"/>
      </w:tabs>
      <w:adjustRightInd w:val="0"/>
      <w:spacing w:before="120" w:after="120" w:line="360" w:lineRule="atLeast"/>
      <w:ind w:right="376" w:rightChars="179"/>
      <w:jc w:val="left"/>
      <w:textAlignment w:val="baseline"/>
    </w:pPr>
    <w:rPr>
      <w:rFonts w:ascii="宋体" w:hAnsi="宋体" w:eastAsia="宋体" w:cs="Times New Roman"/>
      <w:b/>
      <w:kern w:val="0"/>
      <w:szCs w:val="21"/>
    </w:rPr>
  </w:style>
  <w:style w:type="paragraph" w:customStyle="1" w:styleId="251">
    <w:name w:val="xl42"/>
    <w:basedOn w:val="1"/>
    <w:qFormat/>
    <w:uiPriority w:val="0"/>
    <w:pPr>
      <w:widowControl/>
      <w:pBdr>
        <w:bottom w:val="dotted" w:color="auto" w:sz="4" w:space="0"/>
        <w:right w:val="dotted" w:color="auto" w:sz="4" w:space="0"/>
      </w:pBdr>
      <w:spacing w:before="100" w:beforeAutospacing="1" w:after="100" w:afterAutospacing="1"/>
      <w:jc w:val="center"/>
    </w:pPr>
    <w:rPr>
      <w:rFonts w:ascii="Calibri" w:hAnsi="Calibri" w:eastAsia="宋体" w:cs="Times New Roman"/>
      <w:kern w:val="0"/>
      <w:szCs w:val="21"/>
    </w:rPr>
  </w:style>
  <w:style w:type="paragraph" w:customStyle="1" w:styleId="252">
    <w:name w:val="Char1"/>
    <w:basedOn w:val="1"/>
    <w:qFormat/>
    <w:uiPriority w:val="0"/>
    <w:rPr>
      <w:rFonts w:ascii="Calibri" w:hAnsi="Calibri" w:eastAsia="宋体" w:cs="Times New Roman"/>
      <w:sz w:val="24"/>
    </w:rPr>
  </w:style>
  <w:style w:type="paragraph" w:customStyle="1" w:styleId="253">
    <w:name w:val="xl24"/>
    <w:basedOn w:val="1"/>
    <w:qFormat/>
    <w:uiPriority w:val="0"/>
    <w:pPr>
      <w:widowControl/>
      <w:spacing w:before="100" w:beforeAutospacing="1" w:after="100" w:afterAutospacing="1"/>
      <w:jc w:val="center"/>
    </w:pPr>
    <w:rPr>
      <w:rFonts w:ascii="宋体" w:hAnsi="宋体" w:eastAsia="宋体" w:cs="Times New Roman"/>
      <w:kern w:val="0"/>
      <w:sz w:val="24"/>
    </w:rPr>
  </w:style>
  <w:style w:type="paragraph" w:customStyle="1" w:styleId="254">
    <w:name w:val="申报单位样式1"/>
    <w:basedOn w:val="249"/>
    <w:qFormat/>
    <w:uiPriority w:val="0"/>
    <w:pPr>
      <w:jc w:val="center"/>
      <w:outlineLvl w:val="9"/>
    </w:pPr>
    <w:rPr>
      <w:spacing w:val="0"/>
      <w:kern w:val="32"/>
      <w:sz w:val="36"/>
    </w:rPr>
  </w:style>
  <w:style w:type="paragraph" w:customStyle="1" w:styleId="255">
    <w:name w:val="样式 楷体_GB2312 四号 加粗 行距: 固定值 28 磅"/>
    <w:basedOn w:val="1"/>
    <w:qFormat/>
    <w:uiPriority w:val="0"/>
    <w:pPr>
      <w:spacing w:before="100" w:beforeAutospacing="1" w:after="100" w:afterAutospacing="1" w:line="560" w:lineRule="exact"/>
    </w:pPr>
    <w:rPr>
      <w:rFonts w:ascii="楷体_GB2312" w:hAnsi="Calibri" w:eastAsia="楷体_GB2312" w:cs="宋体"/>
      <w:b/>
      <w:bCs/>
      <w:sz w:val="28"/>
      <w:szCs w:val="20"/>
    </w:rPr>
  </w:style>
  <w:style w:type="paragraph" w:customStyle="1" w:styleId="256">
    <w:name w:val="目录"/>
    <w:qFormat/>
    <w:uiPriority w:val="0"/>
    <w:pPr>
      <w:numPr>
        <w:ilvl w:val="0"/>
        <w:numId w:val="1"/>
      </w:numPr>
      <w:tabs>
        <w:tab w:val="left" w:pos="900"/>
      </w:tabs>
      <w:jc w:val="center"/>
      <w:outlineLvl w:val="0"/>
    </w:pPr>
    <w:rPr>
      <w:rFonts w:ascii="宋体" w:hAnsi="Calibri" w:eastAsia="宋体" w:cs="Times New Roman"/>
      <w:color w:val="FF0000"/>
      <w:sz w:val="32"/>
      <w:lang w:val="en-US" w:eastAsia="zh-CN" w:bidi="ar-SA"/>
    </w:rPr>
  </w:style>
  <w:style w:type="paragraph" w:customStyle="1" w:styleId="257">
    <w:name w:val="样式"/>
    <w:basedOn w:val="1"/>
    <w:next w:val="27"/>
    <w:qFormat/>
    <w:uiPriority w:val="0"/>
    <w:rPr>
      <w:rFonts w:ascii="Calibri" w:hAnsi="Calibri" w:eastAsia="楷体_GB2312" w:cs="Times New Roman"/>
      <w:sz w:val="28"/>
      <w:szCs w:val="28"/>
    </w:rPr>
  </w:style>
  <w:style w:type="paragraph" w:customStyle="1" w:styleId="258">
    <w:name w:val="首行缩进"/>
    <w:basedOn w:val="1"/>
    <w:qFormat/>
    <w:uiPriority w:val="0"/>
    <w:pPr>
      <w:ind w:firstLine="200" w:firstLineChars="200"/>
    </w:pPr>
    <w:rPr>
      <w:rFonts w:ascii="Calibri" w:hAnsi="Calibri" w:eastAsia="仿宋_GB2312" w:cs="Times New Roman"/>
      <w:sz w:val="28"/>
      <w:szCs w:val="28"/>
    </w:rPr>
  </w:style>
  <w:style w:type="paragraph" w:customStyle="1" w:styleId="259">
    <w:name w:val="默认段落字体 Para Char Char Char Char"/>
    <w:basedOn w:val="1"/>
    <w:qFormat/>
    <w:uiPriority w:val="0"/>
    <w:rPr>
      <w:rFonts w:ascii="Calibri" w:hAnsi="Calibri" w:eastAsia="宋体" w:cs="Times New Roman"/>
      <w:sz w:val="24"/>
    </w:rPr>
  </w:style>
  <w:style w:type="paragraph" w:customStyle="1" w:styleId="260">
    <w:name w:val="Char2"/>
    <w:basedOn w:val="1"/>
    <w:qFormat/>
    <w:uiPriority w:val="0"/>
    <w:rPr>
      <w:rFonts w:ascii="Calibri" w:hAnsi="Calibri" w:eastAsia="宋体" w:cs="Times New Roman"/>
      <w:sz w:val="24"/>
    </w:rPr>
  </w:style>
  <w:style w:type="paragraph" w:customStyle="1" w:styleId="261">
    <w:name w:val="TOC 标题1"/>
    <w:basedOn w:val="2"/>
    <w:next w:val="1"/>
    <w:qFormat/>
    <w:uiPriority w:val="39"/>
    <w:pPr>
      <w:widowControl/>
      <w:spacing w:before="480" w:after="0" w:line="276" w:lineRule="auto"/>
      <w:jc w:val="left"/>
      <w:outlineLvl w:val="9"/>
    </w:pPr>
    <w:rPr>
      <w:rFonts w:ascii="Cambria" w:hAnsi="Cambria" w:eastAsia="宋体" w:cs="Times New Roman"/>
      <w:bCs/>
      <w:color w:val="365F91"/>
      <w:kern w:val="0"/>
      <w:sz w:val="28"/>
      <w:szCs w:val="28"/>
    </w:rPr>
  </w:style>
  <w:style w:type="paragraph" w:customStyle="1" w:styleId="262">
    <w:name w:val="行文"/>
    <w:basedOn w:val="1"/>
    <w:qFormat/>
    <w:uiPriority w:val="0"/>
    <w:pPr>
      <w:tabs>
        <w:tab w:val="left" w:pos="5040"/>
      </w:tabs>
      <w:adjustRightInd w:val="0"/>
      <w:spacing w:line="500" w:lineRule="exact"/>
      <w:ind w:left="-239" w:leftChars="-114" w:firstLine="479" w:firstLineChars="228"/>
      <w:textAlignment w:val="baseline"/>
    </w:pPr>
    <w:rPr>
      <w:rFonts w:ascii="Calibri" w:hAnsi="Calibri" w:eastAsia="仿宋_GB2312" w:cs="Times New Roman"/>
      <w:kern w:val="0"/>
      <w:sz w:val="30"/>
      <w:szCs w:val="30"/>
    </w:rPr>
  </w:style>
  <w:style w:type="paragraph" w:customStyle="1" w:styleId="263">
    <w:name w:val="Plain Text1"/>
    <w:basedOn w:val="1"/>
    <w:qFormat/>
    <w:uiPriority w:val="0"/>
    <w:pPr>
      <w:autoSpaceDE w:val="0"/>
      <w:autoSpaceDN w:val="0"/>
      <w:adjustRightInd w:val="0"/>
      <w:textAlignment w:val="baseline"/>
    </w:pPr>
    <w:rPr>
      <w:rFonts w:ascii="Calibri" w:hAnsi="Calibri" w:eastAsia="宋体" w:cs="Times New Roman"/>
      <w:kern w:val="0"/>
      <w:szCs w:val="20"/>
    </w:rPr>
  </w:style>
  <w:style w:type="paragraph" w:customStyle="1" w:styleId="264">
    <w:name w:val="表格标题"/>
    <w:basedOn w:val="1"/>
    <w:qFormat/>
    <w:uiPriority w:val="0"/>
    <w:pPr>
      <w:tabs>
        <w:tab w:val="left" w:pos="5040"/>
      </w:tabs>
      <w:adjustRightInd w:val="0"/>
      <w:spacing w:before="120" w:line="500" w:lineRule="exact"/>
      <w:ind w:left="-239" w:leftChars="-114" w:firstLine="228" w:firstLineChars="228"/>
      <w:jc w:val="center"/>
      <w:textAlignment w:val="baseline"/>
    </w:pPr>
    <w:rPr>
      <w:rFonts w:ascii="Calibri" w:hAnsi="Calibri" w:eastAsia="文鼎CS中宋" w:cs="Times New Roman"/>
      <w:kern w:val="0"/>
      <w:szCs w:val="21"/>
    </w:rPr>
  </w:style>
  <w:style w:type="paragraph" w:customStyle="1" w:styleId="265">
    <w:name w:val="Char Char Char1 Char Char Char Char Char Char Char Char Char Char Char Char Char Char Char Char"/>
    <w:basedOn w:val="1"/>
    <w:qFormat/>
    <w:uiPriority w:val="0"/>
    <w:pPr>
      <w:spacing w:line="240" w:lineRule="exact"/>
      <w:ind w:firstLine="200" w:firstLineChars="200"/>
    </w:pPr>
    <w:rPr>
      <w:rFonts w:ascii="Calibri" w:hAnsi="Calibri" w:eastAsia="宋体" w:cs="Times New Roman"/>
      <w:sz w:val="28"/>
      <w:szCs w:val="28"/>
    </w:rPr>
  </w:style>
  <w:style w:type="paragraph" w:customStyle="1" w:styleId="266">
    <w:name w:val="正文2"/>
    <w:qFormat/>
    <w:uiPriority w:val="0"/>
    <w:pPr>
      <w:widowControl w:val="0"/>
      <w:adjustRightInd w:val="0"/>
      <w:spacing w:line="312" w:lineRule="atLeast"/>
      <w:jc w:val="both"/>
      <w:textAlignment w:val="baseline"/>
    </w:pPr>
    <w:rPr>
      <w:rFonts w:ascii="Arial" w:hAnsi="Calibri" w:eastAsia="楷体_GB2312" w:cs="Times New Roman"/>
      <w:spacing w:val="-6"/>
      <w:sz w:val="28"/>
      <w:lang w:val="en-US" w:eastAsia="zh-CN" w:bidi="ar-SA"/>
    </w:rPr>
  </w:style>
  <w:style w:type="paragraph" w:customStyle="1" w:styleId="267">
    <w:name w:val="样式4"/>
    <w:basedOn w:val="1"/>
    <w:qFormat/>
    <w:uiPriority w:val="0"/>
    <w:pPr>
      <w:spacing w:before="156" w:beforeLines="50" w:after="156" w:afterLines="50" w:line="500" w:lineRule="exact"/>
      <w:jc w:val="center"/>
    </w:pPr>
    <w:rPr>
      <w:rFonts w:ascii="黑体" w:hAnsi="宋体" w:eastAsia="宋体" w:cs="Times New Roman"/>
      <w:b/>
      <w:bCs/>
      <w:sz w:val="24"/>
    </w:rPr>
  </w:style>
  <w:style w:type="paragraph" w:customStyle="1" w:styleId="268">
    <w:name w:val="小五表文"/>
    <w:qFormat/>
    <w:uiPriority w:val="0"/>
    <w:pPr>
      <w:widowControl w:val="0"/>
      <w:jc w:val="both"/>
    </w:pPr>
    <w:rPr>
      <w:rFonts w:ascii="宋体" w:hAnsi="宋体" w:eastAsia="宋体" w:cs="Times New Roman"/>
      <w:kern w:val="2"/>
      <w:sz w:val="21"/>
      <w:lang w:val="en-US" w:eastAsia="zh-CN" w:bidi="ar-SA"/>
    </w:rPr>
  </w:style>
  <w:style w:type="paragraph" w:customStyle="1" w:styleId="269">
    <w:name w:val="图形"/>
    <w:basedOn w:val="17"/>
    <w:qFormat/>
    <w:uiPriority w:val="0"/>
    <w:pPr>
      <w:tabs>
        <w:tab w:val="left" w:pos="5040"/>
      </w:tabs>
      <w:adjustRightInd w:val="0"/>
      <w:ind w:left="-239" w:leftChars="-114" w:firstLine="0" w:firstLineChars="228"/>
      <w:textAlignment w:val="baseline"/>
    </w:pPr>
    <w:rPr>
      <w:rFonts w:ascii="Calibri" w:hAnsi="Calibri" w:eastAsia="楷体_GB2312" w:cs="Times New Roman"/>
      <w:kern w:val="0"/>
      <w:szCs w:val="21"/>
    </w:rPr>
  </w:style>
  <w:style w:type="paragraph" w:customStyle="1" w:styleId="270">
    <w:name w:val="cd4"/>
    <w:basedOn w:val="1"/>
    <w:qFormat/>
    <w:uiPriority w:val="0"/>
    <w:pPr>
      <w:tabs>
        <w:tab w:val="left" w:pos="2438"/>
      </w:tabs>
      <w:spacing w:before="120"/>
      <w:ind w:left="1956" w:hanging="425"/>
    </w:pPr>
    <w:rPr>
      <w:rFonts w:ascii="Calibri" w:hAnsi="Calibri" w:eastAsia="宋体" w:cs="Times New Roman"/>
      <w:sz w:val="24"/>
      <w:szCs w:val="20"/>
    </w:rPr>
  </w:style>
  <w:style w:type="paragraph" w:customStyle="1" w:styleId="271">
    <w:name w:val="列出段落1"/>
    <w:basedOn w:val="1"/>
    <w:qFormat/>
    <w:uiPriority w:val="0"/>
    <w:pPr>
      <w:widowControl/>
      <w:spacing w:after="200" w:line="276" w:lineRule="auto"/>
      <w:ind w:firstLine="420" w:firstLineChars="200"/>
      <w:jc w:val="left"/>
    </w:pPr>
    <w:rPr>
      <w:rFonts w:ascii="Calibri" w:hAnsi="Calibri" w:eastAsia="宋体" w:cs="Calibri"/>
      <w:kern w:val="0"/>
      <w:sz w:val="22"/>
      <w:szCs w:val="22"/>
      <w:lang w:eastAsia="en-US"/>
    </w:rPr>
  </w:style>
  <w:style w:type="paragraph" w:customStyle="1" w:styleId="272">
    <w:name w:val="3"/>
    <w:basedOn w:val="1"/>
    <w:next w:val="17"/>
    <w:qFormat/>
    <w:uiPriority w:val="0"/>
    <w:pPr>
      <w:ind w:firstLine="420" w:firstLineChars="200"/>
    </w:pPr>
    <w:rPr>
      <w:rFonts w:ascii="Calibri" w:hAnsi="Calibri" w:eastAsia="宋体" w:cs="Times New Roman"/>
    </w:rPr>
  </w:style>
  <w:style w:type="paragraph" w:customStyle="1" w:styleId="273">
    <w:name w:val="默认段落字体 Para Char"/>
    <w:basedOn w:val="1"/>
    <w:qFormat/>
    <w:uiPriority w:val="0"/>
    <w:pPr>
      <w:spacing w:line="360" w:lineRule="auto"/>
      <w:ind w:firstLine="200" w:firstLineChars="200"/>
    </w:pPr>
    <w:rPr>
      <w:rFonts w:ascii="宋体" w:hAnsi="宋体" w:eastAsia="宋体" w:cs="宋体"/>
      <w:sz w:val="24"/>
    </w:rPr>
  </w:style>
  <w:style w:type="paragraph" w:customStyle="1" w:styleId="274">
    <w:name w:val="text0"/>
    <w:basedOn w:val="1"/>
    <w:qFormat/>
    <w:uiPriority w:val="0"/>
    <w:pPr>
      <w:widowControl/>
      <w:spacing w:before="100" w:beforeAutospacing="1" w:after="100" w:afterAutospacing="1" w:line="420" w:lineRule="atLeast"/>
      <w:jc w:val="left"/>
    </w:pPr>
    <w:rPr>
      <w:rFonts w:ascii="??" w:hAnsi="??" w:eastAsia="宋体" w:cs="Times New Roman"/>
      <w:color w:val="333333"/>
      <w:kern w:val="0"/>
      <w:sz w:val="18"/>
      <w:szCs w:val="18"/>
    </w:rPr>
  </w:style>
  <w:style w:type="paragraph" w:customStyle="1" w:styleId="275">
    <w:name w:val="报告书表格"/>
    <w:basedOn w:val="1"/>
    <w:qFormat/>
    <w:uiPriority w:val="0"/>
    <w:pPr>
      <w:adjustRightInd w:val="0"/>
      <w:spacing w:line="400" w:lineRule="exact"/>
      <w:jc w:val="center"/>
      <w:textAlignment w:val="baseline"/>
    </w:pPr>
    <w:rPr>
      <w:rFonts w:ascii="Calibri" w:hAnsi="Calibri" w:eastAsia="仿宋_GB2312" w:cs="Times New Roman"/>
      <w:kern w:val="0"/>
      <w:sz w:val="24"/>
      <w:szCs w:val="20"/>
    </w:rPr>
  </w:style>
  <w:style w:type="paragraph" w:customStyle="1" w:styleId="276">
    <w:name w:val="Char Char1 Char Char Char Char"/>
    <w:basedOn w:val="1"/>
    <w:qFormat/>
    <w:uiPriority w:val="0"/>
    <w:rPr>
      <w:rFonts w:ascii="Calibri" w:hAnsi="Calibri" w:eastAsia="宋体" w:cs="Times New Roman"/>
      <w:sz w:val="24"/>
    </w:rPr>
  </w:style>
  <w:style w:type="paragraph" w:customStyle="1" w:styleId="277">
    <w:name w:val="正常文"/>
    <w:basedOn w:val="262"/>
    <w:qFormat/>
    <w:uiPriority w:val="0"/>
    <w:rPr>
      <w:rFonts w:eastAsia="宋体"/>
    </w:rPr>
  </w:style>
  <w:style w:type="paragraph" w:customStyle="1" w:styleId="278">
    <w:name w:val="表蕊"/>
    <w:basedOn w:val="1"/>
    <w:qFormat/>
    <w:uiPriority w:val="0"/>
    <w:pPr>
      <w:tabs>
        <w:tab w:val="left" w:pos="5040"/>
      </w:tabs>
      <w:adjustRightInd w:val="0"/>
      <w:spacing w:line="280" w:lineRule="atLeast"/>
      <w:ind w:left="-120" w:leftChars="-57"/>
      <w:jc w:val="left"/>
      <w:textAlignment w:val="baseline"/>
    </w:pPr>
    <w:rPr>
      <w:rFonts w:ascii="Calibri" w:hAnsi="Calibri" w:eastAsia="楷体_GB2312" w:cs="Times New Roman"/>
      <w:spacing w:val="-10"/>
      <w:kern w:val="0"/>
      <w:szCs w:val="21"/>
    </w:rPr>
  </w:style>
  <w:style w:type="paragraph" w:customStyle="1" w:styleId="279">
    <w:name w:val="表后文"/>
    <w:basedOn w:val="1"/>
    <w:qFormat/>
    <w:uiPriority w:val="0"/>
    <w:pPr>
      <w:tabs>
        <w:tab w:val="left" w:pos="5040"/>
      </w:tabs>
      <w:adjustRightInd w:val="0"/>
      <w:spacing w:before="120" w:line="500" w:lineRule="exact"/>
      <w:ind w:left="-120" w:leftChars="-57"/>
      <w:textAlignment w:val="baseline"/>
    </w:pPr>
    <w:rPr>
      <w:rFonts w:ascii="Calibri" w:hAnsi="Calibri" w:eastAsia="楷体_GB2312" w:cs="Times New Roman"/>
      <w:kern w:val="0"/>
      <w:szCs w:val="21"/>
    </w:rPr>
  </w:style>
  <w:style w:type="paragraph" w:customStyle="1" w:styleId="280">
    <w:name w:val="正文编号"/>
    <w:basedOn w:val="1"/>
    <w:qFormat/>
    <w:uiPriority w:val="0"/>
    <w:pPr>
      <w:tabs>
        <w:tab w:val="left" w:pos="720"/>
        <w:tab w:val="left" w:pos="780"/>
        <w:tab w:val="left" w:pos="5040"/>
      </w:tabs>
      <w:adjustRightInd w:val="0"/>
      <w:spacing w:line="500" w:lineRule="exact"/>
      <w:ind w:left="780" w:leftChars="-114" w:hanging="360" w:firstLineChars="228"/>
      <w:textAlignment w:val="baseline"/>
    </w:pPr>
    <w:rPr>
      <w:rFonts w:ascii="Calibri" w:hAnsi="Calibri" w:eastAsia="楷体_GB2312" w:cs="Times New Roman"/>
      <w:kern w:val="0"/>
      <w:szCs w:val="21"/>
    </w:rPr>
  </w:style>
  <w:style w:type="paragraph" w:customStyle="1" w:styleId="281">
    <w:name w:val="Char Char Char 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82">
    <w:name w:val="表前文"/>
    <w:basedOn w:val="1"/>
    <w:qFormat/>
    <w:uiPriority w:val="0"/>
    <w:pPr>
      <w:tabs>
        <w:tab w:val="left" w:pos="5040"/>
      </w:tabs>
      <w:adjustRightInd w:val="0"/>
      <w:spacing w:after="120" w:line="500" w:lineRule="exact"/>
      <w:ind w:left="-239" w:leftChars="-114" w:firstLine="479" w:firstLineChars="228"/>
      <w:textAlignment w:val="baseline"/>
    </w:pPr>
    <w:rPr>
      <w:rFonts w:ascii="Calibri" w:hAnsi="Calibri" w:eastAsia="楷体_GB2312" w:cs="Times New Roman"/>
      <w:kern w:val="0"/>
      <w:szCs w:val="21"/>
    </w:rPr>
  </w:style>
  <w:style w:type="paragraph" w:customStyle="1" w:styleId="283">
    <w:name w:val="Char2 Char Char Char"/>
    <w:basedOn w:val="1"/>
    <w:qFormat/>
    <w:uiPriority w:val="0"/>
    <w:pPr>
      <w:ind w:firstLine="200" w:firstLineChars="200"/>
    </w:pPr>
    <w:rPr>
      <w:rFonts w:ascii="Calibri" w:hAnsi="Calibri" w:eastAsia="宋体" w:cs="Times New Roman"/>
    </w:rPr>
  </w:style>
  <w:style w:type="paragraph" w:customStyle="1" w:styleId="284">
    <w:name w:val="样式3"/>
    <w:basedOn w:val="2"/>
    <w:qFormat/>
    <w:uiPriority w:val="0"/>
    <w:pPr>
      <w:spacing w:before="100" w:beforeAutospacing="1" w:after="100" w:afterAutospacing="1" w:line="360" w:lineRule="auto"/>
      <w:jc w:val="center"/>
    </w:pPr>
    <w:rPr>
      <w:rFonts w:ascii="Calibri" w:hAnsi="Calibri" w:eastAsia="黑体" w:cs="Times New Roman"/>
      <w:bCs/>
      <w:sz w:val="30"/>
      <w:szCs w:val="44"/>
    </w:rPr>
  </w:style>
  <w:style w:type="paragraph" w:customStyle="1" w:styleId="285">
    <w:name w:val="表格1"/>
    <w:basedOn w:val="1"/>
    <w:next w:val="1"/>
    <w:qFormat/>
    <w:uiPriority w:val="0"/>
    <w:pPr>
      <w:keepLines/>
      <w:tabs>
        <w:tab w:val="left" w:pos="5040"/>
      </w:tabs>
      <w:autoSpaceDE w:val="0"/>
      <w:autoSpaceDN w:val="0"/>
      <w:adjustRightInd w:val="0"/>
      <w:ind w:left="-239" w:leftChars="-114" w:firstLine="228" w:firstLineChars="228"/>
      <w:jc w:val="right"/>
      <w:textAlignment w:val="baseline"/>
    </w:pPr>
    <w:rPr>
      <w:rFonts w:ascii="宋体" w:hAnsi="Calibri" w:eastAsia="楷体_GB2312" w:cs="宋体"/>
      <w:kern w:val="0"/>
      <w:sz w:val="20"/>
      <w:szCs w:val="20"/>
    </w:rPr>
  </w:style>
  <w:style w:type="paragraph" w:customStyle="1" w:styleId="286">
    <w:name w:val="xl4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000000"/>
      <w:kern w:val="0"/>
      <w:sz w:val="18"/>
      <w:szCs w:val="18"/>
    </w:rPr>
  </w:style>
  <w:style w:type="paragraph" w:customStyle="1" w:styleId="287">
    <w:name w:val="样式 标题 2 + 楷体_GB2312 四号 段前: 7.8 磅"/>
    <w:basedOn w:val="3"/>
    <w:qFormat/>
    <w:uiPriority w:val="0"/>
    <w:pPr>
      <w:spacing w:before="100" w:beforeAutospacing="1" w:after="100" w:afterAutospacing="1" w:line="415" w:lineRule="auto"/>
      <w:jc w:val="left"/>
    </w:pPr>
    <w:rPr>
      <w:rFonts w:ascii="楷体_GB2312" w:eastAsia="楷体_GB2312" w:cs="宋体"/>
      <w:bCs/>
      <w:sz w:val="28"/>
      <w:szCs w:val="20"/>
    </w:rPr>
  </w:style>
  <w:style w:type="paragraph" w:customStyle="1" w:styleId="288">
    <w:name w:val="新表"/>
    <w:basedOn w:val="1"/>
    <w:qFormat/>
    <w:uiPriority w:val="0"/>
    <w:pPr>
      <w:spacing w:line="360" w:lineRule="exact"/>
    </w:pPr>
    <w:rPr>
      <w:rFonts w:ascii="Calibri" w:hAnsi="Calibri" w:eastAsia="仿宋_GB2312" w:cs="Times New Roman"/>
      <w:bCs/>
      <w:kern w:val="0"/>
      <w:sz w:val="24"/>
      <w:szCs w:val="20"/>
    </w:rPr>
  </w:style>
  <w:style w:type="paragraph" w:customStyle="1" w:styleId="289">
    <w:name w:val="表格文字"/>
    <w:basedOn w:val="27"/>
    <w:qFormat/>
    <w:uiPriority w:val="0"/>
    <w:pPr>
      <w:jc w:val="center"/>
    </w:pPr>
    <w:rPr>
      <w:rFonts w:ascii="仿宋_GB2312" w:hAnsi="Arial Black" w:eastAsia="仿宋_GB2312" w:cs="Times New Roman"/>
      <w:kern w:val="44"/>
      <w:sz w:val="24"/>
      <w:szCs w:val="20"/>
    </w:rPr>
  </w:style>
  <w:style w:type="paragraph" w:customStyle="1" w:styleId="290">
    <w:name w:val="表后"/>
    <w:basedOn w:val="1"/>
    <w:next w:val="1"/>
    <w:qFormat/>
    <w:uiPriority w:val="0"/>
    <w:pPr>
      <w:tabs>
        <w:tab w:val="left" w:pos="5040"/>
      </w:tabs>
      <w:adjustRightInd w:val="0"/>
      <w:spacing w:before="120" w:line="500" w:lineRule="exact"/>
      <w:ind w:left="-239" w:leftChars="-114" w:firstLine="479" w:firstLineChars="228"/>
      <w:textAlignment w:val="baseline"/>
    </w:pPr>
    <w:rPr>
      <w:rFonts w:ascii="Calibri" w:hAnsi="Calibri" w:eastAsia="楷体_GB2312" w:cs="Times New Roman"/>
      <w:kern w:val="0"/>
      <w:szCs w:val="21"/>
    </w:rPr>
  </w:style>
  <w:style w:type="paragraph" w:customStyle="1" w:styleId="291">
    <w:name w:val="_Style 73"/>
    <w:basedOn w:val="1"/>
    <w:qFormat/>
    <w:uiPriority w:val="0"/>
    <w:rPr>
      <w:rFonts w:ascii="Calibri" w:hAnsi="Calibri" w:eastAsia="宋体" w:cs="Times New Roman"/>
      <w:sz w:val="24"/>
    </w:rPr>
  </w:style>
  <w:style w:type="paragraph" w:customStyle="1" w:styleId="292">
    <w:name w:val="修订1"/>
    <w:hidden/>
    <w:semiHidden/>
    <w:qFormat/>
    <w:uiPriority w:val="99"/>
    <w:rPr>
      <w:rFonts w:ascii="Times New Roman" w:hAnsi="Times New Roman" w:eastAsia="宋体" w:cs="Times New Roman"/>
      <w:kern w:val="2"/>
      <w:sz w:val="24"/>
      <w:szCs w:val="24"/>
      <w:lang w:val="en-US" w:eastAsia="zh-CN" w:bidi="ar-SA"/>
    </w:rPr>
  </w:style>
  <w:style w:type="paragraph" w:customStyle="1" w:styleId="293">
    <w:name w:val="font1"/>
    <w:basedOn w:val="1"/>
    <w:qFormat/>
    <w:uiPriority w:val="0"/>
    <w:pPr>
      <w:widowControl/>
      <w:spacing w:before="100" w:beforeAutospacing="1" w:after="100" w:afterAutospacing="1"/>
      <w:jc w:val="left"/>
    </w:pPr>
    <w:rPr>
      <w:rFonts w:ascii="宋体" w:hAnsi="宋体" w:eastAsia="宋体" w:cs="宋体"/>
      <w:color w:val="000000"/>
      <w:kern w:val="0"/>
      <w:sz w:val="22"/>
      <w:szCs w:val="22"/>
    </w:rPr>
  </w:style>
  <w:style w:type="paragraph" w:customStyle="1" w:styleId="294">
    <w:name w:val="_Style 281"/>
    <w:basedOn w:val="1"/>
    <w:next w:val="1"/>
    <w:qFormat/>
    <w:uiPriority w:val="39"/>
    <w:pPr>
      <w:ind w:left="1680"/>
      <w:jc w:val="left"/>
    </w:pPr>
    <w:rPr>
      <w:rFonts w:ascii="Calibri" w:hAnsi="Calibri" w:eastAsia="宋体" w:cs="Times New Roman"/>
      <w:sz w:val="18"/>
      <w:szCs w:val="18"/>
    </w:rPr>
  </w:style>
  <w:style w:type="paragraph" w:customStyle="1" w:styleId="295">
    <w:name w:val="WPSOffice手动目录 1"/>
    <w:qFormat/>
    <w:uiPriority w:val="0"/>
    <w:rPr>
      <w:rFonts w:ascii="Times New Roman" w:hAnsi="Times New Roman" w:eastAsia="宋体" w:cs="Times New Roman"/>
      <w:lang w:val="en-US" w:eastAsia="zh-CN" w:bidi="ar-SA"/>
    </w:rPr>
  </w:style>
  <w:style w:type="paragraph" w:customStyle="1" w:styleId="296">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2E54A1" w:themeColor="accent1" w:themeShade="BF"/>
      <w:kern w:val="0"/>
      <w:sz w:val="32"/>
      <w:szCs w:val="32"/>
    </w:rPr>
  </w:style>
  <w:style w:type="paragraph" w:customStyle="1" w:styleId="297">
    <w:name w:val="TOC 标题3"/>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2E54A1" w:themeColor="accent1" w:themeShade="BF"/>
      <w:kern w:val="0"/>
      <w:sz w:val="32"/>
      <w:szCs w:val="32"/>
    </w:rPr>
  </w:style>
  <w:style w:type="paragraph" w:customStyle="1" w:styleId="298">
    <w:name w:val="正文样式"/>
    <w:basedOn w:val="1"/>
    <w:link w:val="300"/>
    <w:qFormat/>
    <w:uiPriority w:val="0"/>
    <w:pPr>
      <w:adjustRightInd w:val="0"/>
      <w:snapToGrid w:val="0"/>
      <w:spacing w:line="360" w:lineRule="auto"/>
      <w:jc w:val="center"/>
    </w:pPr>
    <w:rPr>
      <w:rFonts w:ascii="Times New Roman" w:hAnsi="Times New Roman" w:cs="Times New Roman"/>
      <w:sz w:val="24"/>
      <w:szCs w:val="21"/>
    </w:rPr>
  </w:style>
  <w:style w:type="paragraph" w:customStyle="1" w:styleId="299">
    <w:name w:val="表格文字11"/>
    <w:basedOn w:val="1"/>
    <w:link w:val="302"/>
    <w:qFormat/>
    <w:uiPriority w:val="0"/>
    <w:pPr>
      <w:autoSpaceDE w:val="0"/>
      <w:autoSpaceDN w:val="0"/>
      <w:adjustRightInd w:val="0"/>
      <w:snapToGrid w:val="0"/>
      <w:ind w:firstLine="420" w:firstLineChars="200"/>
      <w:jc w:val="left"/>
    </w:pPr>
    <w:rPr>
      <w:rFonts w:ascii="Times New Roman" w:hAnsi="Times New Roman" w:eastAsia="宋体" w:cs="Times New Roman"/>
      <w:kern w:val="0"/>
      <w:szCs w:val="21"/>
    </w:rPr>
  </w:style>
  <w:style w:type="character" w:customStyle="1" w:styleId="300">
    <w:name w:val="正文样式 Char"/>
    <w:basedOn w:val="47"/>
    <w:link w:val="298"/>
    <w:qFormat/>
    <w:uiPriority w:val="0"/>
    <w:rPr>
      <w:rFonts w:eastAsiaTheme="minorEastAsia"/>
      <w:kern w:val="2"/>
      <w:sz w:val="24"/>
      <w:szCs w:val="21"/>
    </w:rPr>
  </w:style>
  <w:style w:type="paragraph" w:customStyle="1" w:styleId="301">
    <w:name w:val="正文文本22"/>
    <w:basedOn w:val="1"/>
    <w:link w:val="303"/>
    <w:qFormat/>
    <w:uiPriority w:val="0"/>
    <w:pPr>
      <w:tabs>
        <w:tab w:val="left" w:pos="930"/>
      </w:tabs>
      <w:adjustRightInd w:val="0"/>
      <w:snapToGrid w:val="0"/>
      <w:spacing w:line="360" w:lineRule="auto"/>
      <w:ind w:firstLine="480" w:firstLineChars="200"/>
    </w:pPr>
    <w:rPr>
      <w:rFonts w:ascii="Times New Roman" w:hAnsi="Times New Roman" w:eastAsia="宋体" w:cs="宋体"/>
      <w:sz w:val="24"/>
    </w:rPr>
  </w:style>
  <w:style w:type="character" w:customStyle="1" w:styleId="302">
    <w:name w:val="表格文字11 Char"/>
    <w:basedOn w:val="47"/>
    <w:link w:val="299"/>
    <w:qFormat/>
    <w:uiPriority w:val="0"/>
    <w:rPr>
      <w:sz w:val="21"/>
      <w:szCs w:val="21"/>
    </w:rPr>
  </w:style>
  <w:style w:type="character" w:customStyle="1" w:styleId="303">
    <w:name w:val="正文文本22 Char"/>
    <w:basedOn w:val="47"/>
    <w:link w:val="301"/>
    <w:qFormat/>
    <w:uiPriority w:val="0"/>
    <w:rPr>
      <w:rFonts w:cs="宋体"/>
      <w:kern w:val="2"/>
      <w:sz w:val="24"/>
      <w:szCs w:val="24"/>
    </w:rPr>
  </w:style>
  <w:style w:type="paragraph" w:customStyle="1" w:styleId="304">
    <w:name w:val="表格标题11"/>
    <w:basedOn w:val="1"/>
    <w:link w:val="305"/>
    <w:qFormat/>
    <w:uiPriority w:val="0"/>
    <w:pPr>
      <w:spacing w:line="30" w:lineRule="atLeast"/>
      <w:ind w:firstLine="480" w:firstLineChars="200"/>
      <w:jc w:val="center"/>
    </w:pPr>
    <w:rPr>
      <w:rFonts w:ascii="Times New Roman" w:hAnsi="Times New Roman" w:eastAsia="宋体" w:cs="Times New Roman"/>
      <w:b/>
      <w:bCs/>
      <w:color w:val="000000" w:themeColor="text1"/>
      <w14:textFill>
        <w14:solidFill>
          <w14:schemeClr w14:val="tx1"/>
        </w14:solidFill>
      </w14:textFill>
    </w:rPr>
  </w:style>
  <w:style w:type="character" w:customStyle="1" w:styleId="305">
    <w:name w:val="表格标题11 Char"/>
    <w:basedOn w:val="47"/>
    <w:link w:val="304"/>
    <w:qFormat/>
    <w:uiPriority w:val="0"/>
    <w:rPr>
      <w:b/>
      <w:bCs/>
      <w:color w:val="000000" w:themeColor="text1"/>
      <w:kern w:val="2"/>
      <w:sz w:val="21"/>
      <w:szCs w:val="24"/>
      <w14:textFill>
        <w14:solidFill>
          <w14:schemeClr w14:val="tx1"/>
        </w14:solidFill>
      </w14:textFill>
    </w:rPr>
  </w:style>
  <w:style w:type="paragraph" w:customStyle="1" w:styleId="306">
    <w:name w:val="_Style 295"/>
    <w:basedOn w:val="1"/>
    <w:next w:val="1"/>
    <w:qFormat/>
    <w:uiPriority w:val="39"/>
    <w:pPr>
      <w:spacing w:before="120" w:after="120"/>
      <w:jc w:val="left"/>
    </w:pPr>
    <w:rPr>
      <w:rFonts w:ascii="Calibri" w:hAnsi="Calibri" w:eastAsia="宋体" w:cs="Times New Roman"/>
      <w:b/>
      <w:bCs/>
      <w:caps/>
      <w:sz w:val="20"/>
      <w:szCs w:val="20"/>
    </w:rPr>
  </w:style>
  <w:style w:type="paragraph" w:customStyle="1" w:styleId="307">
    <w:name w:val="TOC 标题4"/>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2E54A1" w:themeColor="accent1" w:themeShade="BF"/>
      <w:kern w:val="0"/>
      <w:sz w:val="32"/>
      <w:szCs w:val="32"/>
    </w:rPr>
  </w:style>
  <w:style w:type="paragraph" w:customStyle="1" w:styleId="308">
    <w:name w:val="修订2"/>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309">
    <w:name w:val="正文首行缩进 2 Char"/>
    <w:basedOn w:val="117"/>
    <w:link w:val="44"/>
    <w:qFormat/>
    <w:uiPriority w:val="0"/>
    <w:rPr>
      <w:kern w:val="2"/>
      <w:sz w:val="24"/>
    </w:rPr>
  </w:style>
  <w:style w:type="paragraph" w:customStyle="1" w:styleId="310">
    <w:name w:val="正文#"/>
    <w:basedOn w:val="1"/>
    <w:link w:val="311"/>
    <w:qFormat/>
    <w:uiPriority w:val="0"/>
    <w:pPr>
      <w:spacing w:line="360" w:lineRule="auto"/>
      <w:ind w:firstLine="200" w:firstLineChars="200"/>
    </w:pPr>
    <w:rPr>
      <w:rFonts w:ascii="Times New Roman" w:hAnsi="Times New Roman" w:eastAsia="宋体" w:cs="Times New Roman"/>
      <w:sz w:val="24"/>
      <w:szCs w:val="22"/>
    </w:rPr>
  </w:style>
  <w:style w:type="character" w:customStyle="1" w:styleId="311">
    <w:name w:val="正文# 字符"/>
    <w:link w:val="310"/>
    <w:qFormat/>
    <w:uiPriority w:val="0"/>
    <w:rPr>
      <w:kern w:val="2"/>
      <w:sz w:val="24"/>
      <w:szCs w:val="22"/>
    </w:rPr>
  </w:style>
  <w:style w:type="paragraph" w:customStyle="1" w:styleId="312">
    <w:name w:val="修订3"/>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313">
    <w:name w:val="修订4"/>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314">
    <w:name w:val="Revision"/>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315">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20"/>
      <w:szCs w:val="20"/>
      <w:lang w:eastAsia="en-US"/>
    </w:rPr>
  </w:style>
  <w:style w:type="table" w:customStyle="1" w:styleId="316">
    <w:name w:val="Table Normal1"/>
    <w:semiHidden/>
    <w:unhideWhenUsed/>
    <w:qFormat/>
    <w:uiPriority w:val="0"/>
    <w:rPr>
      <w:rFonts w:ascii="Arial" w:hAnsi="Arial" w:cs="Arial" w:eastAsiaTheme="minorEastAsia"/>
    </w:rPr>
    <w:tblPr>
      <w:tblCellMar>
        <w:top w:w="0" w:type="dxa"/>
        <w:left w:w="0" w:type="dxa"/>
        <w:bottom w:w="0" w:type="dxa"/>
        <w:right w:w="0" w:type="dxa"/>
      </w:tblCellMar>
    </w:tblPr>
  </w:style>
  <w:style w:type="table" w:customStyle="1" w:styleId="317">
    <w:name w:val="Table Normal2"/>
    <w:semiHidden/>
    <w:unhideWhenUsed/>
    <w:qFormat/>
    <w:uiPriority w:val="0"/>
    <w:rPr>
      <w:rFonts w:ascii="Arial" w:hAnsi="Arial" w:cs="Arial" w:eastAsiaTheme="minorEastAsia"/>
    </w:rPr>
    <w:tblPr>
      <w:tblCellMar>
        <w:top w:w="0" w:type="dxa"/>
        <w:left w:w="0" w:type="dxa"/>
        <w:bottom w:w="0" w:type="dxa"/>
        <w:right w:w="0" w:type="dxa"/>
      </w:tblCellMar>
    </w:tblPr>
  </w:style>
  <w:style w:type="character" w:customStyle="1" w:styleId="318">
    <w:name w:val="0正文内容 Char"/>
    <w:link w:val="319"/>
    <w:qFormat/>
    <w:uiPriority w:val="0"/>
    <w:rPr>
      <w:rFonts w:cs="宋体"/>
      <w:sz w:val="21"/>
    </w:rPr>
  </w:style>
  <w:style w:type="paragraph" w:customStyle="1" w:styleId="319">
    <w:name w:val="0正文内容"/>
    <w:basedOn w:val="1"/>
    <w:link w:val="318"/>
    <w:qFormat/>
    <w:uiPriority w:val="0"/>
    <w:pPr>
      <w:jc w:val="center"/>
    </w:pPr>
    <w:rPr>
      <w:rFonts w:ascii="Times New Roman" w:hAnsi="Times New Roman" w:eastAsia="宋体" w:cs="宋体"/>
      <w:kern w:val="0"/>
      <w:szCs w:val="20"/>
    </w:rPr>
  </w:style>
  <w:style w:type="paragraph" w:customStyle="1" w:styleId="320">
    <w:name w:val="表1"/>
    <w:basedOn w:val="1"/>
    <w:next w:val="126"/>
    <w:qFormat/>
    <w:uiPriority w:val="0"/>
    <w:pPr>
      <w:numPr>
        <w:ilvl w:val="0"/>
        <w:numId w:val="2"/>
      </w:numPr>
      <w:spacing w:line="360" w:lineRule="auto"/>
      <w:ind w:firstLine="0" w:firstLineChars="0"/>
      <w:jc w:val="center"/>
    </w:pPr>
    <w:rPr>
      <w:b/>
      <w:sz w:val="24"/>
    </w:rPr>
  </w:style>
  <w:style w:type="paragraph" w:customStyle="1" w:styleId="321">
    <w:name w:val="样式35"/>
    <w:basedOn w:val="322"/>
    <w:next w:val="214"/>
    <w:qFormat/>
    <w:uiPriority w:val="0"/>
    <w:pPr>
      <w:tabs>
        <w:tab w:val="left" w:pos="0"/>
        <w:tab w:val="left" w:pos="360"/>
        <w:tab w:val="left" w:pos="540"/>
        <w:tab w:val="left" w:pos="567"/>
        <w:tab w:val="left" w:pos="4140"/>
      </w:tabs>
      <w:spacing w:line="312" w:lineRule="auto"/>
      <w:ind w:firstLine="567"/>
    </w:pPr>
  </w:style>
  <w:style w:type="paragraph" w:customStyle="1" w:styleId="322">
    <w:name w:val="样式26"/>
    <w:basedOn w:val="323"/>
    <w:autoRedefine/>
    <w:qFormat/>
    <w:uiPriority w:val="0"/>
    <w:pPr>
      <w:tabs>
        <w:tab w:val="left" w:pos="0"/>
        <w:tab w:val="left" w:pos="360"/>
        <w:tab w:val="left" w:pos="540"/>
        <w:tab w:val="left" w:pos="567"/>
        <w:tab w:val="left" w:pos="4140"/>
      </w:tabs>
    </w:pPr>
  </w:style>
  <w:style w:type="paragraph" w:customStyle="1" w:styleId="323">
    <w:name w:val="样式21"/>
    <w:basedOn w:val="324"/>
    <w:autoRedefine/>
    <w:qFormat/>
    <w:uiPriority w:val="0"/>
    <w:pPr>
      <w:tabs>
        <w:tab w:val="left" w:pos="0"/>
        <w:tab w:val="left" w:pos="360"/>
        <w:tab w:val="left" w:pos="567"/>
        <w:tab w:val="left" w:pos="4140"/>
      </w:tabs>
      <w:spacing w:beforeLines="0" w:afterLines="0"/>
      <w:ind w:hanging="992"/>
    </w:pPr>
  </w:style>
  <w:style w:type="paragraph" w:customStyle="1" w:styleId="324">
    <w:name w:val="样式5"/>
    <w:basedOn w:val="325"/>
    <w:qFormat/>
    <w:uiPriority w:val="0"/>
    <w:pPr>
      <w:tabs>
        <w:tab w:val="left" w:pos="0"/>
        <w:tab w:val="left" w:pos="360"/>
        <w:tab w:val="left" w:pos="4140"/>
      </w:tabs>
      <w:ind w:right="-105" w:rightChars="-50"/>
      <w:jc w:val="center"/>
    </w:pPr>
    <w:rPr>
      <w:rFonts w:ascii="宋体"/>
      <w:sz w:val="21"/>
    </w:rPr>
  </w:style>
  <w:style w:type="paragraph" w:customStyle="1" w:styleId="325">
    <w:name w:val="样式12"/>
    <w:basedOn w:val="326"/>
    <w:autoRedefine/>
    <w:qFormat/>
    <w:uiPriority w:val="0"/>
    <w:pPr>
      <w:keepNext/>
      <w:keepLines/>
      <w:tabs>
        <w:tab w:val="left" w:pos="0"/>
        <w:tab w:val="left" w:pos="360"/>
        <w:tab w:val="left" w:pos="4140"/>
      </w:tabs>
      <w:spacing w:beforeLines="50" w:afterLines="50"/>
      <w:ind w:left="567" w:hanging="567"/>
      <w:outlineLvl w:val="1"/>
    </w:pPr>
    <w:rPr>
      <w:rFonts w:eastAsia="MS Mincho"/>
      <w:kern w:val="0"/>
      <w:sz w:val="28"/>
      <w:szCs w:val="28"/>
    </w:rPr>
  </w:style>
  <w:style w:type="paragraph" w:customStyle="1" w:styleId="326">
    <w:name w:val="样式 标题 3标题 3 Char标题3H3h33rd level第二层条三级标题ReHead 3 WSA头..."/>
    <w:basedOn w:val="4"/>
    <w:qFormat/>
    <w:uiPriority w:val="0"/>
    <w:pPr>
      <w:tabs>
        <w:tab w:val="left" w:pos="0"/>
        <w:tab w:val="left" w:pos="4140"/>
      </w:tabs>
      <w:ind w:left="4140" w:hanging="720"/>
    </w:pPr>
    <w:rPr>
      <w:rFonts w:eastAsia="黑体"/>
      <w:color w:val="FF0000"/>
    </w:rPr>
  </w:style>
  <w:style w:type="paragraph" w:customStyle="1" w:styleId="327">
    <w:name w:val="4.四级标题"/>
    <w:next w:val="1"/>
    <w:qFormat/>
    <w:uiPriority w:val="0"/>
    <w:pPr>
      <w:widowControl w:val="0"/>
      <w:spacing w:line="360" w:lineRule="auto"/>
      <w:ind w:firstLine="200" w:firstLineChars="200"/>
      <w:jc w:val="both"/>
      <w:outlineLvl w:val="3"/>
    </w:pPr>
    <w:rPr>
      <w:rFonts w:ascii="Times New Roman" w:hAnsi="Times New Roman" w:eastAsia="宋体" w:cs="Times New Roman"/>
      <w:b/>
      <w:kern w:val="2"/>
      <w:sz w:val="24"/>
      <w:szCs w:val="22"/>
      <w:lang w:val="en-US" w:eastAsia="zh-CN" w:bidi="ar-SA"/>
    </w:r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customXml" Target="../customXml/item2.xml"/><Relationship Id="rId90" Type="http://schemas.openxmlformats.org/officeDocument/2006/relationships/numbering" Target="numbering.xml"/><Relationship Id="rId9" Type="http://schemas.openxmlformats.org/officeDocument/2006/relationships/image" Target="media/image3.png"/><Relationship Id="rId89" Type="http://schemas.openxmlformats.org/officeDocument/2006/relationships/customXml" Target="../customXml/item1.xml"/><Relationship Id="rId88" Type="http://schemas.openxmlformats.org/officeDocument/2006/relationships/image" Target="media/image81.png"/><Relationship Id="rId87" Type="http://schemas.openxmlformats.org/officeDocument/2006/relationships/image" Target="media/image80.png"/><Relationship Id="rId86" Type="http://schemas.openxmlformats.org/officeDocument/2006/relationships/image" Target="media/image79.png"/><Relationship Id="rId85" Type="http://schemas.openxmlformats.org/officeDocument/2006/relationships/image" Target="media/image78.png"/><Relationship Id="rId84" Type="http://schemas.openxmlformats.org/officeDocument/2006/relationships/image" Target="media/image77.png"/><Relationship Id="rId83" Type="http://schemas.openxmlformats.org/officeDocument/2006/relationships/image" Target="media/image76.png"/><Relationship Id="rId82" Type="http://schemas.openxmlformats.org/officeDocument/2006/relationships/image" Target="media/image75.png"/><Relationship Id="rId81" Type="http://schemas.openxmlformats.org/officeDocument/2006/relationships/image" Target="media/image74.png"/><Relationship Id="rId80" Type="http://schemas.openxmlformats.org/officeDocument/2006/relationships/image" Target="media/image73.png"/><Relationship Id="rId8" Type="http://schemas.openxmlformats.org/officeDocument/2006/relationships/image" Target="media/image2.png"/><Relationship Id="rId79" Type="http://schemas.openxmlformats.org/officeDocument/2006/relationships/image" Target="media/image72.png"/><Relationship Id="rId78" Type="http://schemas.openxmlformats.org/officeDocument/2006/relationships/image" Target="media/image71.png"/><Relationship Id="rId77" Type="http://schemas.openxmlformats.org/officeDocument/2006/relationships/image" Target="media/image70.png"/><Relationship Id="rId76" Type="http://schemas.openxmlformats.org/officeDocument/2006/relationships/image" Target="media/image69.png"/><Relationship Id="rId75" Type="http://schemas.openxmlformats.org/officeDocument/2006/relationships/image" Target="media/image68.png"/><Relationship Id="rId74" Type="http://schemas.openxmlformats.org/officeDocument/2006/relationships/image" Target="media/image67.png"/><Relationship Id="rId73" Type="http://schemas.openxmlformats.org/officeDocument/2006/relationships/image" Target="media/image66.png"/><Relationship Id="rId72" Type="http://schemas.openxmlformats.org/officeDocument/2006/relationships/image" Target="media/image65.png"/><Relationship Id="rId71" Type="http://schemas.openxmlformats.org/officeDocument/2006/relationships/image" Target="media/image64.jpeg"/><Relationship Id="rId70" Type="http://schemas.openxmlformats.org/officeDocument/2006/relationships/image" Target="media/image63.png"/><Relationship Id="rId7" Type="http://schemas.openxmlformats.org/officeDocument/2006/relationships/image" Target="media/image1.png"/><Relationship Id="rId69" Type="http://schemas.openxmlformats.org/officeDocument/2006/relationships/image" Target="media/image62.png"/><Relationship Id="rId68" Type="http://schemas.openxmlformats.org/officeDocument/2006/relationships/image" Target="media/image61.png"/><Relationship Id="rId67" Type="http://schemas.openxmlformats.org/officeDocument/2006/relationships/image" Target="media/image60.png"/><Relationship Id="rId66" Type="http://schemas.openxmlformats.org/officeDocument/2006/relationships/image" Target="media/image59.png"/><Relationship Id="rId65" Type="http://schemas.openxmlformats.org/officeDocument/2006/relationships/image" Target="media/image58.png"/><Relationship Id="rId64" Type="http://schemas.openxmlformats.org/officeDocument/2006/relationships/image" Target="media/image57.png"/><Relationship Id="rId63" Type="http://schemas.openxmlformats.org/officeDocument/2006/relationships/image" Target="media/image56.png"/><Relationship Id="rId62" Type="http://schemas.openxmlformats.org/officeDocument/2006/relationships/image" Target="media/image55.png"/><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theme" Target="theme/theme1.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3.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jpe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footer" Target="foot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wmf"/><Relationship Id="rId24" Type="http://schemas.openxmlformats.org/officeDocument/2006/relationships/oleObject" Target="embeddings/oleObject1.bin"/><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emf"/><Relationship Id="rId17" Type="http://schemas.openxmlformats.org/officeDocument/2006/relationships/image" Target="media/image11.emf"/><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AC006B-1845-4084-9F02-FFFDA487FA6D}">
  <ds:schemaRefs/>
</ds:datastoreItem>
</file>

<file path=docProps/app.xml><?xml version="1.0" encoding="utf-8"?>
<Properties xmlns="http://schemas.openxmlformats.org/officeDocument/2006/extended-properties" xmlns:vt="http://schemas.openxmlformats.org/officeDocument/2006/docPropsVTypes">
  <Template>Normal.dotm</Template>
  <Pages>174</Pages>
  <Words>20327</Words>
  <Characters>21544</Characters>
  <Lines>456</Lines>
  <Paragraphs>128</Paragraphs>
  <TotalTime>29</TotalTime>
  <ScaleCrop>false</ScaleCrop>
  <LinksUpToDate>false</LinksUpToDate>
  <CharactersWithSpaces>21658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2025-08-05T09:53:00Z</dcterms:created>
  <dc:creator>pxe</dc:creator>
  <cp:lastModifiedBy>冰森瑰子</cp:lastModifiedBy>
  <cp:lastPrinted>2024-09-12T07:08:00Z</cp:lastPrinted>
  <dcterms:modified xsi:type="dcterms:W3CDTF">2026-10-22T01:43:37Z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46659E0776424C2897F0BD64B4931371_13</vt:lpwstr>
  </property>
  <property fmtid="{D5CDD505-2E9C-101B-9397-08002B2CF9AE}" pid="4" name="KSOTemplateDocerSaveRecord">
    <vt:lpwstr>eyJoZGlkIjoiNDA4ZWQwMTRjOWU5MjgxZTcyYTAyYzZlZTBkMDY2NDciLCJ1c2VySWQiOiI0ODk0MTEzNjUifQ==</vt:lpwstr>
  </property>
</Properties>
</file>