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Cs/>
          <w:szCs w:val="21"/>
        </w:rPr>
      </w:pPr>
    </w:p>
    <w:p>
      <w:pPr>
        <w:jc w:val="center"/>
        <w:rPr>
          <w:rFonts w:hint="eastAsia" w:ascii="黑体" w:hAnsi="黑体" w:eastAsia="黑体" w:cs="黑体"/>
          <w:b/>
          <w:bCs/>
          <w:sz w:val="44"/>
          <w:szCs w:val="44"/>
        </w:rPr>
      </w:pPr>
      <w:r>
        <w:rPr>
          <w:rFonts w:hint="eastAsia" w:ascii="黑体" w:hAnsi="黑体" w:eastAsia="黑体" w:cs="黑体"/>
          <w:b/>
          <w:bCs/>
          <w:sz w:val="44"/>
          <w:szCs w:val="44"/>
        </w:rPr>
        <w:t>乐昌市公安局关于加强中心城区摩托车通行秩序管理的通告（征求意见稿）</w:t>
      </w:r>
    </w:p>
    <w:p>
      <w:pPr>
        <w:jc w:val="center"/>
        <w:rPr>
          <w:rFonts w:hint="eastAsia" w:ascii="黑体" w:hAnsi="黑体" w:eastAsia="黑体" w:cs="黑体"/>
          <w:b/>
          <w:bCs/>
          <w:sz w:val="32"/>
          <w:szCs w:val="32"/>
        </w:rPr>
      </w:pPr>
    </w:p>
    <w:p>
      <w:pPr>
        <w:spacing w:line="600" w:lineRule="exact"/>
        <w:ind w:firstLine="640" w:firstLineChars="200"/>
        <w:rPr>
          <w:rFonts w:hint="eastAsia" w:ascii="仿宋_GB2312" w:hAnsi="仿宋_GB2312" w:eastAsia="仿宋_GB2312" w:cs="宋体"/>
          <w:color w:val="121212"/>
          <w:sz w:val="32"/>
          <w:szCs w:val="32"/>
        </w:rPr>
      </w:pPr>
      <w:r>
        <w:rPr>
          <w:rFonts w:hint="eastAsia" w:ascii="仿宋_GB2312" w:hAnsi="仿宋_GB2312" w:eastAsia="仿宋_GB2312" w:cs="宋体"/>
          <w:color w:val="121212"/>
          <w:sz w:val="32"/>
          <w:szCs w:val="32"/>
        </w:rPr>
        <w:t>为进一步规范市区道路交通秩序，保障市区道路安全、畅通、有序，根据《中华人民共和国道路交通安全法》和《广东省道路交通安全条例》等法律法规规定，乐昌市公安局决定在中心城区禁止125cc(不含125cc)以上排量摩托车通行措施，现就有关事项通告如下：</w:t>
      </w:r>
    </w:p>
    <w:p>
      <w:pPr>
        <w:spacing w:line="600" w:lineRule="exact"/>
        <w:ind w:firstLine="640" w:firstLineChars="200"/>
        <w:rPr>
          <w:rFonts w:hint="eastAsia" w:ascii="仿宋_GB2312" w:hAnsi="仿宋_GB2312" w:eastAsia="仿宋_GB2312" w:cs="宋体"/>
          <w:color w:val="121212"/>
          <w:sz w:val="32"/>
          <w:szCs w:val="32"/>
        </w:rPr>
      </w:pPr>
      <w:r>
        <w:rPr>
          <w:rFonts w:hint="eastAsia" w:ascii="仿宋_GB2312" w:hAnsi="仿宋_GB2312" w:eastAsia="仿宋_GB2312" w:cs="宋体"/>
          <w:color w:val="121212"/>
          <w:sz w:val="32"/>
          <w:szCs w:val="32"/>
        </w:rPr>
        <w:t>一、禁止通行车型：125CC（不含125cc）以上摩托车。</w:t>
      </w:r>
    </w:p>
    <w:p>
      <w:pPr>
        <w:spacing w:line="600" w:lineRule="exact"/>
        <w:ind w:firstLine="640" w:firstLineChars="200"/>
        <w:rPr>
          <w:rFonts w:hint="eastAsia" w:ascii="仿宋_GB2312" w:hAnsi="仿宋_GB2312" w:eastAsia="仿宋_GB2312" w:cs="宋体"/>
          <w:color w:val="121212"/>
          <w:sz w:val="32"/>
          <w:szCs w:val="32"/>
        </w:rPr>
      </w:pPr>
      <w:r>
        <w:rPr>
          <w:rFonts w:hint="eastAsia" w:ascii="仿宋_GB2312" w:hAnsi="仿宋_GB2312" w:eastAsia="仿宋_GB2312" w:cs="宋体"/>
          <w:color w:val="121212"/>
          <w:sz w:val="32"/>
          <w:szCs w:val="32"/>
        </w:rPr>
        <w:t>二、禁止通行区域：环绕乐昌城区，乐城东南面以公主下路清和公园为起点往乐梅大桥方向，经公主路、乐梅桥辅道、永安能源公司红绿灯，沿东环路至东环中路（S248线）与国道G535交汇处为界；东北面以东环中路（S248线）与国道G535交汇处为起点往乐昌四中方向，沿东环路至人民北路乐昌监狱路口为界；乐城西北面以人民北路乐昌监狱为起点往旧汽车站方向，经人民北路、北立交、黄皮园路、西门口路、公主上路、府前大桥、佗城上路，沿富庭街至大瑶山路乐昌市第一中学路口为界；乐城西南面以大瑶山路乐昌市第一中学路口为起点往河南红绿灯方向，经大瑶山路、佗城路至乐梅路公安局出入境办证大厅门前，沿乐梅桥至永安能源公司红绿灯为界。</w:t>
      </w:r>
    </w:p>
    <w:p>
      <w:pPr>
        <w:spacing w:line="600" w:lineRule="exact"/>
        <w:ind w:firstLine="640" w:firstLineChars="200"/>
        <w:rPr>
          <w:rFonts w:hint="eastAsia" w:ascii="仿宋_GB2312" w:hAnsi="仿宋_GB2312" w:eastAsia="仿宋_GB2312" w:cs="宋体"/>
          <w:color w:val="121212"/>
          <w:sz w:val="32"/>
          <w:szCs w:val="32"/>
        </w:rPr>
      </w:pPr>
      <w:r>
        <w:rPr>
          <w:rFonts w:hint="eastAsia" w:ascii="仿宋_GB2312" w:hAnsi="仿宋_GB2312" w:eastAsia="仿宋_GB2312" w:cs="宋体"/>
          <w:color w:val="121212"/>
          <w:sz w:val="32"/>
          <w:szCs w:val="32"/>
        </w:rPr>
        <w:t>三、军警、消防、应急抢险（修）等特种摩托车辆，执行任务时不受本通告限制。</w:t>
      </w:r>
    </w:p>
    <w:p>
      <w:pPr>
        <w:spacing w:line="600" w:lineRule="exact"/>
        <w:ind w:firstLine="640" w:firstLineChars="200"/>
        <w:rPr>
          <w:rFonts w:hint="eastAsia" w:ascii="仿宋_GB2312" w:hAnsi="仿宋_GB2312" w:eastAsia="仿宋_GB2312" w:cs="宋体"/>
          <w:color w:val="121212"/>
          <w:sz w:val="32"/>
          <w:szCs w:val="32"/>
        </w:rPr>
      </w:pPr>
      <w:r>
        <w:rPr>
          <w:rFonts w:hint="eastAsia" w:ascii="仿宋_GB2312" w:hAnsi="仿宋_GB2312" w:eastAsia="仿宋_GB2312" w:cs="宋体"/>
          <w:color w:val="121212"/>
          <w:sz w:val="32"/>
          <w:szCs w:val="32"/>
        </w:rPr>
        <w:t>四、禁止通行区域的所有机关、企事业单位、街道办事处、居委会为排量大于125cc（不含125cc）以上摩托车禁行责任单位，禁行责任单位要负责做好本单位、本辖区的排量大于125cc（不含125cc）以上摩托车禁行宣传、教育、监管工作。</w:t>
      </w:r>
    </w:p>
    <w:p>
      <w:pPr>
        <w:spacing w:line="600" w:lineRule="exact"/>
        <w:ind w:firstLine="640" w:firstLineChars="200"/>
        <w:rPr>
          <w:rFonts w:ascii="仿宋_GB2312" w:hAnsi="仿宋_GB2312" w:eastAsia="仿宋_GB2312" w:cs="宋体"/>
          <w:color w:val="121212"/>
          <w:sz w:val="32"/>
          <w:szCs w:val="32"/>
        </w:rPr>
      </w:pPr>
      <w:r>
        <w:rPr>
          <w:rFonts w:hint="eastAsia" w:ascii="仿宋_GB2312" w:hAnsi="仿宋_GB2312" w:eastAsia="仿宋_GB2312" w:cs="宋体"/>
          <w:color w:val="121212"/>
          <w:sz w:val="32"/>
          <w:szCs w:val="32"/>
        </w:rPr>
        <w:t>五、驾驶摩托车应当遵守法律有关规定，做到有牌证、限两人、戴头盔、靠右行、不超速、不闯红灯。遵守法规，文明礼让、安全行驶。</w:t>
      </w:r>
    </w:p>
    <w:p>
      <w:pPr>
        <w:spacing w:line="600" w:lineRule="exact"/>
        <w:ind w:firstLine="640" w:firstLineChars="200"/>
        <w:rPr>
          <w:rFonts w:hint="eastAsia" w:ascii="仿宋_GB2312" w:hAnsi="仿宋_GB2312" w:eastAsia="仿宋_GB2312" w:cs="宋体"/>
          <w:color w:val="121212"/>
          <w:sz w:val="32"/>
          <w:szCs w:val="32"/>
        </w:rPr>
      </w:pPr>
      <w:r>
        <w:rPr>
          <w:rFonts w:hint="eastAsia" w:ascii="仿宋_GB2312" w:hAnsi="仿宋_GB2312" w:eastAsia="仿宋_GB2312" w:cs="宋体"/>
          <w:color w:val="121212"/>
          <w:sz w:val="32"/>
          <w:szCs w:val="32"/>
        </w:rPr>
        <w:t>六、对违反本通告规定的，依照《中华人民共和国道路交通安全法》、《广东省道路交通安全条例》等法律、法规的规定给予处罚。</w:t>
      </w:r>
    </w:p>
    <w:p>
      <w:pPr>
        <w:spacing w:line="600" w:lineRule="exact"/>
        <w:ind w:firstLine="640" w:firstLineChars="200"/>
        <w:rPr>
          <w:rFonts w:hint="eastAsia" w:ascii="仿宋_GB2312" w:hAnsi="仿宋_GB2312" w:eastAsia="仿宋_GB2312" w:cs="宋体"/>
          <w:color w:val="121212"/>
          <w:sz w:val="32"/>
          <w:szCs w:val="32"/>
        </w:rPr>
      </w:pPr>
      <w:r>
        <w:rPr>
          <w:rFonts w:hint="eastAsia" w:ascii="仿宋_GB2312" w:hAnsi="仿宋_GB2312" w:eastAsia="仿宋_GB2312" w:cs="宋体"/>
          <w:color w:val="121212"/>
          <w:sz w:val="32"/>
          <w:szCs w:val="32"/>
        </w:rPr>
        <w:t>对强行通行，不听劝阻，拒绝、阻碍执勤民警执行职务的，由公安机关依照《中华人民共和国治安管理处罚法》规定给予治安处罚，构成犯罪的依法追究刑事责任。</w:t>
      </w:r>
    </w:p>
    <w:p>
      <w:pPr>
        <w:spacing w:line="600" w:lineRule="exact"/>
        <w:ind w:firstLine="640" w:firstLineChars="200"/>
        <w:rPr>
          <w:rFonts w:hint="eastAsia" w:ascii="仿宋_GB2312" w:hAnsi="仿宋_GB2312" w:eastAsia="仿宋_GB2312" w:cs="宋体"/>
          <w:color w:val="121212"/>
          <w:sz w:val="32"/>
          <w:szCs w:val="32"/>
        </w:rPr>
      </w:pPr>
      <w:r>
        <w:rPr>
          <w:rFonts w:hint="eastAsia" w:ascii="仿宋_GB2312" w:hAnsi="仿宋_GB2312" w:eastAsia="仿宋_GB2312" w:cs="宋体"/>
          <w:color w:val="121212"/>
          <w:sz w:val="32"/>
          <w:szCs w:val="32"/>
        </w:rPr>
        <w:t>七、本通告自2020年**月**日起开始生效。</w:t>
      </w:r>
    </w:p>
    <w:p>
      <w:pPr>
        <w:spacing w:line="600" w:lineRule="exact"/>
        <w:ind w:firstLine="640" w:firstLineChars="200"/>
        <w:rPr>
          <w:rFonts w:hint="eastAsia" w:ascii="宋体" w:hAnsi="宋体" w:cs="宋体"/>
          <w:sz w:val="28"/>
          <w:szCs w:val="28"/>
        </w:rPr>
      </w:pPr>
      <w:r>
        <w:rPr>
          <w:rFonts w:hint="eastAsia" w:ascii="仿宋_GB2312" w:hAnsi="仿宋_GB2312" w:eastAsia="仿宋_GB2312" w:cs="宋体"/>
          <w:color w:val="121212"/>
          <w:sz w:val="32"/>
          <w:szCs w:val="32"/>
        </w:rPr>
        <w:t>特此通告</w:t>
      </w:r>
    </w:p>
    <w:p>
      <w:pPr>
        <w:spacing w:line="600" w:lineRule="exact"/>
        <w:ind w:firstLine="560"/>
        <w:rPr>
          <w:rFonts w:hint="eastAsia" w:ascii="宋体" w:hAnsi="宋体" w:cs="宋体"/>
          <w:sz w:val="28"/>
          <w:szCs w:val="28"/>
        </w:rPr>
      </w:pPr>
    </w:p>
    <w:p>
      <w:pPr>
        <w:spacing w:line="600" w:lineRule="exact"/>
        <w:ind w:firstLine="560"/>
        <w:rPr>
          <w:rFonts w:hint="eastAsia" w:ascii="宋体" w:hAnsi="宋体" w:cs="宋体"/>
          <w:sz w:val="28"/>
          <w:szCs w:val="28"/>
        </w:rPr>
      </w:pPr>
    </w:p>
    <w:p>
      <w:pPr>
        <w:spacing w:line="600" w:lineRule="exact"/>
        <w:ind w:firstLine="5440" w:firstLineChars="1700"/>
        <w:rPr>
          <w:rFonts w:hint="eastAsia" w:ascii="仿宋_GB2312" w:hAnsi="仿宋_GB2312" w:eastAsia="仿宋_GB2312" w:cs="宋体"/>
          <w:color w:val="121212"/>
          <w:sz w:val="32"/>
          <w:szCs w:val="32"/>
        </w:rPr>
      </w:pPr>
      <w:r>
        <w:rPr>
          <w:rFonts w:hint="eastAsia" w:ascii="仿宋_GB2312" w:hAnsi="仿宋_GB2312" w:eastAsia="仿宋_GB2312" w:cs="宋体"/>
          <w:color w:val="121212"/>
          <w:sz w:val="32"/>
          <w:szCs w:val="32"/>
        </w:rPr>
        <w:t>乐昌市公安局</w:t>
      </w:r>
    </w:p>
    <w:p>
      <w:pPr>
        <w:spacing w:line="600" w:lineRule="exact"/>
        <w:ind w:firstLine="5440" w:firstLineChars="1700"/>
        <w:rPr>
          <w:rFonts w:hint="eastAsia" w:ascii="仿宋_GB2312" w:hAnsi="仿宋_GB2312" w:eastAsia="仿宋_GB2312" w:cs="宋体"/>
          <w:color w:val="121212"/>
          <w:sz w:val="32"/>
          <w:szCs w:val="32"/>
        </w:rPr>
      </w:pPr>
      <w:bookmarkStart w:id="0" w:name="_GoBack"/>
      <w:bookmarkEnd w:id="0"/>
      <w:r>
        <w:rPr>
          <w:rFonts w:hint="eastAsia" w:ascii="仿宋_GB2312" w:hAnsi="仿宋_GB2312" w:eastAsia="仿宋_GB2312" w:cs="宋体"/>
          <w:color w:val="121212"/>
          <w:sz w:val="32"/>
          <w:szCs w:val="32"/>
        </w:rPr>
        <w:t>2020年</w:t>
      </w:r>
      <w:r>
        <w:rPr>
          <w:rFonts w:hint="eastAsia" w:ascii="仿宋_GB2312" w:hAnsi="仿宋_GB2312" w:eastAsia="仿宋_GB2312" w:cs="宋体"/>
          <w:color w:val="121212"/>
          <w:sz w:val="32"/>
          <w:szCs w:val="32"/>
          <w:lang w:val="en-US" w:eastAsia="zh-CN"/>
        </w:rPr>
        <w:t xml:space="preserve"> </w:t>
      </w:r>
      <w:r>
        <w:rPr>
          <w:rFonts w:hint="eastAsia" w:ascii="仿宋_GB2312" w:hAnsi="仿宋_GB2312" w:eastAsia="仿宋_GB2312" w:cs="宋体"/>
          <w:color w:val="121212"/>
          <w:sz w:val="32"/>
          <w:szCs w:val="32"/>
        </w:rPr>
        <w:t>月</w:t>
      </w:r>
      <w:r>
        <w:rPr>
          <w:rFonts w:hint="eastAsia" w:ascii="仿宋_GB2312" w:hAnsi="仿宋_GB2312" w:eastAsia="仿宋_GB2312" w:cs="宋体"/>
          <w:color w:val="121212"/>
          <w:sz w:val="32"/>
          <w:szCs w:val="32"/>
          <w:lang w:val="en-US" w:eastAsia="zh-CN"/>
        </w:rPr>
        <w:t xml:space="preserve"> </w:t>
      </w:r>
      <w:r>
        <w:rPr>
          <w:rFonts w:hint="eastAsia" w:ascii="仿宋_GB2312" w:hAnsi="仿宋_GB2312" w:eastAsia="仿宋_GB2312" w:cs="宋体"/>
          <w:color w:val="121212"/>
          <w:sz w:val="32"/>
          <w:szCs w:val="32"/>
        </w:rPr>
        <w:t>日</w:t>
      </w:r>
    </w:p>
    <w:p>
      <w:pPr>
        <w:spacing w:line="360" w:lineRule="auto"/>
        <w:ind w:firstLine="560" w:firstLineChars="200"/>
        <w:jc w:val="right"/>
        <w:rPr>
          <w:rFonts w:hint="eastAsia" w:ascii="宋体" w:hAnsi="宋体" w:cs="宋体"/>
          <w:sz w:val="28"/>
          <w:szCs w:val="28"/>
        </w:rPr>
      </w:pPr>
      <w:r>
        <w:rPr>
          <w:rFonts w:hint="eastAsia" w:ascii="宋体" w:hAnsi="宋体" w:cs="宋体"/>
          <w:sz w:val="28"/>
          <w:szCs w:val="28"/>
        </w:rPr>
        <w:pict>
          <v:shape id="_x0000_i1025" o:spt="75" type="#_x0000_t75" style="height:370.1pt;width:414.75pt;" filled="f" stroked="f" coordsize="21600,21600">
            <v:path/>
            <v:fill on="f" focussize="0,0"/>
            <v:stroke on="f"/>
            <v:imagedata r:id="rId4" o:title="111"/>
            <o:lock v:ext="edit" aspectratio="t"/>
            <w10:wrap type="none"/>
            <w10:anchorlock/>
          </v:shape>
        </w:pict>
      </w:r>
    </w:p>
    <w:p>
      <w:pPr>
        <w:spacing w:line="360" w:lineRule="auto"/>
        <w:ind w:right="560" w:firstLine="560" w:firstLineChars="200"/>
        <w:rPr>
          <w:rFonts w:hint="eastAsia" w:ascii="宋体" w:hAnsi="宋体" w:cs="宋体"/>
          <w:color w:val="121212"/>
          <w:sz w:val="28"/>
          <w:szCs w:val="28"/>
        </w:rPr>
      </w:pPr>
      <w:r>
        <w:rPr>
          <w:rFonts w:hint="eastAsia" w:ascii="宋体" w:hAnsi="宋体" w:cs="宋体"/>
          <w:color w:val="121212"/>
          <w:sz w:val="28"/>
          <w:szCs w:val="28"/>
        </w:rPr>
        <w:t xml:space="preserve"> 乐昌市中心城区红线范围内</w:t>
      </w:r>
    </w:p>
    <w:p>
      <w:pPr>
        <w:spacing w:line="360" w:lineRule="auto"/>
        <w:ind w:right="560" w:firstLine="560" w:firstLineChars="200"/>
        <w:rPr>
          <w:rFonts w:ascii="宋体" w:hAnsi="宋体" w:cs="宋体"/>
          <w:sz w:val="28"/>
          <w:szCs w:val="28"/>
        </w:rPr>
      </w:pPr>
      <w:r>
        <w:rPr>
          <w:rFonts w:hint="eastAsia" w:ascii="宋体" w:hAnsi="宋体" w:cs="宋体"/>
          <w:color w:val="121212"/>
          <w:sz w:val="28"/>
          <w:szCs w:val="28"/>
        </w:rPr>
        <w:t xml:space="preserve">禁止125cc（不含125cc）以上排量摩托车通行图  </w:t>
      </w:r>
      <w:r>
        <w:rPr>
          <w:rFonts w:hint="eastAsia" w:ascii="宋体" w:hAnsi="宋体" w:cs="宋体"/>
          <w:color w:val="FF0000"/>
          <w:sz w:val="28"/>
          <w:szCs w:val="28"/>
        </w:rPr>
        <w:t xml:space="preserve">  </w:t>
      </w:r>
      <w:r>
        <w:rPr>
          <w:rFonts w:hint="eastAsia" w:ascii="宋体" w:hAnsi="宋体" w:cs="宋体"/>
          <w:sz w:val="28"/>
          <w:szCs w:val="28"/>
        </w:rPr>
        <w:t xml:space="preserve">                        </w:t>
      </w: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tabs>
          <w:tab w:val="left" w:pos="5130"/>
        </w:tabs>
        <w:rPr>
          <w:rFonts w:ascii="宋体" w:hAnsi="宋体" w:cs="宋体"/>
          <w:sz w:val="28"/>
          <w:szCs w:val="28"/>
        </w:rPr>
      </w:pPr>
      <w:r>
        <w:rPr>
          <w:rFonts w:ascii="宋体" w:hAnsi="宋体" w:cs="宋体"/>
          <w:sz w:val="28"/>
          <w:szCs w:val="28"/>
        </w:rPr>
        <w:tab/>
      </w:r>
    </w:p>
    <w:p>
      <w:pPr>
        <w:rPr>
          <w:rFonts w:ascii="宋体" w:hAnsi="宋体" w:cs="宋体"/>
          <w:sz w:val="28"/>
          <w:szCs w:val="28"/>
        </w:rPr>
      </w:pPr>
    </w:p>
    <w:p>
      <w:pPr>
        <w:rPr>
          <w:rFonts w:hint="eastAsia" w:ascii="宋体" w:hAnsi="宋体" w:cs="宋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华文仿宋">
    <w:altName w:val="仿宋"/>
    <w:panose1 w:val="02010600040101010101"/>
    <w:charset w:val="86"/>
    <w:family w:val="auto"/>
    <w:pitch w:val="default"/>
    <w:sig w:usb0="00000287"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B0E06"/>
    <w:rsid w:val="001F25BC"/>
    <w:rsid w:val="00215977"/>
    <w:rsid w:val="003E3258"/>
    <w:rsid w:val="00467B2E"/>
    <w:rsid w:val="005D10C2"/>
    <w:rsid w:val="005E7F1D"/>
    <w:rsid w:val="0074116E"/>
    <w:rsid w:val="007644E9"/>
    <w:rsid w:val="00795097"/>
    <w:rsid w:val="008A1108"/>
    <w:rsid w:val="00921EF4"/>
    <w:rsid w:val="00937380"/>
    <w:rsid w:val="00956489"/>
    <w:rsid w:val="00972D67"/>
    <w:rsid w:val="009744C6"/>
    <w:rsid w:val="00AF770A"/>
    <w:rsid w:val="00C372B9"/>
    <w:rsid w:val="00C45768"/>
    <w:rsid w:val="00CD18C9"/>
    <w:rsid w:val="00D163A7"/>
    <w:rsid w:val="00D54A13"/>
    <w:rsid w:val="00DD1073"/>
    <w:rsid w:val="00E55928"/>
    <w:rsid w:val="00F83400"/>
    <w:rsid w:val="00FB709B"/>
    <w:rsid w:val="274217FD"/>
    <w:rsid w:val="354039E4"/>
    <w:rsid w:val="406D5491"/>
    <w:rsid w:val="6CC95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semiHidden/>
    <w:uiPriority w:val="0"/>
    <w:rPr>
      <w:rFonts w:ascii="Calibri" w:hAnsi="Calibri"/>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Hyperlink"/>
    <w:basedOn w:val="6"/>
    <w:uiPriority w:val="0"/>
    <w:rPr>
      <w:rFonts w:ascii="Times New Roman" w:hAnsi="Times New Roman" w:eastAsia="宋体" w:cs="Times New Roman"/>
      <w:color w:val="0000FF"/>
      <w:u w:val="single"/>
    </w:rPr>
  </w:style>
  <w:style w:type="paragraph" w:customStyle="1" w:styleId="8">
    <w:name w:val="p0"/>
    <w:basedOn w:val="1"/>
    <w:uiPriority w:val="0"/>
    <w:pPr>
      <w:widowControl/>
    </w:pPr>
    <w:rPr>
      <w:kern w:val="0"/>
      <w:szCs w:val="21"/>
    </w:rPr>
  </w:style>
  <w:style w:type="paragraph" w:customStyle="1" w:styleId="9">
    <w:name w:val="Char Char1 Char"/>
    <w:basedOn w:val="1"/>
    <w:uiPriority w:val="0"/>
    <w:pPr>
      <w:widowControl/>
      <w:spacing w:after="160" w:line="240" w:lineRule="exact"/>
      <w:jc w:val="left"/>
    </w:pPr>
    <w:rPr>
      <w:szCs w:val="24"/>
    </w:rPr>
  </w:style>
  <w:style w:type="paragraph" w:customStyle="1" w:styleId="10">
    <w:name w:val="正文 New"/>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2020-04-02T09:51:00Z</dcterms:created>
  <dc:creator>Administrator</dc:creator>
  <cp:lastModifiedBy>Administrator</cp:lastModifiedBy>
  <dcterms:modified xsi:type="dcterms:W3CDTF">2020-04-02T10:03:11Z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