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乐昌市发展和改革局202</w:t>
      </w:r>
      <w:r>
        <w:rPr>
          <w:rFonts w:hint="eastAsia" w:ascii="方正小标宋简体" w:hAnsi="方正小标宋简体" w:eastAsia="方正小标宋简体" w:cs="方正小标宋简体"/>
          <w:b w:val="0"/>
          <w:bCs w:val="0"/>
          <w:color w:val="auto"/>
          <w:sz w:val="44"/>
          <w:szCs w:val="44"/>
          <w:lang w:val="en-US" w:eastAsia="zh-CN"/>
        </w:rPr>
        <w:t>2</w:t>
      </w:r>
      <w:r>
        <w:rPr>
          <w:rFonts w:hint="eastAsia" w:ascii="方正小标宋简体" w:hAnsi="方正小标宋简体" w:eastAsia="方正小标宋简体" w:cs="方正小标宋简体"/>
          <w:b w:val="0"/>
          <w:bCs w:val="0"/>
          <w:color w:val="auto"/>
          <w:sz w:val="44"/>
          <w:szCs w:val="44"/>
        </w:rPr>
        <w:t>年主动公开基本</w:t>
      </w:r>
    </w:p>
    <w:p>
      <w:pPr>
        <w:pStyle w:val="2"/>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jc w:val="center"/>
        <w:textAlignment w:val="auto"/>
        <w:rPr>
          <w:rFonts w:ascii="微软雅黑" w:hAnsi="微软雅黑" w:eastAsia="微软雅黑"/>
          <w:color w:val="auto"/>
        </w:rPr>
      </w:pPr>
      <w:r>
        <w:rPr>
          <w:rFonts w:hint="eastAsia" w:ascii="方正小标宋简体" w:hAnsi="方正小标宋简体" w:eastAsia="方正小标宋简体" w:cs="方正小标宋简体"/>
          <w:b w:val="0"/>
          <w:bCs w:val="0"/>
          <w:color w:val="auto"/>
          <w:sz w:val="44"/>
          <w:szCs w:val="44"/>
        </w:rPr>
        <w:t>目录</w:t>
      </w:r>
    </w:p>
    <w:p>
      <w:pPr>
        <w:keepNext w:val="0"/>
        <w:keepLines w:val="0"/>
        <w:pageBreakBefore w:val="0"/>
        <w:widowControl/>
        <w:shd w:val="clear" w:color="auto" w:fill="FFFFFF"/>
        <w:kinsoku/>
        <w:overflowPunct/>
        <w:topLinePunct w:val="0"/>
        <w:autoSpaceDE/>
        <w:autoSpaceDN/>
        <w:bidi w:val="0"/>
        <w:adjustRightInd/>
        <w:snapToGrid/>
        <w:spacing w:line="560" w:lineRule="exact"/>
        <w:ind w:left="0" w:leftChars="0" w:firstLine="0" w:firstLineChars="0"/>
        <w:jc w:val="center"/>
        <w:textAlignment w:val="auto"/>
        <w:outlineLvl w:val="0"/>
        <w:rPr>
          <w:rFonts w:hint="eastAsia" w:ascii="仿宋_GB2312" w:hAnsi="仿宋_GB2312" w:eastAsia="仿宋_GB2312" w:cs="仿宋_GB2312"/>
          <w:color w:val="424242"/>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560" w:lineRule="exact"/>
        <w:ind w:left="0" w:leftChars="0" w:firstLine="0" w:firstLineChars="0"/>
        <w:jc w:val="center"/>
        <w:textAlignment w:val="auto"/>
        <w:outlineLvl w:val="0"/>
        <w:rPr>
          <w:rFonts w:hint="eastAsia" w:ascii="仿宋_GB2312" w:hAnsi="仿宋_GB2312" w:eastAsia="仿宋_GB2312" w:cs="仿宋_GB2312"/>
          <w:color w:val="424242"/>
          <w:kern w:val="0"/>
          <w:sz w:val="32"/>
          <w:szCs w:val="32"/>
        </w:rPr>
      </w:pPr>
      <w:r>
        <w:rPr>
          <w:rFonts w:hint="eastAsia" w:ascii="仿宋_GB2312" w:hAnsi="仿宋_GB2312" w:eastAsia="仿宋_GB2312" w:cs="仿宋_GB2312"/>
          <w:color w:val="424242"/>
          <w:kern w:val="0"/>
          <w:sz w:val="32"/>
          <w:szCs w:val="32"/>
        </w:rPr>
        <w:t>第</w:t>
      </w:r>
      <w:bookmarkStart w:id="0" w:name="_GoBack"/>
      <w:bookmarkEnd w:id="0"/>
      <w:r>
        <w:rPr>
          <w:rFonts w:hint="eastAsia" w:ascii="仿宋_GB2312" w:hAnsi="仿宋_GB2312" w:eastAsia="仿宋_GB2312" w:cs="仿宋_GB2312"/>
          <w:color w:val="424242"/>
          <w:kern w:val="0"/>
          <w:sz w:val="32"/>
          <w:szCs w:val="32"/>
        </w:rPr>
        <w:t>一部分  概述</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424242"/>
          <w:kern w:val="0"/>
          <w:sz w:val="32"/>
          <w:szCs w:val="32"/>
        </w:rPr>
      </w:pPr>
      <w:r>
        <w:rPr>
          <w:rFonts w:hint="eastAsia" w:ascii="仿宋_GB2312" w:hAnsi="仿宋_GB2312" w:eastAsia="仿宋_GB2312" w:cs="仿宋_GB2312"/>
          <w:color w:val="424242"/>
          <w:kern w:val="0"/>
          <w:sz w:val="32"/>
          <w:szCs w:val="32"/>
        </w:rPr>
        <w:t>一、主要依据</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424242"/>
          <w:kern w:val="0"/>
          <w:sz w:val="32"/>
          <w:szCs w:val="32"/>
        </w:rPr>
      </w:pPr>
      <w:r>
        <w:rPr>
          <w:rFonts w:hint="eastAsia" w:ascii="仿宋_GB2312" w:hAnsi="仿宋_GB2312" w:eastAsia="仿宋_GB2312" w:cs="仿宋_GB2312"/>
          <w:color w:val="424242"/>
          <w:kern w:val="0"/>
          <w:sz w:val="32"/>
          <w:szCs w:val="32"/>
        </w:rPr>
        <w:t>1.中华人民共和国政府信息公开条例</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424242"/>
          <w:kern w:val="0"/>
          <w:sz w:val="32"/>
          <w:szCs w:val="32"/>
        </w:rPr>
      </w:pPr>
      <w:r>
        <w:rPr>
          <w:rFonts w:hint="eastAsia" w:ascii="仿宋_GB2312" w:hAnsi="仿宋_GB2312" w:eastAsia="仿宋_GB2312" w:cs="仿宋_GB2312"/>
          <w:color w:val="424242"/>
          <w:kern w:val="0"/>
          <w:sz w:val="32"/>
          <w:szCs w:val="32"/>
        </w:rPr>
        <w:t>2.中共中央办公厅 国务院办公厅《关于全面推进政务公开工作的意见》(中办发〔2016〕8号)</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424242"/>
          <w:kern w:val="0"/>
          <w:sz w:val="32"/>
          <w:szCs w:val="32"/>
        </w:rPr>
      </w:pPr>
      <w:r>
        <w:rPr>
          <w:rFonts w:hint="eastAsia" w:ascii="仿宋_GB2312" w:hAnsi="仿宋_GB2312" w:eastAsia="仿宋_GB2312" w:cs="仿宋_GB2312"/>
          <w:color w:val="424242"/>
          <w:kern w:val="0"/>
          <w:sz w:val="32"/>
          <w:szCs w:val="32"/>
        </w:rPr>
        <w:t>3.国务院办公厅印发《关于全面推进政务公开工作的意见》实施细则的通知（国办发〔2016〕80号）</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424242"/>
          <w:kern w:val="0"/>
          <w:sz w:val="32"/>
          <w:szCs w:val="32"/>
        </w:rPr>
      </w:pPr>
      <w:r>
        <w:rPr>
          <w:rFonts w:hint="eastAsia" w:ascii="仿宋_GB2312" w:hAnsi="仿宋_GB2312" w:eastAsia="仿宋_GB2312" w:cs="仿宋_GB2312"/>
          <w:color w:val="424242"/>
          <w:kern w:val="0"/>
          <w:sz w:val="32"/>
          <w:szCs w:val="32"/>
        </w:rPr>
        <w:t>4.广东省政府办公厅关于印发省级部门主动公开基本目录编制工作方案的通知（粤办函〔2019〕142号）</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424242"/>
          <w:kern w:val="0"/>
          <w:sz w:val="32"/>
          <w:szCs w:val="32"/>
        </w:rPr>
      </w:pPr>
      <w:r>
        <w:rPr>
          <w:rFonts w:hint="eastAsia" w:ascii="仿宋_GB2312" w:hAnsi="仿宋_GB2312" w:eastAsia="仿宋_GB2312" w:cs="仿宋_GB2312"/>
          <w:color w:val="424242"/>
          <w:kern w:val="0"/>
          <w:sz w:val="32"/>
          <w:szCs w:val="32"/>
        </w:rPr>
        <w:t>5.广东省人民政府办公厅关于进一步推进省市县三级主动公开基本目录编制发布工作的通知（粤办函〔2021〕255号）</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424242"/>
          <w:kern w:val="0"/>
          <w:sz w:val="32"/>
          <w:szCs w:val="32"/>
        </w:rPr>
      </w:pPr>
      <w:r>
        <w:rPr>
          <w:rFonts w:hint="eastAsia" w:ascii="仿宋_GB2312" w:hAnsi="仿宋_GB2312" w:eastAsia="仿宋_GB2312" w:cs="仿宋_GB2312"/>
          <w:color w:val="424242"/>
          <w:kern w:val="0"/>
          <w:sz w:val="32"/>
          <w:szCs w:val="32"/>
        </w:rPr>
        <w:t>二、责任主体、公开时限、方式和监督渠道</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424242"/>
          <w:kern w:val="0"/>
          <w:sz w:val="32"/>
          <w:szCs w:val="32"/>
        </w:rPr>
      </w:pPr>
      <w:r>
        <w:rPr>
          <w:rFonts w:hint="eastAsia" w:ascii="仿宋_GB2312" w:hAnsi="仿宋_GB2312" w:eastAsia="仿宋_GB2312" w:cs="仿宋_GB2312"/>
          <w:color w:val="424242"/>
          <w:kern w:val="0"/>
          <w:sz w:val="32"/>
          <w:szCs w:val="32"/>
        </w:rPr>
        <w:t>【责任主体】乐昌市发展和改革局</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424242"/>
          <w:kern w:val="0"/>
          <w:sz w:val="32"/>
          <w:szCs w:val="32"/>
        </w:rPr>
      </w:pPr>
      <w:r>
        <w:rPr>
          <w:rFonts w:hint="eastAsia" w:ascii="仿宋_GB2312" w:hAnsi="仿宋_GB2312" w:eastAsia="仿宋_GB2312" w:cs="仿宋_GB2312"/>
          <w:color w:val="424242"/>
          <w:kern w:val="0"/>
          <w:sz w:val="32"/>
          <w:szCs w:val="32"/>
        </w:rPr>
        <w:t>【公开时限】政府信息形成或者变更之日起20个工作日内（法律、法规对政府信息公开的时限另有规定的，从其规定）</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424242"/>
          <w:kern w:val="0"/>
          <w:sz w:val="32"/>
          <w:szCs w:val="32"/>
        </w:rPr>
      </w:pPr>
      <w:r>
        <w:rPr>
          <w:rFonts w:hint="eastAsia" w:ascii="仿宋_GB2312" w:hAnsi="仿宋_GB2312" w:eastAsia="仿宋_GB2312" w:cs="仿宋_GB2312"/>
          <w:color w:val="424242"/>
          <w:kern w:val="0"/>
          <w:sz w:val="32"/>
          <w:szCs w:val="32"/>
        </w:rPr>
        <w:t>【公开方式】乐昌市政府公众信息网（www.lechang.gov.cn）</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424242"/>
          <w:kern w:val="0"/>
          <w:sz w:val="32"/>
          <w:szCs w:val="32"/>
        </w:rPr>
      </w:pPr>
      <w:r>
        <w:rPr>
          <w:rFonts w:hint="eastAsia" w:ascii="仿宋_GB2312" w:hAnsi="仿宋_GB2312" w:eastAsia="仿宋_GB2312" w:cs="仿宋_GB2312"/>
          <w:color w:val="424242"/>
          <w:kern w:val="0"/>
          <w:sz w:val="32"/>
          <w:szCs w:val="32"/>
        </w:rPr>
        <w:t>【监督渠道】通过网站互动（http://www.lechang.gov.cn/zmhd/zjdc/index.html）、电话监督（0751-5551108）</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424242"/>
          <w:kern w:val="0"/>
          <w:sz w:val="32"/>
          <w:szCs w:val="32"/>
        </w:rPr>
      </w:pPr>
      <w:r>
        <w:rPr>
          <w:rFonts w:hint="eastAsia" w:ascii="仿宋_GB2312" w:hAnsi="仿宋_GB2312" w:eastAsia="仿宋_GB2312" w:cs="仿宋_GB2312"/>
          <w:color w:val="424242"/>
          <w:kern w:val="0"/>
          <w:sz w:val="32"/>
          <w:szCs w:val="32"/>
        </w:rPr>
        <w:t>第二部分  主动公开基本目录</w:t>
      </w:r>
    </w:p>
    <w:tbl>
      <w:tblPr>
        <w:tblStyle w:val="6"/>
        <w:tblW w:w="903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70"/>
        <w:gridCol w:w="1380"/>
        <w:gridCol w:w="30"/>
        <w:gridCol w:w="1350"/>
        <w:gridCol w:w="4125"/>
        <w:gridCol w:w="157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b/>
                <w:bCs/>
                <w:color w:val="424242"/>
                <w:kern w:val="0"/>
                <w:sz w:val="27"/>
                <w:szCs w:val="27"/>
              </w:rPr>
              <w:t>序号</w:t>
            </w:r>
          </w:p>
        </w:tc>
        <w:tc>
          <w:tcPr>
            <w:tcW w:w="2760" w:type="dxa"/>
            <w:gridSpan w:val="3"/>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b/>
                <w:bCs/>
                <w:color w:val="424242"/>
                <w:kern w:val="0"/>
                <w:sz w:val="27"/>
                <w:szCs w:val="27"/>
              </w:rPr>
              <w:t>公开类别及事项</w:t>
            </w:r>
          </w:p>
        </w:tc>
        <w:tc>
          <w:tcPr>
            <w:tcW w:w="41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b/>
                <w:bCs/>
                <w:color w:val="424242"/>
                <w:kern w:val="0"/>
                <w:sz w:val="27"/>
                <w:szCs w:val="27"/>
              </w:rPr>
              <w:t>公开内容</w:t>
            </w:r>
          </w:p>
        </w:tc>
        <w:tc>
          <w:tcPr>
            <w:tcW w:w="15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b/>
                <w:bCs/>
                <w:color w:val="424242"/>
                <w:kern w:val="0"/>
                <w:sz w:val="27"/>
                <w:szCs w:val="27"/>
              </w:rPr>
              <w:t>责任处室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p>
        </w:tc>
        <w:tc>
          <w:tcPr>
            <w:tcW w:w="1410"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b/>
                <w:bCs/>
                <w:color w:val="424242"/>
                <w:kern w:val="0"/>
                <w:sz w:val="27"/>
                <w:szCs w:val="27"/>
              </w:rPr>
              <w:t>一级类目</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b/>
                <w:bCs/>
                <w:color w:val="424242"/>
                <w:kern w:val="0"/>
                <w:sz w:val="27"/>
                <w:szCs w:val="27"/>
              </w:rPr>
              <w:t>二级类目</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9030" w:type="dxa"/>
            <w:gridSpan w:val="6"/>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一、政府信息公开部分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1</w:t>
            </w:r>
          </w:p>
        </w:tc>
        <w:tc>
          <w:tcPr>
            <w:tcW w:w="2760" w:type="dxa"/>
            <w:gridSpan w:val="3"/>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政府信息公开指南</w:t>
            </w: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政府信息分类和编排体系、获取形式、政府信息公开工作机构、监督方式等</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二</w:t>
            </w:r>
          </w:p>
        </w:tc>
        <w:tc>
          <w:tcPr>
            <w:tcW w:w="8460" w:type="dxa"/>
            <w:gridSpan w:val="5"/>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7"/>
                <w:szCs w:val="27"/>
              </w:rPr>
            </w:pPr>
            <w:r>
              <w:rPr>
                <w:rFonts w:hint="eastAsia" w:ascii="仿宋_GB2312" w:hAnsi="仿宋_GB2312" w:eastAsia="仿宋_GB2312" w:cs="仿宋_GB2312"/>
                <w:color w:val="424242"/>
                <w:kern w:val="0"/>
                <w:sz w:val="27"/>
                <w:szCs w:val="27"/>
              </w:rPr>
              <w:t>法定主动公开内容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38" w:hRule="atLeast"/>
        </w:trPr>
        <w:tc>
          <w:tcPr>
            <w:tcW w:w="570" w:type="dxa"/>
            <w:vMerge w:val="restart"/>
            <w:tcBorders>
              <w:top w:val="single" w:color="000000" w:sz="6" w:space="0"/>
              <w:left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1</w:t>
            </w:r>
          </w:p>
        </w:tc>
        <w:tc>
          <w:tcPr>
            <w:tcW w:w="1410" w:type="dxa"/>
            <w:gridSpan w:val="2"/>
            <w:vMerge w:val="restart"/>
            <w:tcBorders>
              <w:top w:val="single" w:color="000000" w:sz="6" w:space="0"/>
              <w:left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机构职能</w:t>
            </w:r>
          </w:p>
        </w:tc>
        <w:tc>
          <w:tcPr>
            <w:tcW w:w="1350" w:type="dxa"/>
            <w:tcBorders>
              <w:top w:val="single" w:color="000000" w:sz="6" w:space="0"/>
              <w:left w:val="single" w:color="000000" w:sz="6" w:space="0"/>
              <w:bottom w:val="single" w:color="000000" w:sz="6" w:space="0"/>
              <w:right w:val="single" w:color="auto" w:sz="4"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机构概况</w:t>
            </w:r>
          </w:p>
        </w:tc>
        <w:tc>
          <w:tcPr>
            <w:tcW w:w="4125"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机构设置及主要职能情况、内设机构设置及职能情况。</w:t>
            </w:r>
          </w:p>
        </w:tc>
        <w:tc>
          <w:tcPr>
            <w:tcW w:w="1575" w:type="dxa"/>
            <w:vMerge w:val="restart"/>
            <w:tcBorders>
              <w:top w:val="single" w:color="000000" w:sz="6" w:space="0"/>
              <w:left w:val="single" w:color="auto" w:sz="4"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37" w:hRule="atLeast"/>
        </w:trPr>
        <w:tc>
          <w:tcPr>
            <w:tcW w:w="570" w:type="dxa"/>
            <w:vMerge w:val="continue"/>
            <w:tcBorders>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p>
        </w:tc>
        <w:tc>
          <w:tcPr>
            <w:tcW w:w="1410" w:type="dxa"/>
            <w:gridSpan w:val="2"/>
            <w:vMerge w:val="continue"/>
            <w:tcBorders>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p>
        </w:tc>
        <w:tc>
          <w:tcPr>
            <w:tcW w:w="1350" w:type="dxa"/>
            <w:tcBorders>
              <w:top w:val="single" w:color="000000" w:sz="6" w:space="0"/>
              <w:left w:val="single" w:color="000000" w:sz="6" w:space="0"/>
              <w:bottom w:val="single" w:color="000000" w:sz="6" w:space="0"/>
              <w:right w:val="single" w:color="auto" w:sz="4"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机构领导</w:t>
            </w:r>
          </w:p>
        </w:tc>
        <w:tc>
          <w:tcPr>
            <w:tcW w:w="4125"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机构领导及分工情况</w:t>
            </w:r>
          </w:p>
        </w:tc>
        <w:tc>
          <w:tcPr>
            <w:tcW w:w="1575" w:type="dxa"/>
            <w:vMerge w:val="continue"/>
            <w:tcBorders>
              <w:left w:val="single" w:color="auto" w:sz="4"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37" w:hRule="atLeast"/>
        </w:trPr>
        <w:tc>
          <w:tcPr>
            <w:tcW w:w="570" w:type="dxa"/>
            <w:tcBorders>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2</w:t>
            </w:r>
          </w:p>
        </w:tc>
        <w:tc>
          <w:tcPr>
            <w:tcW w:w="1410" w:type="dxa"/>
            <w:gridSpan w:val="2"/>
            <w:tcBorders>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部门文件</w:t>
            </w:r>
          </w:p>
        </w:tc>
        <w:tc>
          <w:tcPr>
            <w:tcW w:w="1350" w:type="dxa"/>
            <w:tcBorders>
              <w:top w:val="single" w:color="000000" w:sz="6" w:space="0"/>
              <w:left w:val="single" w:color="000000" w:sz="6" w:space="0"/>
              <w:bottom w:val="single" w:color="000000" w:sz="6" w:space="0"/>
              <w:right w:val="single" w:color="auto" w:sz="4"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p>
        </w:tc>
        <w:tc>
          <w:tcPr>
            <w:tcW w:w="4125"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以乐昌市发展和改革局名义发布或者作为主办部门与其他部门联合发布的规范性文件；除规范性文件外的业务公开信息；相关政策法规的解读。</w:t>
            </w:r>
          </w:p>
        </w:tc>
        <w:tc>
          <w:tcPr>
            <w:tcW w:w="1575" w:type="dxa"/>
            <w:tcBorders>
              <w:left w:val="single" w:color="auto" w:sz="4"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3</w:t>
            </w:r>
          </w:p>
        </w:tc>
        <w:tc>
          <w:tcPr>
            <w:tcW w:w="1410"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规划计划</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p>
        </w:tc>
        <w:tc>
          <w:tcPr>
            <w:tcW w:w="4125" w:type="dxa"/>
            <w:tcBorders>
              <w:top w:val="single" w:color="auto" w:sz="4"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乐昌市发展和改革局年度总结和下一年工作打算</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各股室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4</w:t>
            </w:r>
          </w:p>
        </w:tc>
        <w:tc>
          <w:tcPr>
            <w:tcW w:w="1410"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工作动态</w:t>
            </w:r>
          </w:p>
        </w:tc>
        <w:tc>
          <w:tcPr>
            <w:tcW w:w="1350" w:type="dxa"/>
            <w:tcBorders>
              <w:top w:val="single" w:color="000000" w:sz="6" w:space="0"/>
              <w:left w:val="single" w:color="000000" w:sz="6" w:space="0"/>
              <w:bottom w:val="single" w:color="auto" w:sz="4"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工作情况</w:t>
            </w:r>
          </w:p>
        </w:tc>
        <w:tc>
          <w:tcPr>
            <w:tcW w:w="4125" w:type="dxa"/>
            <w:tcBorders>
              <w:top w:val="single" w:color="000000" w:sz="6" w:space="0"/>
              <w:left w:val="single" w:color="000000" w:sz="6" w:space="0"/>
              <w:bottom w:val="single" w:color="auto" w:sz="4"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乐昌市发展和改革局开展的各项有关工作主要情况</w:t>
            </w:r>
          </w:p>
        </w:tc>
        <w:tc>
          <w:tcPr>
            <w:tcW w:w="1575" w:type="dxa"/>
            <w:tcBorders>
              <w:top w:val="single" w:color="000000" w:sz="6" w:space="0"/>
              <w:left w:val="single" w:color="000000" w:sz="6" w:space="0"/>
              <w:bottom w:val="single" w:color="auto" w:sz="4"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各股室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23" w:hRule="atLeast"/>
        </w:trPr>
        <w:tc>
          <w:tcPr>
            <w:tcW w:w="570" w:type="dxa"/>
            <w:tcBorders>
              <w:top w:val="single" w:color="000000" w:sz="6" w:space="0"/>
              <w:left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5</w:t>
            </w:r>
          </w:p>
        </w:tc>
        <w:tc>
          <w:tcPr>
            <w:tcW w:w="1410" w:type="dxa"/>
            <w:gridSpan w:val="2"/>
            <w:tcBorders>
              <w:top w:val="single" w:color="000000" w:sz="6" w:space="0"/>
              <w:left w:val="single" w:color="000000" w:sz="6" w:space="0"/>
              <w:right w:val="single" w:color="auto" w:sz="4"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业务工作</w:t>
            </w:r>
          </w:p>
        </w:tc>
        <w:tc>
          <w:tcPr>
            <w:tcW w:w="1350"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行政许可</w:t>
            </w:r>
          </w:p>
        </w:tc>
        <w:tc>
          <w:tcPr>
            <w:tcW w:w="4125"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乐昌市发展和改革局审批的相关批复文件</w:t>
            </w:r>
          </w:p>
        </w:tc>
        <w:tc>
          <w:tcPr>
            <w:tcW w:w="1575"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投资服务与综合审批股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6</w:t>
            </w:r>
          </w:p>
        </w:tc>
        <w:tc>
          <w:tcPr>
            <w:tcW w:w="1410"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统计信息</w:t>
            </w:r>
          </w:p>
        </w:tc>
        <w:tc>
          <w:tcPr>
            <w:tcW w:w="1350" w:type="dxa"/>
            <w:tcBorders>
              <w:top w:val="single" w:color="auto" w:sz="4"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财政预决算、“三公”经费</w:t>
            </w:r>
          </w:p>
        </w:tc>
        <w:tc>
          <w:tcPr>
            <w:tcW w:w="4125" w:type="dxa"/>
            <w:tcBorders>
              <w:top w:val="single" w:color="auto" w:sz="4"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乐昌市发展和改革局部门预算、决算公开及三公经费情况</w:t>
            </w:r>
          </w:p>
        </w:tc>
        <w:tc>
          <w:tcPr>
            <w:tcW w:w="1575" w:type="dxa"/>
            <w:tcBorders>
              <w:top w:val="single" w:color="auto" w:sz="4"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7</w:t>
            </w:r>
          </w:p>
        </w:tc>
        <w:tc>
          <w:tcPr>
            <w:tcW w:w="1410"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其他</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通知、公示、公告</w:t>
            </w: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乐昌市发展和改革局人事任免事项以及职责范围内依法应当公开的其他信息。</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8</w:t>
            </w:r>
          </w:p>
        </w:tc>
        <w:tc>
          <w:tcPr>
            <w:tcW w:w="2760" w:type="dxa"/>
            <w:gridSpan w:val="3"/>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政府信息公开工作年度报告</w:t>
            </w: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乐昌市发展和改革局每年发布的上年度政府信息公开工作情况</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三</w:t>
            </w:r>
          </w:p>
        </w:tc>
        <w:tc>
          <w:tcPr>
            <w:tcW w:w="8460" w:type="dxa"/>
            <w:gridSpan w:val="5"/>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重点领域公开部分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1.</w:t>
            </w:r>
          </w:p>
        </w:tc>
        <w:tc>
          <w:tcPr>
            <w:tcW w:w="2760" w:type="dxa"/>
            <w:gridSpan w:val="3"/>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财政预决算和“三公经费”</w:t>
            </w:r>
          </w:p>
        </w:tc>
        <w:tc>
          <w:tcPr>
            <w:tcW w:w="412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乐昌市发展和改革局部门预算、决算公开及三公经费情况</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38" w:hRule="atLeast"/>
        </w:trPr>
        <w:tc>
          <w:tcPr>
            <w:tcW w:w="570" w:type="dxa"/>
            <w:vMerge w:val="restart"/>
            <w:tcBorders>
              <w:top w:val="single" w:color="000000" w:sz="6" w:space="0"/>
              <w:left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2</w:t>
            </w:r>
          </w:p>
        </w:tc>
        <w:tc>
          <w:tcPr>
            <w:tcW w:w="1380" w:type="dxa"/>
            <w:vMerge w:val="restart"/>
            <w:tcBorders>
              <w:top w:val="single" w:color="000000" w:sz="6" w:space="0"/>
              <w:left w:val="single" w:color="000000" w:sz="6" w:space="0"/>
              <w:right w:val="single" w:color="auto" w:sz="4"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价格和收费信息公开</w:t>
            </w:r>
          </w:p>
        </w:tc>
        <w:tc>
          <w:tcPr>
            <w:tcW w:w="13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目录清单</w:t>
            </w:r>
          </w:p>
        </w:tc>
        <w:tc>
          <w:tcPr>
            <w:tcW w:w="4125" w:type="dxa"/>
            <w:tcBorders>
              <w:top w:val="single" w:color="000000" w:sz="6" w:space="0"/>
              <w:left w:val="single" w:color="auto" w:sz="4"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收费目录清单</w:t>
            </w:r>
          </w:p>
        </w:tc>
        <w:tc>
          <w:tcPr>
            <w:tcW w:w="1575" w:type="dxa"/>
            <w:vMerge w:val="restart"/>
            <w:tcBorders>
              <w:top w:val="single" w:color="000000" w:sz="6" w:space="0"/>
              <w:left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价格服务与收费管理股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37" w:hRule="atLeast"/>
        </w:trPr>
        <w:tc>
          <w:tcPr>
            <w:tcW w:w="570" w:type="dxa"/>
            <w:vMerge w:val="continue"/>
            <w:tcBorders>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widowControl/>
              <w:wordWrap w:val="0"/>
              <w:spacing w:line="360" w:lineRule="atLeast"/>
              <w:jc w:val="left"/>
              <w:rPr>
                <w:rFonts w:ascii="微软雅黑" w:hAnsi="微软雅黑" w:eastAsia="微软雅黑" w:cs="宋体"/>
                <w:color w:val="424242"/>
                <w:kern w:val="0"/>
                <w:sz w:val="27"/>
                <w:szCs w:val="27"/>
              </w:rPr>
            </w:pPr>
          </w:p>
        </w:tc>
        <w:tc>
          <w:tcPr>
            <w:tcW w:w="1380" w:type="dxa"/>
            <w:vMerge w:val="continue"/>
            <w:tcBorders>
              <w:left w:val="single" w:color="000000" w:sz="6" w:space="0"/>
              <w:bottom w:val="single" w:color="000000" w:sz="6" w:space="0"/>
              <w:right w:val="single" w:color="auto" w:sz="4" w:space="0"/>
            </w:tcBorders>
            <w:shd w:val="clear" w:color="auto" w:fill="FFFFFF"/>
            <w:tcMar>
              <w:top w:w="60" w:type="dxa"/>
              <w:left w:w="120" w:type="dxa"/>
              <w:bottom w:w="60" w:type="dxa"/>
              <w:right w:w="120" w:type="dxa"/>
            </w:tcMar>
            <w:vAlign w:val="center"/>
          </w:tcPr>
          <w:p>
            <w:pPr>
              <w:widowControl/>
              <w:wordWrap w:val="0"/>
              <w:spacing w:line="360" w:lineRule="atLeast"/>
              <w:jc w:val="left"/>
              <w:rPr>
                <w:rFonts w:ascii="微软雅黑" w:hAnsi="微软雅黑" w:eastAsia="微软雅黑" w:cs="宋体"/>
                <w:color w:val="424242"/>
                <w:kern w:val="0"/>
                <w:sz w:val="27"/>
                <w:szCs w:val="27"/>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价费标准</w:t>
            </w:r>
          </w:p>
        </w:tc>
        <w:tc>
          <w:tcPr>
            <w:tcW w:w="4125" w:type="dxa"/>
            <w:tcBorders>
              <w:left w:val="single" w:color="auto" w:sz="4" w:space="0"/>
              <w:bottom w:val="single" w:color="000000" w:sz="6" w:space="0"/>
              <w:right w:val="single" w:color="000000" w:sz="6" w:space="0"/>
            </w:tcBorders>
            <w:shd w:val="clear" w:color="auto" w:fill="FFFFFF"/>
            <w:tcMar>
              <w:top w:w="60" w:type="dxa"/>
              <w:left w:w="120" w:type="dxa"/>
              <w:bottom w:w="60"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424242"/>
                <w:kern w:val="0"/>
                <w:sz w:val="27"/>
                <w:szCs w:val="27"/>
              </w:rPr>
            </w:pPr>
            <w:r>
              <w:rPr>
                <w:rFonts w:hint="eastAsia" w:ascii="仿宋_GB2312" w:hAnsi="仿宋_GB2312" w:eastAsia="仿宋_GB2312" w:cs="仿宋_GB2312"/>
                <w:color w:val="424242"/>
                <w:kern w:val="0"/>
                <w:sz w:val="27"/>
                <w:szCs w:val="27"/>
              </w:rPr>
              <w:t>商品价格、服务收费、行政事业性收费情况</w:t>
            </w:r>
          </w:p>
        </w:tc>
        <w:tc>
          <w:tcPr>
            <w:tcW w:w="1575" w:type="dxa"/>
            <w:vMerge w:val="continue"/>
            <w:tcBorders>
              <w:left w:val="single" w:color="000000" w:sz="6" w:space="0"/>
              <w:bottom w:val="single" w:color="000000" w:sz="6" w:space="0"/>
              <w:right w:val="single" w:color="000000" w:sz="6" w:space="0"/>
            </w:tcBorders>
            <w:shd w:val="clear" w:color="auto" w:fill="FFFFFF"/>
            <w:tcMar>
              <w:top w:w="60" w:type="dxa"/>
              <w:left w:w="120" w:type="dxa"/>
              <w:bottom w:w="60" w:type="dxa"/>
              <w:right w:w="120" w:type="dxa"/>
            </w:tcMar>
            <w:vAlign w:val="center"/>
          </w:tcPr>
          <w:p>
            <w:pPr>
              <w:widowControl/>
              <w:wordWrap w:val="0"/>
              <w:spacing w:line="360" w:lineRule="atLeast"/>
              <w:jc w:val="left"/>
              <w:rPr>
                <w:rFonts w:ascii="微软雅黑" w:hAnsi="微软雅黑" w:eastAsia="微软雅黑" w:cs="宋体"/>
                <w:color w:val="424242"/>
                <w:kern w:val="0"/>
                <w:sz w:val="27"/>
                <w:szCs w:val="27"/>
              </w:rPr>
            </w:pPr>
          </w:p>
        </w:tc>
      </w:tr>
    </w:tbl>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5ZWEyY2NkOTg5ZWJiM2Y4ZjI0NDMyMTQ2OGE5N2IifQ=="/>
  </w:docVars>
  <w:rsids>
    <w:rsidRoot w:val="00E00CA7"/>
    <w:rsid w:val="00172B4B"/>
    <w:rsid w:val="00204416"/>
    <w:rsid w:val="00264053"/>
    <w:rsid w:val="00806FFB"/>
    <w:rsid w:val="0086310B"/>
    <w:rsid w:val="0094337E"/>
    <w:rsid w:val="009A11DA"/>
    <w:rsid w:val="00A01AE5"/>
    <w:rsid w:val="00AB77B2"/>
    <w:rsid w:val="00B35052"/>
    <w:rsid w:val="00DA3E94"/>
    <w:rsid w:val="00E00CA7"/>
    <w:rsid w:val="00ED1EE5"/>
    <w:rsid w:val="01F53D45"/>
    <w:rsid w:val="404A0902"/>
    <w:rsid w:val="6F9B1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1 字符"/>
    <w:basedOn w:val="7"/>
    <w:link w:val="2"/>
    <w:uiPriority w:val="9"/>
    <w:rPr>
      <w:rFonts w:ascii="宋体" w:hAnsi="宋体" w:eastAsia="宋体" w:cs="宋体"/>
      <w:b/>
      <w:bCs/>
      <w:kern w:val="36"/>
      <w:sz w:val="48"/>
      <w:szCs w:val="48"/>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913</Words>
  <Characters>1013</Characters>
  <Lines>7</Lines>
  <Paragraphs>2</Paragraphs>
  <TotalTime>2</TotalTime>
  <ScaleCrop>false</ScaleCrop>
  <LinksUpToDate>false</LinksUpToDate>
  <CharactersWithSpaces>1018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2021-12-17T08:31:00Z</dcterms:created>
  <dc:creator>Administrator</dc:creator>
  <cp:lastModifiedBy>Administrator</cp:lastModifiedBy>
  <dcterms:modified xsi:type="dcterms:W3CDTF">2023-01-16T09:56:34Z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3C4674BFAEE24FDC85BF59D5F91F8DE6</vt:lpwstr>
  </property>
</Properties>
</file>