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kern w:val="28"/>
          <w:sz w:val="32"/>
          <w:szCs w:val="32"/>
        </w:rPr>
      </w:pPr>
      <w:r>
        <w:rPr>
          <w:rFonts w:hint="eastAsia" w:eastAsia="仿宋_GB2312"/>
          <w:kern w:val="28"/>
          <w:sz w:val="32"/>
          <w:szCs w:val="32"/>
        </w:rPr>
        <w:t>附件1：</w:t>
      </w:r>
    </w:p>
    <w:p>
      <w:pPr>
        <w:jc w:val="center"/>
        <w:rPr>
          <w:rFonts w:hint="eastAsia" w:ascii="Times New Roman" w:hAnsi="Times New Roman" w:eastAsia="华文中宋" w:cs="Times New Roman"/>
          <w:b/>
          <w:bCs/>
          <w:sz w:val="52"/>
          <w:szCs w:val="52"/>
          <w:lang w:val="en-US" w:eastAsia="zh-CN"/>
        </w:rPr>
      </w:pPr>
      <w:r>
        <w:rPr>
          <w:rFonts w:hint="eastAsia" w:eastAsia="华文中宋"/>
          <w:b/>
          <w:bCs/>
          <w:sz w:val="52"/>
          <w:szCs w:val="52"/>
          <w:lang w:val="en-US" w:eastAsia="zh-CN"/>
        </w:rPr>
        <w:t>乐昌市2018年</w:t>
      </w:r>
      <w:r>
        <w:rPr>
          <w:rFonts w:hint="eastAsia" w:eastAsia="华文中宋"/>
          <w:b/>
          <w:bCs/>
          <w:sz w:val="52"/>
          <w:szCs w:val="52"/>
        </w:rPr>
        <w:t>国有农用地</w:t>
      </w:r>
      <w:r>
        <w:rPr>
          <w:rFonts w:hint="eastAsia" w:ascii="Times New Roman" w:hAnsi="Times New Roman" w:eastAsia="华文中宋" w:cs="Times New Roman"/>
          <w:b/>
          <w:bCs/>
          <w:sz w:val="52"/>
          <w:szCs w:val="52"/>
          <w:lang w:val="en-US" w:eastAsia="zh-CN"/>
        </w:rPr>
        <w:t>基准地价</w:t>
      </w:r>
    </w:p>
    <w:p>
      <w:pPr>
        <w:jc w:val="center"/>
        <w:rPr>
          <w:rFonts w:hint="eastAsia" w:ascii="Times New Roman" w:hAnsi="Times New Roman" w:eastAsia="华文中宋" w:cs="Times New Roman"/>
          <w:b/>
          <w:bCs/>
          <w:sz w:val="52"/>
          <w:szCs w:val="52"/>
          <w:lang w:val="en-US" w:eastAsia="zh-CN"/>
        </w:rPr>
      </w:pPr>
      <w:r>
        <w:rPr>
          <w:rFonts w:hint="eastAsia" w:ascii="Times New Roman" w:hAnsi="Times New Roman" w:eastAsia="华文中宋" w:cs="Times New Roman"/>
          <w:b/>
          <w:bCs/>
          <w:sz w:val="52"/>
          <w:szCs w:val="52"/>
          <w:lang w:val="en-US" w:eastAsia="zh-CN"/>
        </w:rPr>
        <w:t>制订工作范围及内涵</w:t>
      </w:r>
    </w:p>
    <w:p>
      <w:pPr>
        <w:pStyle w:val="8"/>
        <w:numPr>
          <w:ilvl w:val="0"/>
          <w:numId w:val="1"/>
        </w:numPr>
        <w:ind w:firstLineChars="0"/>
        <w:jc w:val="left"/>
        <w:rPr>
          <w:rFonts w:eastAsia="仿宋_GB2312"/>
          <w:b/>
          <w:kern w:val="28"/>
          <w:sz w:val="28"/>
          <w:szCs w:val="28"/>
        </w:rPr>
      </w:pPr>
      <w:r>
        <w:rPr>
          <w:rFonts w:hint="eastAsia" w:eastAsia="仿宋_GB2312"/>
          <w:b/>
          <w:kern w:val="28"/>
          <w:sz w:val="28"/>
          <w:szCs w:val="28"/>
          <w:lang w:eastAsia="zh-CN"/>
        </w:rPr>
        <w:t>工作</w:t>
      </w:r>
      <w:r>
        <w:rPr>
          <w:rFonts w:hint="eastAsia" w:eastAsia="仿宋_GB2312"/>
          <w:b/>
          <w:kern w:val="28"/>
          <w:sz w:val="28"/>
          <w:szCs w:val="28"/>
        </w:rPr>
        <w:t>范围</w:t>
      </w:r>
    </w:p>
    <w:p>
      <w:pPr>
        <w:pStyle w:val="8"/>
        <w:ind w:firstLine="560"/>
        <w:jc w:val="left"/>
        <w:rPr>
          <w:rFonts w:hint="eastAsia" w:eastAsia="仿宋_GB2312"/>
          <w:sz w:val="28"/>
          <w:szCs w:val="28"/>
        </w:rPr>
      </w:pPr>
      <w:r>
        <w:rPr>
          <w:rFonts w:hint="eastAsia" w:eastAsia="仿宋_GB2312"/>
          <w:sz w:val="28"/>
          <w:szCs w:val="28"/>
        </w:rPr>
        <w:t>本次</w:t>
      </w:r>
      <w:r>
        <w:rPr>
          <w:rFonts w:hint="eastAsia" w:eastAsia="仿宋_GB2312"/>
          <w:sz w:val="28"/>
          <w:szCs w:val="28"/>
          <w:lang w:eastAsia="zh-CN"/>
        </w:rPr>
        <w:t>乐昌市</w:t>
      </w:r>
      <w:r>
        <w:rPr>
          <w:rFonts w:hint="eastAsia" w:eastAsia="仿宋_GB2312"/>
          <w:sz w:val="28"/>
          <w:szCs w:val="28"/>
        </w:rPr>
        <w:t>2018年国有农用地基准地价评估范围为</w:t>
      </w:r>
      <w:r>
        <w:rPr>
          <w:rFonts w:hint="eastAsia" w:eastAsia="仿宋_GB2312"/>
          <w:sz w:val="28"/>
          <w:szCs w:val="28"/>
          <w:lang w:eastAsia="zh-CN"/>
        </w:rPr>
        <w:t>乐昌市</w:t>
      </w:r>
      <w:r>
        <w:rPr>
          <w:rFonts w:hint="eastAsia" w:eastAsia="仿宋_GB2312"/>
          <w:sz w:val="28"/>
          <w:szCs w:val="28"/>
        </w:rPr>
        <w:t>全部行政辖区范围，包含</w:t>
      </w:r>
      <w:r>
        <w:rPr>
          <w:rFonts w:hint="eastAsia" w:ascii="仿宋_GB2312" w:hAnsi="仿宋_GB2312" w:eastAsia="仿宋_GB2312" w:cs="仿宋_GB2312"/>
          <w:sz w:val="28"/>
          <w:szCs w:val="28"/>
          <w:highlight w:val="none"/>
          <w:lang w:val="en-US" w:eastAsia="zh-CN"/>
        </w:rPr>
        <w:t>包含白石镇、北乡镇、大源镇、黄圃镇、九峰镇、廊田镇、乐城街道、两江镇、梅花镇、坪石镇、庆云镇、三溪镇、沙坪镇、五山镇、秀水镇、云岩镇、长来镇</w:t>
      </w:r>
      <w:r>
        <w:rPr>
          <w:rFonts w:hint="eastAsia" w:eastAsia="仿宋_GB2312"/>
          <w:sz w:val="28"/>
          <w:szCs w:val="28"/>
        </w:rPr>
        <w:t>。</w:t>
      </w:r>
    </w:p>
    <w:p>
      <w:pPr>
        <w:pStyle w:val="8"/>
        <w:ind w:firstLine="560"/>
        <w:jc w:val="left"/>
        <w:rPr>
          <w:rFonts w:hint="eastAsia" w:ascii="Times New Roman" w:hAnsi="Times New Roman" w:eastAsia="仿宋_GB2312" w:cs="Times New Roman"/>
          <w:sz w:val="28"/>
          <w:szCs w:val="28"/>
        </w:rPr>
      </w:pPr>
      <w:r>
        <w:rPr>
          <w:rFonts w:hint="eastAsia" w:eastAsia="仿宋_GB2312"/>
          <w:sz w:val="28"/>
          <w:szCs w:val="28"/>
        </w:rPr>
        <w:t>本次</w:t>
      </w:r>
      <w:r>
        <w:rPr>
          <w:rFonts w:hint="eastAsia" w:eastAsia="仿宋_GB2312"/>
          <w:sz w:val="28"/>
          <w:szCs w:val="28"/>
          <w:lang w:eastAsia="zh-CN"/>
        </w:rPr>
        <w:t>乐昌市</w:t>
      </w:r>
      <w:r>
        <w:rPr>
          <w:rFonts w:hint="eastAsia" w:eastAsia="仿宋_GB2312"/>
          <w:sz w:val="28"/>
          <w:szCs w:val="28"/>
        </w:rPr>
        <w:t>2018年国有农用地基准地价评价对象为工作范围内现有的全部国有农用地及</w:t>
      </w:r>
      <w:r>
        <w:rPr>
          <w:rFonts w:hint="eastAsia" w:eastAsia="仿宋_GB2312"/>
          <w:sz w:val="28"/>
          <w:szCs w:val="28"/>
          <w:lang w:eastAsia="zh-CN"/>
        </w:rPr>
        <w:t>宜农未利用地</w:t>
      </w:r>
      <w:r>
        <w:rPr>
          <w:rFonts w:hint="eastAsia" w:eastAsia="仿宋_GB2312"/>
          <w:sz w:val="28"/>
          <w:szCs w:val="28"/>
        </w:rPr>
        <w:t>，包括耕地、园地、林地、坑塘水面、</w:t>
      </w:r>
      <w:r>
        <w:rPr>
          <w:rFonts w:hint="eastAsia" w:eastAsia="仿宋_GB2312"/>
          <w:sz w:val="28"/>
          <w:szCs w:val="28"/>
          <w:lang w:eastAsia="zh-CN"/>
        </w:rPr>
        <w:t>宜农未利用地</w:t>
      </w:r>
      <w:r>
        <w:rPr>
          <w:rFonts w:hint="eastAsia" w:eastAsia="仿宋_GB2312"/>
          <w:sz w:val="28"/>
          <w:szCs w:val="28"/>
        </w:rPr>
        <w:t>（其他草地、内陆滩涂），根据201</w:t>
      </w:r>
      <w:r>
        <w:rPr>
          <w:rFonts w:hint="eastAsia" w:eastAsia="仿宋_GB2312"/>
          <w:sz w:val="28"/>
          <w:szCs w:val="28"/>
          <w:lang w:val="en-US" w:eastAsia="zh-CN"/>
        </w:rPr>
        <w:t>6</w:t>
      </w:r>
      <w:r>
        <w:rPr>
          <w:rFonts w:hint="eastAsia" w:eastAsia="仿宋_GB2312"/>
          <w:sz w:val="28"/>
          <w:szCs w:val="28"/>
        </w:rPr>
        <w:t>年土地利用现</w:t>
      </w:r>
      <w:r>
        <w:rPr>
          <w:rFonts w:hint="eastAsia" w:ascii="Times New Roman" w:hAnsi="Times New Roman" w:eastAsia="仿宋_GB2312" w:cs="Times New Roman"/>
          <w:sz w:val="28"/>
          <w:szCs w:val="28"/>
        </w:rPr>
        <w:t>状数据统计，国有农用地及</w:t>
      </w:r>
      <w:r>
        <w:rPr>
          <w:rFonts w:hint="eastAsia" w:ascii="Times New Roman" w:hAnsi="Times New Roman" w:eastAsia="仿宋_GB2312" w:cs="Times New Roman"/>
          <w:sz w:val="28"/>
          <w:szCs w:val="28"/>
          <w:lang w:eastAsia="zh-CN"/>
        </w:rPr>
        <w:t>宜农未利用地</w:t>
      </w:r>
      <w:r>
        <w:rPr>
          <w:rFonts w:hint="eastAsia" w:ascii="Times New Roman" w:hAnsi="Times New Roman" w:eastAsia="仿宋_GB2312" w:cs="Times New Roman"/>
          <w:sz w:val="28"/>
          <w:szCs w:val="28"/>
        </w:rPr>
        <w:t>总面积为</w:t>
      </w:r>
      <w:r>
        <w:rPr>
          <w:rFonts w:hint="eastAsia" w:eastAsia="仿宋_GB2312" w:cs="Times New Roman"/>
          <w:sz w:val="28"/>
          <w:szCs w:val="28"/>
          <w:lang w:val="en-US" w:eastAsia="zh-CN"/>
        </w:rPr>
        <w:t>16851.24</w:t>
      </w:r>
      <w:r>
        <w:rPr>
          <w:rFonts w:hint="eastAsia" w:ascii="Times New Roman" w:hAnsi="Times New Roman" w:eastAsia="仿宋_GB2312" w:cs="Times New Roman"/>
          <w:sz w:val="28"/>
          <w:szCs w:val="28"/>
        </w:rPr>
        <w:t>公顷。</w:t>
      </w:r>
      <w:r>
        <w:rPr>
          <w:rFonts w:hint="eastAsia" w:eastAsia="仿宋_GB2312" w:cs="Times New Roman"/>
          <w:sz w:val="28"/>
          <w:szCs w:val="28"/>
          <w:lang w:eastAsia="zh-CN"/>
        </w:rPr>
        <w:t>乐昌市</w:t>
      </w:r>
      <w:r>
        <w:rPr>
          <w:rFonts w:hint="eastAsia" w:ascii="Times New Roman" w:hAnsi="Times New Roman" w:eastAsia="仿宋_GB2312" w:cs="Times New Roman"/>
          <w:sz w:val="28"/>
          <w:szCs w:val="28"/>
        </w:rPr>
        <w:t>各类型国有农用地面积及现状分布如下表图：</w:t>
      </w:r>
    </w:p>
    <w:p>
      <w:pPr>
        <w:pStyle w:val="8"/>
        <w:numPr>
          <w:ilvl w:val="0"/>
          <w:numId w:val="2"/>
        </w:numPr>
        <w:spacing w:before="60" w:beforeLines="25" w:after="60" w:afterLines="25" w:line="300" w:lineRule="auto"/>
        <w:ind w:left="902" w:firstLineChars="0"/>
        <w:jc w:val="center"/>
        <w:outlineLvl w:val="8"/>
        <w:rPr>
          <w:rFonts w:ascii="Times New Roman" w:hAnsi="Times New Roman" w:eastAsia="仿宋_GB2312"/>
          <w:b/>
          <w:sz w:val="28"/>
          <w:szCs w:val="28"/>
        </w:rPr>
      </w:pPr>
      <w:r>
        <w:rPr>
          <w:rFonts w:ascii="Times New Roman" w:hAnsi="Times New Roman" w:eastAsia="仿宋_GB2312"/>
          <w:b/>
          <w:sz w:val="28"/>
          <w:szCs w:val="28"/>
        </w:rPr>
        <w:t>各</w:t>
      </w:r>
      <w:r>
        <w:rPr>
          <w:rFonts w:hint="eastAsia" w:ascii="Times New Roman" w:hAnsi="Times New Roman" w:eastAsia="仿宋_GB2312"/>
          <w:b/>
          <w:sz w:val="28"/>
          <w:szCs w:val="28"/>
          <w:lang w:eastAsia="zh-CN"/>
        </w:rPr>
        <w:t>用途</w:t>
      </w:r>
      <w:r>
        <w:rPr>
          <w:rFonts w:ascii="Times New Roman" w:hAnsi="Times New Roman" w:eastAsia="仿宋_GB2312"/>
          <w:b/>
          <w:sz w:val="28"/>
          <w:szCs w:val="28"/>
        </w:rPr>
        <w:t>国有农用地面积汇总表</w:t>
      </w:r>
    </w:p>
    <w:tbl>
      <w:tblPr>
        <w:tblStyle w:val="6"/>
        <w:tblW w:w="7347" w:type="dxa"/>
        <w:jc w:val="center"/>
        <w:tblInd w:w="0" w:type="dxa"/>
        <w:tblLayout w:type="fixed"/>
        <w:tblCellMar>
          <w:top w:w="0" w:type="dxa"/>
          <w:left w:w="108" w:type="dxa"/>
          <w:bottom w:w="0" w:type="dxa"/>
          <w:right w:w="108" w:type="dxa"/>
        </w:tblCellMar>
      </w:tblPr>
      <w:tblGrid>
        <w:gridCol w:w="1177"/>
        <w:gridCol w:w="1750"/>
        <w:gridCol w:w="2166"/>
        <w:gridCol w:w="2254"/>
      </w:tblGrid>
      <w:tr>
        <w:tblPrEx>
          <w:tblLayout w:type="fixed"/>
          <w:tblCellMar>
            <w:top w:w="0" w:type="dxa"/>
            <w:left w:w="108" w:type="dxa"/>
            <w:bottom w:w="0" w:type="dxa"/>
            <w:right w:w="108" w:type="dxa"/>
          </w:tblCellMar>
        </w:tblPrEx>
        <w:trPr>
          <w:trHeight w:val="533" w:hRule="atLeast"/>
          <w:tblHeader/>
          <w:jc w:val="center"/>
        </w:trPr>
        <w:tc>
          <w:tcPr>
            <w:tcW w:w="292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用途</w:t>
            </w:r>
          </w:p>
        </w:tc>
        <w:tc>
          <w:tcPr>
            <w:tcW w:w="2166" w:type="dxa"/>
            <w:tcBorders>
              <w:top w:val="single" w:color="auto" w:sz="4" w:space="0"/>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面积（公顷）</w:t>
            </w:r>
          </w:p>
        </w:tc>
        <w:tc>
          <w:tcPr>
            <w:tcW w:w="2254" w:type="dxa"/>
            <w:tcBorders>
              <w:top w:val="single" w:color="auto" w:sz="4" w:space="0"/>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面积（亩）</w:t>
            </w:r>
          </w:p>
        </w:tc>
      </w:tr>
      <w:tr>
        <w:tblPrEx>
          <w:tblLayout w:type="fixed"/>
          <w:tblCellMar>
            <w:top w:w="0" w:type="dxa"/>
            <w:left w:w="108" w:type="dxa"/>
            <w:bottom w:w="0" w:type="dxa"/>
            <w:right w:w="108" w:type="dxa"/>
          </w:tblCellMar>
        </w:tblPrEx>
        <w:trPr>
          <w:trHeight w:val="533" w:hRule="atLeast"/>
          <w:jc w:val="center"/>
        </w:trPr>
        <w:tc>
          <w:tcPr>
            <w:tcW w:w="1177" w:type="dxa"/>
            <w:vMerge w:val="restart"/>
            <w:tcBorders>
              <w:top w:val="nil"/>
              <w:left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lang w:eastAsia="zh-CN"/>
              </w:rPr>
              <w:t>农用地</w:t>
            </w:r>
          </w:p>
        </w:tc>
        <w:tc>
          <w:tcPr>
            <w:tcW w:w="1750" w:type="dxa"/>
            <w:tcBorders>
              <w:top w:val="nil"/>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耕地</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olor w:val="000000"/>
                <w:kern w:val="0"/>
                <w:sz w:val="24"/>
              </w:rPr>
              <w:t>978.6</w:t>
            </w:r>
            <w:r>
              <w:rPr>
                <w:rFonts w:hint="eastAsia" w:ascii="仿宋_GB2312" w:hAnsi="仿宋_GB2312" w:eastAsia="仿宋_GB2312"/>
                <w:color w:val="000000"/>
                <w:kern w:val="0"/>
                <w:sz w:val="24"/>
                <w:lang w:val="en-US" w:eastAsia="zh-CN"/>
              </w:rPr>
              <w:t>8</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olor w:val="000000"/>
                <w:kern w:val="0"/>
                <w:sz w:val="24"/>
              </w:rPr>
              <w:t>14680.23</w:t>
            </w:r>
          </w:p>
        </w:tc>
      </w:tr>
      <w:tr>
        <w:tblPrEx>
          <w:tblLayout w:type="fixed"/>
          <w:tblCellMar>
            <w:top w:w="0" w:type="dxa"/>
            <w:left w:w="108" w:type="dxa"/>
            <w:bottom w:w="0" w:type="dxa"/>
            <w:right w:w="108" w:type="dxa"/>
          </w:tblCellMar>
        </w:tblPrEx>
        <w:trPr>
          <w:trHeight w:val="533" w:hRule="atLeast"/>
          <w:jc w:val="center"/>
        </w:trPr>
        <w:tc>
          <w:tcPr>
            <w:tcW w:w="1177" w:type="dxa"/>
            <w:vMerge w:val="continue"/>
            <w:tcBorders>
              <w:left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p>
        </w:tc>
        <w:tc>
          <w:tcPr>
            <w:tcW w:w="1750" w:type="dxa"/>
            <w:tcBorders>
              <w:top w:val="nil"/>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lang w:eastAsia="zh-CN"/>
              </w:rPr>
              <w:t>坑塘水面</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olor w:val="000000"/>
                <w:kern w:val="0"/>
                <w:sz w:val="24"/>
              </w:rPr>
              <w:t>208.97</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olor w:val="000000"/>
                <w:kern w:val="0"/>
                <w:sz w:val="24"/>
              </w:rPr>
              <w:t>3134.54</w:t>
            </w:r>
          </w:p>
        </w:tc>
      </w:tr>
      <w:tr>
        <w:tblPrEx>
          <w:tblLayout w:type="fixed"/>
          <w:tblCellMar>
            <w:top w:w="0" w:type="dxa"/>
            <w:left w:w="108" w:type="dxa"/>
            <w:bottom w:w="0" w:type="dxa"/>
            <w:right w:w="108" w:type="dxa"/>
          </w:tblCellMar>
        </w:tblPrEx>
        <w:trPr>
          <w:trHeight w:val="533" w:hRule="atLeast"/>
          <w:jc w:val="center"/>
        </w:trPr>
        <w:tc>
          <w:tcPr>
            <w:tcW w:w="1177" w:type="dxa"/>
            <w:vMerge w:val="continue"/>
            <w:tcBorders>
              <w:left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p>
        </w:tc>
        <w:tc>
          <w:tcPr>
            <w:tcW w:w="1750" w:type="dxa"/>
            <w:tcBorders>
              <w:top w:val="nil"/>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lang w:eastAsia="zh-CN"/>
              </w:rPr>
              <w:t>林地</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olor w:val="000000"/>
                <w:kern w:val="0"/>
                <w:sz w:val="24"/>
              </w:rPr>
              <w:t>14829.4</w:t>
            </w:r>
            <w:r>
              <w:rPr>
                <w:rFonts w:hint="eastAsia" w:ascii="仿宋_GB2312" w:hAnsi="仿宋_GB2312" w:eastAsia="仿宋_GB2312"/>
                <w:color w:val="000000"/>
                <w:kern w:val="0"/>
                <w:sz w:val="24"/>
                <w:lang w:val="en-US" w:eastAsia="zh-CN"/>
              </w:rPr>
              <w:t>0</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olor w:val="000000"/>
                <w:kern w:val="0"/>
                <w:sz w:val="24"/>
              </w:rPr>
              <w:t>222440.96</w:t>
            </w:r>
          </w:p>
        </w:tc>
      </w:tr>
      <w:tr>
        <w:tblPrEx>
          <w:tblLayout w:type="fixed"/>
          <w:tblCellMar>
            <w:top w:w="0" w:type="dxa"/>
            <w:left w:w="108" w:type="dxa"/>
            <w:bottom w:w="0" w:type="dxa"/>
            <w:right w:w="108" w:type="dxa"/>
          </w:tblCellMar>
        </w:tblPrEx>
        <w:trPr>
          <w:trHeight w:val="533" w:hRule="atLeast"/>
          <w:jc w:val="center"/>
        </w:trPr>
        <w:tc>
          <w:tcPr>
            <w:tcW w:w="1177" w:type="dxa"/>
            <w:vMerge w:val="continue"/>
            <w:tcBorders>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p>
        </w:tc>
        <w:tc>
          <w:tcPr>
            <w:tcW w:w="1750" w:type="dxa"/>
            <w:tcBorders>
              <w:top w:val="nil"/>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lang w:eastAsia="zh-CN"/>
              </w:rPr>
              <w:t>园地</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olor w:val="000000"/>
                <w:kern w:val="0"/>
                <w:sz w:val="24"/>
                <w:lang w:val="en-US" w:eastAsia="zh-CN"/>
              </w:rPr>
            </w:pPr>
            <w:r>
              <w:rPr>
                <w:rFonts w:hint="eastAsia" w:ascii="仿宋_GB2312" w:hAnsi="仿宋_GB2312" w:eastAsia="仿宋_GB2312"/>
                <w:color w:val="000000"/>
                <w:kern w:val="0"/>
                <w:sz w:val="24"/>
                <w:lang w:val="en-US" w:eastAsia="zh-CN"/>
              </w:rPr>
              <w:t>676.99</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olor w:val="000000"/>
                <w:kern w:val="0"/>
                <w:sz w:val="24"/>
                <w:lang w:val="en-US" w:eastAsia="zh-CN"/>
              </w:rPr>
            </w:pPr>
            <w:r>
              <w:rPr>
                <w:rFonts w:hint="eastAsia" w:ascii="仿宋_GB2312" w:hAnsi="仿宋_GB2312" w:eastAsia="仿宋_GB2312"/>
                <w:color w:val="000000"/>
                <w:kern w:val="0"/>
                <w:sz w:val="24"/>
                <w:lang w:val="en-US" w:eastAsia="zh-CN"/>
              </w:rPr>
              <w:t>10154.85</w:t>
            </w:r>
          </w:p>
        </w:tc>
      </w:tr>
      <w:tr>
        <w:tblPrEx>
          <w:tblLayout w:type="fixed"/>
          <w:tblCellMar>
            <w:top w:w="0" w:type="dxa"/>
            <w:left w:w="108" w:type="dxa"/>
            <w:bottom w:w="0" w:type="dxa"/>
            <w:right w:w="108" w:type="dxa"/>
          </w:tblCellMar>
        </w:tblPrEx>
        <w:trPr>
          <w:trHeight w:val="533" w:hRule="atLeast"/>
          <w:jc w:val="center"/>
        </w:trPr>
        <w:tc>
          <w:tcPr>
            <w:tcW w:w="2927" w:type="dxa"/>
            <w:gridSpan w:val="2"/>
            <w:tcBorders>
              <w:top w:val="nil"/>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lang w:eastAsia="zh-CN"/>
              </w:rPr>
              <w:t>宜农未利用地</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Times New Roman" w:cs="仿宋_GB2312"/>
                <w:color w:val="000000"/>
                <w:kern w:val="0"/>
                <w:sz w:val="24"/>
                <w:szCs w:val="24"/>
                <w:lang w:val="en-US" w:eastAsia="zh-CN"/>
              </w:rPr>
              <w:t>157.20</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color w:val="000000"/>
                <w:kern w:val="0"/>
                <w:sz w:val="24"/>
                <w:szCs w:val="24"/>
                <w:lang w:val="en-US"/>
              </w:rPr>
            </w:pPr>
            <w:r>
              <w:rPr>
                <w:rFonts w:hint="eastAsia" w:ascii="仿宋_GB2312" w:hAnsi="仿宋_GB2312" w:eastAsia="Times New Roman" w:cs="仿宋_GB2312"/>
                <w:sz w:val="24"/>
                <w:szCs w:val="24"/>
                <w:u w:val="none"/>
                <w:lang w:val="en-US" w:eastAsia="zh-CN" w:bidi="en-US"/>
              </w:rPr>
              <w:t>2358.01</w:t>
            </w:r>
          </w:p>
        </w:tc>
      </w:tr>
      <w:tr>
        <w:tblPrEx>
          <w:tblLayout w:type="fixed"/>
          <w:tblCellMar>
            <w:top w:w="0" w:type="dxa"/>
            <w:left w:w="108" w:type="dxa"/>
            <w:bottom w:w="0" w:type="dxa"/>
            <w:right w:w="108" w:type="dxa"/>
          </w:tblCellMar>
        </w:tblPrEx>
        <w:trPr>
          <w:trHeight w:val="533" w:hRule="atLeast"/>
          <w:jc w:val="center"/>
        </w:trPr>
        <w:tc>
          <w:tcPr>
            <w:tcW w:w="292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总计</w:t>
            </w:r>
          </w:p>
        </w:tc>
        <w:tc>
          <w:tcPr>
            <w:tcW w:w="2166"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kern w:val="0"/>
                <w:sz w:val="24"/>
                <w:szCs w:val="24"/>
                <w:lang w:val="en-US" w:eastAsia="zh-CN"/>
              </w:rPr>
            </w:pPr>
            <w:r>
              <w:rPr>
                <w:rFonts w:hint="eastAsia" w:ascii="仿宋_GB2312" w:hAnsi="仿宋_GB2312" w:eastAsia="Times New Roman" w:cs="仿宋_GB2312"/>
                <w:b/>
                <w:color w:val="000000"/>
                <w:sz w:val="24"/>
                <w:szCs w:val="24"/>
                <w:lang w:val="en-US" w:eastAsia="zh-CN"/>
              </w:rPr>
              <w:t>16851.24</w:t>
            </w:r>
          </w:p>
        </w:tc>
        <w:tc>
          <w:tcPr>
            <w:tcW w:w="2254" w:type="dxa"/>
            <w:tcBorders>
              <w:top w:val="nil"/>
              <w:left w:val="nil"/>
              <w:bottom w:val="single" w:color="auto" w:sz="4" w:space="0"/>
              <w:right w:val="single" w:color="auto" w:sz="4" w:space="0"/>
            </w:tcBorders>
            <w:noWrap w:val="0"/>
            <w:vAlign w:val="center"/>
          </w:tcPr>
          <w:p>
            <w:pPr>
              <w:widowControl/>
              <w:spacing w:before="0" w:beforeLines="0" w:after="0" w:afterLines="0" w:line="240" w:lineRule="auto"/>
              <w:ind w:firstLine="0" w:firstLineChars="0"/>
              <w:jc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Times New Roman" w:cs="仿宋_GB2312"/>
                <w:b/>
                <w:color w:val="000000"/>
                <w:sz w:val="24"/>
                <w:szCs w:val="24"/>
                <w:lang w:val="en-US" w:eastAsia="zh-CN"/>
              </w:rPr>
              <w:t>252768.59</w:t>
            </w:r>
          </w:p>
        </w:tc>
      </w:tr>
    </w:tbl>
    <w:p>
      <w:pPr>
        <w:pStyle w:val="8"/>
        <w:ind w:left="0" w:leftChars="0" w:firstLine="0" w:firstLineChars="0"/>
        <w:jc w:val="left"/>
        <w:rPr>
          <w:rFonts w:hint="eastAsia" w:ascii="Times New Roman" w:hAnsi="Times New Roman" w:eastAsia="仿宋_GB2312" w:cs="Times New Roman"/>
          <w:sz w:val="28"/>
          <w:szCs w:val="28"/>
        </w:rPr>
      </w:pPr>
    </w:p>
    <w:p>
      <w:pPr>
        <w:pStyle w:val="8"/>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9"/>
        <w:rPr>
          <w:rFonts w:hint="eastAsia" w:ascii="Times New Roman" w:hAnsi="Times New Roman" w:eastAsia="仿宋_GB2312" w:cs="Times New Roman"/>
          <w:sz w:val="28"/>
          <w:szCs w:val="28"/>
        </w:rPr>
      </w:pPr>
      <w:r>
        <w:rPr>
          <w:rFonts w:hint="eastAsia" w:ascii="仿宋_GB2312" w:hAnsi="仿宋_GB2312" w:eastAsia="仿宋_GB2312" w:cs="仿宋_GB2312"/>
          <w:b/>
          <w:sz w:val="24"/>
          <w:szCs w:val="24"/>
          <w:lang w:val="en-US" w:eastAsia="zh-CN"/>
        </w:rPr>
        <w:drawing>
          <wp:inline distT="0" distB="0" distL="114300" distR="114300">
            <wp:extent cx="5205095" cy="4324985"/>
            <wp:effectExtent l="0" t="0" r="14605" b="18415"/>
            <wp:docPr id="46" name="图片 46" descr="F:\基准地价（农用）\3、乐昌2018年—农用地分等定级\4 杂七杂八\2018.12.14 验收会\4、图件\工作范围图-2000.jpg工作范围图-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F:\基准地价（农用）\3、乐昌2018年—农用地分等定级\4 杂七杂八\2018.12.14 验收会\4、图件\工作范围图-2000.jpg工作范围图-2000"/>
                    <pic:cNvPicPr>
                      <a:picLocks noChangeAspect="1"/>
                    </pic:cNvPicPr>
                  </pic:nvPicPr>
                  <pic:blipFill>
                    <a:blip r:embed="rId5"/>
                    <a:srcRect/>
                    <a:stretch>
                      <a:fillRect/>
                    </a:stretch>
                  </pic:blipFill>
                  <pic:spPr>
                    <a:xfrm>
                      <a:off x="0" y="0"/>
                      <a:ext cx="5205095" cy="4324985"/>
                    </a:xfrm>
                    <a:prstGeom prst="rect">
                      <a:avLst/>
                    </a:prstGeom>
                  </pic:spPr>
                </pic:pic>
              </a:graphicData>
            </a:graphic>
          </wp:inline>
        </w:drawing>
      </w:r>
    </w:p>
    <w:p>
      <w:pPr>
        <w:pStyle w:val="8"/>
        <w:numPr>
          <w:ilvl w:val="0"/>
          <w:numId w:val="3"/>
        </w:numPr>
        <w:spacing w:before="60" w:beforeLines="25" w:after="120" w:afterLines="50" w:line="300" w:lineRule="auto"/>
        <w:ind w:left="369" w:hanging="369" w:hangingChars="175"/>
        <w:jc w:val="center"/>
        <w:outlineLvl w:val="8"/>
        <w:rPr>
          <w:rFonts w:ascii="Times New Roman" w:hAnsi="Times New Roman" w:eastAsia="仿宋_GB2312"/>
          <w:b/>
        </w:rPr>
      </w:pPr>
      <w:r>
        <w:rPr>
          <w:rFonts w:hint="eastAsia" w:eastAsia="仿宋_GB2312"/>
          <w:b/>
          <w:lang w:val="en-US" w:eastAsia="zh-CN"/>
        </w:rPr>
        <w:t>乐昌市</w:t>
      </w:r>
      <w:r>
        <w:rPr>
          <w:rFonts w:hint="eastAsia" w:ascii="Times New Roman" w:hAnsi="Times New Roman" w:eastAsia="仿宋_GB2312"/>
          <w:b/>
          <w:lang w:eastAsia="zh-CN"/>
        </w:rPr>
        <w:t>2018年</w:t>
      </w:r>
      <w:r>
        <w:rPr>
          <w:rFonts w:ascii="Times New Roman" w:hAnsi="Times New Roman" w:eastAsia="仿宋_GB2312"/>
          <w:b/>
        </w:rPr>
        <w:t>国有农用地基准地价</w:t>
      </w:r>
      <w:r>
        <w:rPr>
          <w:rFonts w:hint="eastAsia" w:ascii="Times New Roman" w:hAnsi="Times New Roman" w:eastAsia="仿宋_GB2312"/>
          <w:b/>
          <w:lang w:eastAsia="zh-CN"/>
        </w:rPr>
        <w:t>工作范围图</w:t>
      </w:r>
    </w:p>
    <w:p>
      <w:pPr>
        <w:pStyle w:val="8"/>
        <w:numPr>
          <w:ilvl w:val="0"/>
          <w:numId w:val="1"/>
        </w:numPr>
        <w:ind w:firstLineChars="0"/>
        <w:jc w:val="left"/>
        <w:rPr>
          <w:rFonts w:eastAsia="仿宋_GB2312"/>
          <w:b/>
          <w:kern w:val="28"/>
          <w:sz w:val="28"/>
          <w:szCs w:val="28"/>
        </w:rPr>
      </w:pPr>
      <w:r>
        <w:rPr>
          <w:rFonts w:hint="eastAsia" w:eastAsia="仿宋_GB2312"/>
          <w:b/>
          <w:kern w:val="28"/>
          <w:sz w:val="28"/>
          <w:szCs w:val="28"/>
        </w:rPr>
        <w:t>地价内涵</w:t>
      </w:r>
    </w:p>
    <w:p>
      <w:pPr>
        <w:pStyle w:val="8"/>
        <w:ind w:firstLine="560"/>
        <w:jc w:val="left"/>
        <w:rPr>
          <w:rFonts w:hint="eastAsia" w:eastAsia="仿宋_GB2312"/>
          <w:sz w:val="28"/>
          <w:szCs w:val="28"/>
        </w:rPr>
      </w:pPr>
      <w:r>
        <w:rPr>
          <w:rFonts w:hint="eastAsia" w:eastAsia="仿宋_GB2312"/>
          <w:sz w:val="28"/>
          <w:szCs w:val="28"/>
        </w:rPr>
        <w:t>本轮基准地价评估的评估用途中，农用地分为</w:t>
      </w:r>
      <w:r>
        <w:rPr>
          <w:rFonts w:hint="eastAsia" w:eastAsia="仿宋_GB2312"/>
          <w:sz w:val="28"/>
          <w:szCs w:val="28"/>
          <w:lang w:eastAsia="zh-CN"/>
        </w:rPr>
        <w:t>耕地、园地、林地、坑塘水面四类</w:t>
      </w:r>
      <w:r>
        <w:rPr>
          <w:rFonts w:hint="eastAsia" w:eastAsia="仿宋_GB2312"/>
          <w:sz w:val="28"/>
          <w:szCs w:val="28"/>
        </w:rPr>
        <w:t>，</w:t>
      </w:r>
      <w:r>
        <w:rPr>
          <w:rFonts w:hint="eastAsia" w:eastAsia="仿宋_GB2312"/>
          <w:sz w:val="28"/>
          <w:szCs w:val="28"/>
          <w:lang w:eastAsia="zh-CN"/>
        </w:rPr>
        <w:t>宜农未利用地</w:t>
      </w:r>
      <w:r>
        <w:rPr>
          <w:rFonts w:hint="eastAsia" w:eastAsia="仿宋_GB2312"/>
          <w:sz w:val="28"/>
          <w:szCs w:val="28"/>
          <w:lang w:val="en-US" w:eastAsia="zh-CN"/>
        </w:rPr>
        <w:t>包含</w:t>
      </w:r>
      <w:r>
        <w:rPr>
          <w:rFonts w:hint="eastAsia" w:eastAsia="仿宋_GB2312"/>
          <w:sz w:val="28"/>
          <w:szCs w:val="28"/>
        </w:rPr>
        <w:t>其他草地和内陆滩涂两类，具体地价内涵如下：</w:t>
      </w:r>
    </w:p>
    <w:p>
      <w:pPr>
        <w:pStyle w:val="8"/>
        <w:ind w:firstLine="560"/>
        <w:jc w:val="left"/>
        <w:rPr>
          <w:rFonts w:hint="eastAsia" w:eastAsia="仿宋_GB2312"/>
          <w:sz w:val="28"/>
          <w:szCs w:val="28"/>
        </w:rPr>
      </w:pPr>
      <w:r>
        <w:rPr>
          <w:rFonts w:hint="eastAsia" w:eastAsia="仿宋_GB2312"/>
          <w:sz w:val="28"/>
          <w:szCs w:val="28"/>
        </w:rPr>
        <w:t>1、耕地：土地级别的平均开发程度</w:t>
      </w:r>
      <w:r>
        <w:rPr>
          <w:rFonts w:hint="eastAsia" w:eastAsia="仿宋_GB2312"/>
          <w:sz w:val="28"/>
          <w:szCs w:val="28"/>
          <w:lang w:val="en-US" w:eastAsia="zh-CN"/>
        </w:rPr>
        <w:t>为</w:t>
      </w:r>
      <w:r>
        <w:rPr>
          <w:rFonts w:hint="eastAsia" w:eastAsia="仿宋_GB2312"/>
          <w:sz w:val="28"/>
          <w:szCs w:val="28"/>
        </w:rPr>
        <w:t>宗地红线外通路、通电、水源供给有保障，宗地内土地平整、大小适中、形状规则、沟渠建设良好、田间道路密度适中，在正常市场条件，耕作制度为一年二熟（早稻-晚稻、春花生-秋甘薯），基准作物设定为水稻-花生，土地估价期日为</w:t>
      </w:r>
      <w:r>
        <w:rPr>
          <w:rFonts w:hint="eastAsia" w:eastAsia="仿宋_GB2312"/>
          <w:sz w:val="28"/>
          <w:szCs w:val="28"/>
          <w:lang w:eastAsia="zh-CN"/>
        </w:rPr>
        <w:t>2018年4月1日</w:t>
      </w:r>
      <w:r>
        <w:rPr>
          <w:rFonts w:hint="eastAsia" w:eastAsia="仿宋_GB2312"/>
          <w:sz w:val="28"/>
          <w:szCs w:val="28"/>
        </w:rPr>
        <w:t>，土地出让年期为50年下的完整</w:t>
      </w:r>
      <w:r>
        <w:rPr>
          <w:rFonts w:hint="eastAsia" w:eastAsia="仿宋_GB2312"/>
          <w:sz w:val="28"/>
          <w:szCs w:val="28"/>
          <w:lang w:eastAsia="zh-CN"/>
        </w:rPr>
        <w:t>国有农用地出让使用权</w:t>
      </w:r>
      <w:r>
        <w:rPr>
          <w:rFonts w:hint="eastAsia" w:eastAsia="仿宋_GB2312"/>
          <w:sz w:val="28"/>
          <w:szCs w:val="28"/>
        </w:rPr>
        <w:t>平均价格。</w:t>
      </w:r>
    </w:p>
    <w:p>
      <w:pPr>
        <w:pStyle w:val="8"/>
        <w:ind w:firstLine="560"/>
        <w:jc w:val="left"/>
        <w:rPr>
          <w:rFonts w:hint="eastAsia" w:eastAsia="仿宋_GB2312"/>
          <w:sz w:val="28"/>
          <w:szCs w:val="28"/>
        </w:rPr>
      </w:pPr>
      <w:r>
        <w:rPr>
          <w:rFonts w:hint="eastAsia" w:eastAsia="仿宋_GB2312"/>
          <w:sz w:val="28"/>
          <w:szCs w:val="28"/>
        </w:rPr>
        <w:t>2、园地：土地级别的平均开发程度</w:t>
      </w:r>
      <w:r>
        <w:rPr>
          <w:rFonts w:hint="eastAsia" w:eastAsia="仿宋_GB2312"/>
          <w:sz w:val="28"/>
          <w:szCs w:val="28"/>
          <w:lang w:val="en-US" w:eastAsia="zh-CN"/>
        </w:rPr>
        <w:t>为</w:t>
      </w:r>
      <w:r>
        <w:rPr>
          <w:rFonts w:hint="eastAsia" w:eastAsia="仿宋_GB2312"/>
          <w:sz w:val="28"/>
          <w:szCs w:val="28"/>
        </w:rPr>
        <w:t>宗地红线外通路、水源供给有保障，宗地内土地较平整、有基本的排水与灌溉设施，在正常市场条件，基准作物设定为</w:t>
      </w:r>
      <w:r>
        <w:rPr>
          <w:rFonts w:hint="eastAsia" w:eastAsia="仿宋_GB2312"/>
          <w:sz w:val="28"/>
          <w:szCs w:val="28"/>
          <w:lang w:eastAsia="zh-CN"/>
        </w:rPr>
        <w:t>枇杷-沙梨</w:t>
      </w:r>
      <w:r>
        <w:rPr>
          <w:rFonts w:hint="eastAsia" w:eastAsia="仿宋_GB2312"/>
          <w:sz w:val="28"/>
          <w:szCs w:val="28"/>
        </w:rPr>
        <w:t>，土地估价期日为</w:t>
      </w:r>
      <w:r>
        <w:rPr>
          <w:rFonts w:hint="eastAsia" w:eastAsia="仿宋_GB2312"/>
          <w:sz w:val="28"/>
          <w:szCs w:val="28"/>
          <w:lang w:eastAsia="zh-CN"/>
        </w:rPr>
        <w:t>2018年4月1日</w:t>
      </w:r>
      <w:r>
        <w:rPr>
          <w:rFonts w:hint="eastAsia" w:eastAsia="仿宋_GB2312"/>
          <w:sz w:val="28"/>
          <w:szCs w:val="28"/>
        </w:rPr>
        <w:t>，土地出让年期为50年下的完整</w:t>
      </w:r>
      <w:r>
        <w:rPr>
          <w:rFonts w:hint="eastAsia" w:eastAsia="仿宋_GB2312"/>
          <w:sz w:val="28"/>
          <w:szCs w:val="28"/>
          <w:lang w:eastAsia="zh-CN"/>
        </w:rPr>
        <w:t>国有农用地出让使用权</w:t>
      </w:r>
      <w:r>
        <w:rPr>
          <w:rFonts w:hint="eastAsia" w:eastAsia="仿宋_GB2312"/>
          <w:sz w:val="28"/>
          <w:szCs w:val="28"/>
        </w:rPr>
        <w:t>平均价格。</w:t>
      </w:r>
    </w:p>
    <w:p>
      <w:pPr>
        <w:pStyle w:val="8"/>
        <w:ind w:firstLine="560"/>
        <w:jc w:val="left"/>
        <w:rPr>
          <w:rFonts w:hint="eastAsia" w:eastAsia="仿宋_GB2312"/>
          <w:sz w:val="28"/>
          <w:szCs w:val="28"/>
        </w:rPr>
      </w:pPr>
      <w:r>
        <w:rPr>
          <w:rFonts w:hint="eastAsia" w:eastAsia="仿宋_GB2312"/>
          <w:sz w:val="28"/>
          <w:szCs w:val="28"/>
        </w:rPr>
        <w:t>3、林地：土地级别的平均开发程度</w:t>
      </w:r>
      <w:r>
        <w:rPr>
          <w:rFonts w:hint="eastAsia" w:eastAsia="仿宋_GB2312"/>
          <w:sz w:val="28"/>
          <w:szCs w:val="28"/>
          <w:lang w:val="en-US" w:eastAsia="zh-CN"/>
        </w:rPr>
        <w:t>为</w:t>
      </w:r>
      <w:r>
        <w:rPr>
          <w:rFonts w:hint="eastAsia" w:eastAsia="仿宋_GB2312"/>
          <w:sz w:val="28"/>
          <w:szCs w:val="28"/>
        </w:rPr>
        <w:t>宗地外</w:t>
      </w:r>
      <w:r>
        <w:rPr>
          <w:rFonts w:hint="eastAsia" w:eastAsia="仿宋_GB2312"/>
          <w:sz w:val="28"/>
          <w:szCs w:val="28"/>
          <w:lang w:val="en-US" w:eastAsia="zh-CN"/>
        </w:rPr>
        <w:t>道路通达</w:t>
      </w:r>
      <w:r>
        <w:rPr>
          <w:rFonts w:hint="eastAsia" w:eastAsia="仿宋_GB2312"/>
          <w:sz w:val="28"/>
          <w:szCs w:val="28"/>
        </w:rPr>
        <w:t>，在正常市场条件，基准作物设定为松、杉-杂木，土地估价期日为</w:t>
      </w:r>
      <w:r>
        <w:rPr>
          <w:rFonts w:hint="eastAsia" w:eastAsia="仿宋_GB2312"/>
          <w:sz w:val="28"/>
          <w:szCs w:val="28"/>
          <w:lang w:eastAsia="zh-CN"/>
        </w:rPr>
        <w:t>2018年4月1日</w:t>
      </w:r>
      <w:r>
        <w:rPr>
          <w:rFonts w:hint="eastAsia" w:eastAsia="仿宋_GB2312"/>
          <w:sz w:val="28"/>
          <w:szCs w:val="28"/>
        </w:rPr>
        <w:t>，土地出让年期为50年下的完整</w:t>
      </w:r>
      <w:r>
        <w:rPr>
          <w:rFonts w:hint="eastAsia" w:eastAsia="仿宋_GB2312"/>
          <w:sz w:val="28"/>
          <w:szCs w:val="28"/>
          <w:lang w:eastAsia="zh-CN"/>
        </w:rPr>
        <w:t>国有农用地出让使用权</w:t>
      </w:r>
      <w:r>
        <w:rPr>
          <w:rFonts w:hint="eastAsia" w:eastAsia="仿宋_GB2312"/>
          <w:sz w:val="28"/>
          <w:szCs w:val="28"/>
        </w:rPr>
        <w:t>平均价格。</w:t>
      </w:r>
    </w:p>
    <w:p>
      <w:pPr>
        <w:pStyle w:val="8"/>
        <w:ind w:firstLine="560"/>
        <w:jc w:val="left"/>
        <w:rPr>
          <w:rFonts w:hint="eastAsia" w:eastAsia="仿宋_GB2312"/>
          <w:sz w:val="28"/>
          <w:szCs w:val="28"/>
        </w:rPr>
      </w:pPr>
      <w:r>
        <w:rPr>
          <w:rFonts w:hint="eastAsia" w:eastAsia="仿宋_GB2312"/>
          <w:sz w:val="28"/>
          <w:szCs w:val="28"/>
        </w:rPr>
        <w:t>4、坑塘水面：土地级别的平均开发程度</w:t>
      </w:r>
      <w:r>
        <w:rPr>
          <w:rFonts w:hint="eastAsia" w:eastAsia="仿宋_GB2312"/>
          <w:sz w:val="28"/>
          <w:szCs w:val="28"/>
          <w:lang w:val="en-US" w:eastAsia="zh-CN"/>
        </w:rPr>
        <w:t>为</w:t>
      </w:r>
      <w:r>
        <w:rPr>
          <w:rFonts w:hint="eastAsia" w:eastAsia="仿宋_GB2312"/>
          <w:sz w:val="28"/>
          <w:szCs w:val="28"/>
        </w:rPr>
        <w:t>宗地红线外通路、通电、水源供给补充有保障，宗地内大小适中、形状较规则，在正常市场条件，基准作物设定为四大家鱼，土地估价期日为</w:t>
      </w:r>
      <w:r>
        <w:rPr>
          <w:rFonts w:hint="eastAsia" w:eastAsia="仿宋_GB2312"/>
          <w:sz w:val="28"/>
          <w:szCs w:val="28"/>
          <w:lang w:eastAsia="zh-CN"/>
        </w:rPr>
        <w:t>2018年4月1日</w:t>
      </w:r>
      <w:r>
        <w:rPr>
          <w:rFonts w:hint="eastAsia" w:eastAsia="仿宋_GB2312"/>
          <w:sz w:val="28"/>
          <w:szCs w:val="28"/>
        </w:rPr>
        <w:t>，土地出让年期为50年下的完整</w:t>
      </w:r>
      <w:r>
        <w:rPr>
          <w:rFonts w:hint="eastAsia" w:eastAsia="仿宋_GB2312"/>
          <w:sz w:val="28"/>
          <w:szCs w:val="28"/>
          <w:lang w:eastAsia="zh-CN"/>
        </w:rPr>
        <w:t>国有农用地出让使用权</w:t>
      </w:r>
      <w:r>
        <w:rPr>
          <w:rFonts w:hint="eastAsia" w:eastAsia="仿宋_GB2312"/>
          <w:sz w:val="28"/>
          <w:szCs w:val="28"/>
        </w:rPr>
        <w:t>平均价格。</w:t>
      </w:r>
    </w:p>
    <w:p>
      <w:pPr>
        <w:pStyle w:val="8"/>
        <w:ind w:firstLine="560"/>
        <w:jc w:val="left"/>
        <w:rPr>
          <w:rFonts w:eastAsia="仿宋_GB2312"/>
          <w:sz w:val="28"/>
          <w:szCs w:val="28"/>
        </w:rPr>
      </w:pPr>
      <w:r>
        <w:rPr>
          <w:rFonts w:hint="eastAsia" w:eastAsia="仿宋_GB2312"/>
          <w:sz w:val="28"/>
          <w:szCs w:val="28"/>
        </w:rPr>
        <w:t>5、</w:t>
      </w:r>
      <w:r>
        <w:rPr>
          <w:rFonts w:hint="eastAsia" w:eastAsia="仿宋_GB2312"/>
          <w:sz w:val="28"/>
          <w:szCs w:val="28"/>
          <w:lang w:val="en-US" w:eastAsia="zh-CN"/>
        </w:rPr>
        <w:t>宜农未利用地</w:t>
      </w:r>
      <w:r>
        <w:rPr>
          <w:rFonts w:hint="eastAsia" w:eastAsia="仿宋_GB2312"/>
          <w:sz w:val="28"/>
          <w:szCs w:val="28"/>
        </w:rPr>
        <w:t>：土地级别的平均开发程度</w:t>
      </w:r>
      <w:r>
        <w:rPr>
          <w:rFonts w:hint="eastAsia" w:eastAsia="仿宋_GB2312"/>
          <w:sz w:val="28"/>
          <w:szCs w:val="28"/>
          <w:lang w:val="en-US" w:eastAsia="zh-CN"/>
        </w:rPr>
        <w:t>为</w:t>
      </w:r>
      <w:r>
        <w:rPr>
          <w:rFonts w:hint="eastAsia" w:eastAsia="仿宋_GB2312"/>
          <w:sz w:val="28"/>
          <w:szCs w:val="28"/>
        </w:rPr>
        <w:t>宗地外道路通达，土地估价期日为</w:t>
      </w:r>
      <w:r>
        <w:rPr>
          <w:rFonts w:hint="eastAsia" w:eastAsia="仿宋_GB2312"/>
          <w:sz w:val="28"/>
          <w:szCs w:val="28"/>
          <w:lang w:eastAsia="zh-CN"/>
        </w:rPr>
        <w:t>2018年4月1日</w:t>
      </w:r>
      <w:r>
        <w:rPr>
          <w:rFonts w:hint="eastAsia" w:eastAsia="仿宋_GB2312"/>
          <w:sz w:val="28"/>
          <w:szCs w:val="28"/>
        </w:rPr>
        <w:t>，土地出让年期为50年下的完整</w:t>
      </w:r>
      <w:r>
        <w:rPr>
          <w:rFonts w:hint="eastAsia" w:eastAsia="仿宋_GB2312"/>
          <w:sz w:val="28"/>
          <w:szCs w:val="28"/>
          <w:lang w:eastAsia="zh-CN"/>
        </w:rPr>
        <w:t>国有农用地出让使用权</w:t>
      </w:r>
      <w:r>
        <w:rPr>
          <w:rFonts w:hint="eastAsia" w:eastAsia="仿宋_GB2312"/>
          <w:sz w:val="28"/>
          <w:szCs w:val="28"/>
        </w:rPr>
        <w:t>平均价格。</w:t>
      </w:r>
    </w:p>
    <w:p>
      <w:pPr>
        <w:pStyle w:val="8"/>
        <w:numPr>
          <w:ilvl w:val="0"/>
          <w:numId w:val="2"/>
        </w:numPr>
        <w:spacing w:before="60" w:beforeLines="25" w:after="60" w:afterLines="25" w:line="300" w:lineRule="auto"/>
        <w:ind w:left="902" w:firstLineChars="0"/>
        <w:jc w:val="center"/>
        <w:outlineLvl w:val="8"/>
        <w:rPr>
          <w:rFonts w:ascii="Times New Roman" w:hAnsi="Times New Roman" w:eastAsia="仿宋_GB2312"/>
          <w:b/>
          <w:szCs w:val="21"/>
        </w:rPr>
      </w:pPr>
      <w:r>
        <w:rPr>
          <w:rFonts w:hint="eastAsia" w:ascii="Times New Roman" w:hAnsi="Times New Roman" w:eastAsia="仿宋_GB2312"/>
          <w:b/>
          <w:szCs w:val="21"/>
          <w:lang w:eastAsia="zh-CN"/>
        </w:rPr>
        <w:t>2018年</w:t>
      </w:r>
      <w:r>
        <w:rPr>
          <w:rFonts w:ascii="Times New Roman" w:hAnsi="Times New Roman" w:eastAsia="仿宋_GB2312"/>
          <w:b/>
          <w:szCs w:val="21"/>
        </w:rPr>
        <w:t>国有农用地基准地价内涵表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2179"/>
        <w:gridCol w:w="1837"/>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restart"/>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国有农用地类型</w:t>
            </w: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农用地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耕地、园地、林地、坑塘水面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宜农未利用地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其他草地、内陆滩涂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土地使用权类型</w:t>
            </w:r>
          </w:p>
        </w:tc>
        <w:tc>
          <w:tcPr>
            <w:tcW w:w="6343" w:type="dxa"/>
            <w:gridSpan w:val="2"/>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国有农用地出让使用权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土地出让年期</w:t>
            </w:r>
          </w:p>
        </w:tc>
        <w:tc>
          <w:tcPr>
            <w:tcW w:w="6343" w:type="dxa"/>
            <w:gridSpan w:val="2"/>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耕地标准耕作制度</w:t>
            </w:r>
          </w:p>
        </w:tc>
        <w:tc>
          <w:tcPr>
            <w:tcW w:w="6343" w:type="dxa"/>
            <w:gridSpan w:val="2"/>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一年二熟（早稻-晚稻、春花生-秋甘薯）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restart"/>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lang w:val="en-US" w:eastAsia="zh-CN"/>
              </w:rPr>
            </w:pPr>
            <w:r>
              <w:rPr>
                <w:rFonts w:hint="eastAsia" w:ascii="仿宋_GB2312" w:hAnsi="仿宋_GB2312" w:eastAsia="仿宋_GB2312" w:cs="仿宋_GB2312"/>
                <w:b/>
                <w:bCs w:val="0"/>
                <w:sz w:val="24"/>
                <w:szCs w:val="24"/>
                <w:lang w:val="en-US" w:eastAsia="zh-CN"/>
              </w:rPr>
              <w:t>基准作物</w:t>
            </w: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耕地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水稻-花生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园地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柑橘</w:t>
            </w:r>
            <w:r>
              <w:rPr>
                <w:rFonts w:hint="eastAsia" w:ascii="仿宋_GB2312" w:hAnsi="仿宋_GB2312" w:eastAsia="仿宋_GB2312" w:cs="仿宋_GB2312"/>
                <w:b w:val="0"/>
                <w:bCs/>
                <w:sz w:val="24"/>
                <w:szCs w:val="24"/>
                <w:lang w:val="en-US" w:eastAsia="zh-CN"/>
              </w:rPr>
              <w:t>-沙梨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林地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松、杉-杂木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坑塘水面</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四大家鱼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宜农未利用地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restart"/>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基本设施状况</w:t>
            </w: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耕地</w:t>
            </w:r>
          </w:p>
        </w:tc>
        <w:tc>
          <w:tcPr>
            <w:tcW w:w="4506" w:type="dxa"/>
            <w:noWrap w:val="0"/>
            <w:vAlign w:val="top"/>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宗地外通路、通电、水源供给有保障，宗地内土地平整、大小适中、形状较规则、沟渠建设良好、田间道路密度适中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园地</w:t>
            </w:r>
          </w:p>
        </w:tc>
        <w:tc>
          <w:tcPr>
            <w:tcW w:w="4506" w:type="dxa"/>
            <w:noWrap w:val="0"/>
            <w:vAlign w:val="top"/>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宗地外通路、水源供给有保障，宗地内土地较平整、有基本的排水与灌溉设施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林地</w:t>
            </w:r>
          </w:p>
        </w:tc>
        <w:tc>
          <w:tcPr>
            <w:tcW w:w="4506" w:type="dxa"/>
            <w:noWrap w:val="0"/>
            <w:vAlign w:val="top"/>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宗地外道路通达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坑塘水面</w:t>
            </w:r>
          </w:p>
        </w:tc>
        <w:tc>
          <w:tcPr>
            <w:tcW w:w="4506" w:type="dxa"/>
            <w:noWrap w:val="0"/>
            <w:vAlign w:val="top"/>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宗地外通路、通电、水源供给补充有保障，宗地内大小适中、形状较规则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vMerge w:val="continue"/>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p>
        </w:tc>
        <w:tc>
          <w:tcPr>
            <w:tcW w:w="1837"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宜农未利用地</w:t>
            </w:r>
          </w:p>
        </w:tc>
        <w:tc>
          <w:tcPr>
            <w:tcW w:w="4506"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宗地外道路通达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Ex>
        <w:trPr>
          <w:trHeight w:val="0" w:hRule="atLeast"/>
        </w:trPr>
        <w:tc>
          <w:tcPr>
            <w:tcW w:w="2179" w:type="dxa"/>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估价期日</w:t>
            </w:r>
          </w:p>
        </w:tc>
        <w:tc>
          <w:tcPr>
            <w:tcW w:w="6343" w:type="dxa"/>
            <w:gridSpan w:val="2"/>
            <w:noWrap w:val="0"/>
            <w:vAlign w:val="center"/>
          </w:tcPr>
          <w:p>
            <w:pPr>
              <w:pStyle w:val="12"/>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288" w:lineRule="auto"/>
              <w:jc w:val="center"/>
              <w:textAlignment w:val="auto"/>
              <w:outlineLvl w:val="8"/>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eastAsia="zh-CN"/>
              </w:rPr>
              <w:t>2018年4月1日</w:t>
            </w:r>
          </w:p>
        </w:tc>
      </w:tr>
    </w:tbl>
    <w:p>
      <w:pPr>
        <w:pStyle w:val="8"/>
        <w:ind w:left="0" w:leftChars="0" w:firstLine="0" w:firstLineChars="0"/>
        <w:jc w:val="center"/>
        <w:rPr>
          <w:rFonts w:eastAsia="仿宋_GB2312"/>
          <w:sz w:val="28"/>
          <w:szCs w:val="28"/>
        </w:rPr>
      </w:pPr>
    </w:p>
    <w:p>
      <w:pPr>
        <w:pStyle w:val="8"/>
        <w:ind w:left="720" w:firstLine="0" w:firstLineChars="0"/>
        <w:jc w:val="center"/>
        <w:rPr>
          <w:rFonts w:eastAsia="仿宋_GB2312"/>
          <w:sz w:val="28"/>
          <w:szCs w:val="28"/>
        </w:rPr>
      </w:pPr>
    </w:p>
    <w:p>
      <w:pPr>
        <w:ind w:firstLine="560" w:firstLineChars="200"/>
        <w:jc w:val="left"/>
        <w:rPr>
          <w:rFonts w:eastAsia="仿宋_GB2312"/>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E0107"/>
    <w:multiLevelType w:val="multilevel"/>
    <w:tmpl w:val="28DE0107"/>
    <w:lvl w:ilvl="0" w:tentative="0">
      <w:start w:val="1"/>
      <w:numFmt w:val="decimal"/>
      <w:lvlText w:val="图1-%1"/>
      <w:lvlJc w:val="center"/>
      <w:pPr>
        <w:ind w:left="842" w:hanging="420"/>
      </w:pPr>
      <w:rPr>
        <w:rFonts w:hint="eastAsia"/>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
    <w:nsid w:val="40182092"/>
    <w:multiLevelType w:val="multilevel"/>
    <w:tmpl w:val="40182092"/>
    <w:lvl w:ilvl="0" w:tentative="0">
      <w:start w:val="1"/>
      <w:numFmt w:val="decimal"/>
      <w:lvlText w:val="表1-%1"/>
      <w:lvlJc w:val="center"/>
      <w:pPr>
        <w:ind w:left="842" w:hanging="420"/>
      </w:pPr>
      <w:rPr>
        <w:rFonts w:hint="eastAsia"/>
        <w:lang w:val="en-US"/>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2">
    <w:nsid w:val="6D4D5F11"/>
    <w:multiLevelType w:val="multilevel"/>
    <w:tmpl w:val="6D4D5F1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6A"/>
    <w:rsid w:val="000656D7"/>
    <w:rsid w:val="00080197"/>
    <w:rsid w:val="00145438"/>
    <w:rsid w:val="001529C0"/>
    <w:rsid w:val="0018745E"/>
    <w:rsid w:val="00244C90"/>
    <w:rsid w:val="00385870"/>
    <w:rsid w:val="003A004C"/>
    <w:rsid w:val="003E611A"/>
    <w:rsid w:val="003F4430"/>
    <w:rsid w:val="004746D0"/>
    <w:rsid w:val="004A3BBF"/>
    <w:rsid w:val="004E53D9"/>
    <w:rsid w:val="004F08A5"/>
    <w:rsid w:val="00524B0B"/>
    <w:rsid w:val="00565F69"/>
    <w:rsid w:val="005B0C3D"/>
    <w:rsid w:val="00642E7E"/>
    <w:rsid w:val="00685E31"/>
    <w:rsid w:val="006B256D"/>
    <w:rsid w:val="007774C7"/>
    <w:rsid w:val="007C23CA"/>
    <w:rsid w:val="008037C3"/>
    <w:rsid w:val="00880459"/>
    <w:rsid w:val="008B3BDF"/>
    <w:rsid w:val="008B5AB4"/>
    <w:rsid w:val="009971C5"/>
    <w:rsid w:val="009C120E"/>
    <w:rsid w:val="00A95D3A"/>
    <w:rsid w:val="00AE31BF"/>
    <w:rsid w:val="00B279D0"/>
    <w:rsid w:val="00BF3ED6"/>
    <w:rsid w:val="00C40B1A"/>
    <w:rsid w:val="00CC4F57"/>
    <w:rsid w:val="00DC7BD4"/>
    <w:rsid w:val="00DD14BB"/>
    <w:rsid w:val="00DE2BC5"/>
    <w:rsid w:val="00E20A25"/>
    <w:rsid w:val="00E21CF8"/>
    <w:rsid w:val="00EA307E"/>
    <w:rsid w:val="00EF5718"/>
    <w:rsid w:val="00F73056"/>
    <w:rsid w:val="00FB15CB"/>
    <w:rsid w:val="139420FF"/>
    <w:rsid w:val="16B36EB9"/>
    <w:rsid w:val="20793E1B"/>
    <w:rsid w:val="268D6702"/>
    <w:rsid w:val="2D951478"/>
    <w:rsid w:val="360D30A4"/>
    <w:rsid w:val="3C0022B7"/>
    <w:rsid w:val="66872C7B"/>
    <w:rsid w:val="793D5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List Paragraph"/>
    <w:basedOn w:val="1"/>
    <w:qFormat/>
    <w:uiPriority w:val="34"/>
    <w:pPr>
      <w:ind w:firstLine="420" w:firstLineChars="200"/>
    </w:pPr>
  </w:style>
  <w:style w:type="character" w:customStyle="1" w:styleId="9">
    <w:name w:val="样式 标题 5 + 段前: 0.2 行 Char Char"/>
    <w:qFormat/>
    <w:uiPriority w:val="0"/>
    <w:rPr>
      <w:rFonts w:ascii="宋体" w:hAnsi="宋体" w:eastAsia="宋体"/>
      <w:b/>
      <w:bCs/>
      <w:kern w:val="24"/>
      <w:sz w:val="28"/>
      <w:lang w:val="en-US" w:eastAsia="zh-CN" w:bidi="ar-SA"/>
    </w:rPr>
  </w:style>
  <w:style w:type="paragraph" w:customStyle="1" w:styleId="10">
    <w:name w:val="表格正文"/>
    <w:basedOn w:val="1"/>
    <w:qFormat/>
    <w:uiPriority w:val="0"/>
    <w:pPr>
      <w:spacing w:before="0" w:beforeLines="0" w:after="0" w:afterLines="0" w:line="240" w:lineRule="auto"/>
      <w:ind w:firstLine="0" w:firstLineChars="0"/>
      <w:jc w:val="center"/>
    </w:pPr>
    <w:rPr>
      <w:rFonts w:ascii="仿宋_GB2312" w:hAnsi="宋体"/>
      <w:w w:val="90"/>
      <w:kern w:val="2"/>
      <w:szCs w:val="28"/>
    </w:rPr>
  </w:style>
  <w:style w:type="paragraph" w:customStyle="1" w:styleId="11">
    <w:name w:val="正文2010"/>
    <w:basedOn w:val="1"/>
    <w:qFormat/>
    <w:uiPriority w:val="99"/>
    <w:pPr>
      <w:spacing w:before="93" w:beforeLines="30" w:after="93" w:afterLines="30"/>
    </w:pPr>
    <w:rPr>
      <w:rFonts w:eastAsia="仿宋" w:cs="宋体"/>
      <w:szCs w:val="20"/>
    </w:rPr>
  </w:style>
  <w:style w:type="paragraph" w:customStyle="1" w:styleId="12">
    <w:name w:val="图表"/>
    <w:basedOn w:val="1"/>
    <w:qFormat/>
    <w:uiPriority w:val="0"/>
    <w:pPr>
      <w:snapToGrid w:val="0"/>
      <w:spacing w:before="50" w:beforeLines="50" w:after="50" w:afterLines="50" w:line="240" w:lineRule="auto"/>
      <w:ind w:firstLine="0" w:firstLineChars="0"/>
      <w:jc w:val="center"/>
    </w:pPr>
    <w:rPr>
      <w:rFonts w:eastAsia="仿宋"/>
      <w:b/>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280E9-3349-4D6C-86C2-84C6D34E839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135</Words>
  <Characters>773</Characters>
  <Lines>6</Lines>
  <Paragraphs>1</Paragraphs>
  <TotalTime>7</TotalTime>
  <ScaleCrop>false</ScaleCrop>
  <LinksUpToDate>false</LinksUpToDate>
  <CharactersWithSpaces>907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2016-07-18T02:25:00Z</dcterms:created>
  <dc:creator>Administrator</dc:creator>
  <cp:lastModifiedBy>Aki</cp:lastModifiedBy>
  <dcterms:modified xsi:type="dcterms:W3CDTF">2018-12-28T02:43:56Z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