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仿宋_GB2312"/>
          <w:kern w:val="28"/>
          <w:sz w:val="32"/>
          <w:szCs w:val="32"/>
          <w:lang w:eastAsia="zh-CN"/>
        </w:rPr>
      </w:pPr>
      <w:r>
        <w:rPr>
          <w:rFonts w:hint="eastAsia" w:eastAsia="仿宋_GB2312"/>
          <w:kern w:val="28"/>
          <w:sz w:val="32"/>
          <w:szCs w:val="32"/>
          <w:lang w:eastAsia="zh-CN"/>
        </w:rPr>
        <w:t>附件</w:t>
      </w:r>
      <w:r>
        <w:rPr>
          <w:rFonts w:hint="eastAsia" w:eastAsia="仿宋_GB2312"/>
          <w:kern w:val="28"/>
          <w:sz w:val="32"/>
          <w:szCs w:val="32"/>
          <w:lang w:val="en-US" w:eastAsia="zh-CN"/>
        </w:rPr>
        <w:t>3</w:t>
      </w:r>
      <w:r>
        <w:rPr>
          <w:rFonts w:hint="eastAsia" w:eastAsia="仿宋_GB2312"/>
          <w:kern w:val="28"/>
          <w:sz w:val="32"/>
          <w:szCs w:val="32"/>
          <w:lang w:eastAsia="zh-CN"/>
        </w:rPr>
        <w:t>：</w:t>
      </w:r>
    </w:p>
    <w:p>
      <w:pPr>
        <w:jc w:val="center"/>
        <w:rPr>
          <w:rFonts w:hint="eastAsia" w:ascii="方正小标宋简体" w:eastAsia="方正小标宋简体"/>
          <w:b/>
          <w:kern w:val="28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/>
          <w:kern w:val="28"/>
          <w:sz w:val="44"/>
          <w:szCs w:val="44"/>
          <w:lang w:val="en-US" w:eastAsia="zh-CN"/>
        </w:rPr>
        <w:t>乐昌市2018年</w:t>
      </w:r>
      <w:r>
        <w:rPr>
          <w:rFonts w:hint="eastAsia" w:ascii="方正小标宋简体" w:eastAsia="方正小标宋简体"/>
          <w:b/>
          <w:kern w:val="28"/>
          <w:sz w:val="44"/>
          <w:szCs w:val="44"/>
          <w:lang w:eastAsia="zh-CN"/>
        </w:rPr>
        <w:t>国有农用地</w:t>
      </w:r>
    </w:p>
    <w:p>
      <w:pPr>
        <w:jc w:val="center"/>
        <w:rPr>
          <w:rFonts w:hint="eastAsia" w:ascii="方正小标宋简体" w:eastAsia="方正小标宋简体"/>
          <w:b/>
          <w:kern w:val="28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/>
          <w:kern w:val="28"/>
          <w:sz w:val="44"/>
          <w:szCs w:val="44"/>
          <w:lang w:eastAsia="zh-CN"/>
        </w:rPr>
        <w:t>基准地价修正体系</w:t>
      </w:r>
    </w:p>
    <w:p>
      <w:pPr>
        <w:pStyle w:val="2"/>
        <w:rPr>
          <w:rFonts w:eastAsia="黑体"/>
          <w:kern w:val="28"/>
          <w:sz w:val="32"/>
          <w:szCs w:val="32"/>
        </w:rPr>
      </w:pPr>
      <w:r>
        <w:rPr>
          <w:rFonts w:hint="eastAsia" w:hAnsi="黑体" w:eastAsia="黑体"/>
          <w:kern w:val="28"/>
          <w:sz w:val="32"/>
          <w:szCs w:val="32"/>
        </w:rPr>
        <w:t>一</w:t>
      </w:r>
      <w:bookmarkStart w:id="0" w:name="_Toc420480254"/>
      <w:r>
        <w:rPr>
          <w:rFonts w:hint="eastAsia" w:hAnsi="黑体" w:eastAsia="黑体"/>
          <w:kern w:val="28"/>
          <w:sz w:val="32"/>
          <w:szCs w:val="32"/>
        </w:rPr>
        <w:t>、用地类型修正系数表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eastAsia="仿宋_GB2312"/>
          <w:kern w:val="28"/>
          <w:sz w:val="32"/>
          <w:szCs w:val="32"/>
        </w:rPr>
      </w:pPr>
      <w:r>
        <w:rPr>
          <w:rFonts w:hint="eastAsia" w:eastAsia="仿宋_GB2312"/>
          <w:kern w:val="28"/>
          <w:sz w:val="32"/>
          <w:szCs w:val="32"/>
        </w:rPr>
        <w:t>在实际评估工作中常常会遇到除耕地、园地、坑塘水面、林地、宜农未利用地等用地外的其他类型的用地，如沟渠、裸地等。结合</w:t>
      </w:r>
      <w:r>
        <w:rPr>
          <w:rFonts w:hint="eastAsia" w:eastAsia="仿宋_GB2312"/>
          <w:kern w:val="28"/>
          <w:sz w:val="32"/>
          <w:szCs w:val="32"/>
          <w:lang w:eastAsia="zh-CN"/>
        </w:rPr>
        <w:t>乐昌市</w:t>
      </w:r>
      <w:r>
        <w:rPr>
          <w:rFonts w:hint="eastAsia" w:eastAsia="仿宋_GB2312"/>
          <w:kern w:val="28"/>
          <w:sz w:val="32"/>
          <w:szCs w:val="32"/>
        </w:rPr>
        <w:t>实际情况，分析</w:t>
      </w:r>
      <w:r>
        <w:rPr>
          <w:rFonts w:hint="eastAsia" w:eastAsia="仿宋_GB2312"/>
          <w:kern w:val="28"/>
          <w:sz w:val="32"/>
          <w:szCs w:val="32"/>
          <w:lang w:eastAsia="zh-CN"/>
        </w:rPr>
        <w:t>乐昌市</w:t>
      </w:r>
      <w:r>
        <w:rPr>
          <w:rFonts w:hint="eastAsia" w:eastAsia="仿宋_GB2312"/>
          <w:kern w:val="28"/>
          <w:sz w:val="32"/>
          <w:szCs w:val="32"/>
        </w:rPr>
        <w:t>不同用地类型的地价水平和有关交易案例，综合确定</w:t>
      </w:r>
      <w:r>
        <w:rPr>
          <w:rFonts w:hint="eastAsia" w:eastAsia="仿宋_GB2312"/>
          <w:kern w:val="28"/>
          <w:sz w:val="32"/>
          <w:szCs w:val="32"/>
          <w:lang w:eastAsia="zh-CN"/>
        </w:rPr>
        <w:t>乐昌市</w:t>
      </w:r>
      <w:r>
        <w:rPr>
          <w:rFonts w:hint="eastAsia" w:eastAsia="仿宋_GB2312"/>
          <w:kern w:val="28"/>
          <w:sz w:val="32"/>
          <w:szCs w:val="32"/>
        </w:rPr>
        <w:t>其他用途土地用地类型修正系数如下表。</w:t>
      </w:r>
    </w:p>
    <w:p>
      <w:pPr>
        <w:widowControl w:val="0"/>
        <w:numPr>
          <w:ilvl w:val="0"/>
          <w:numId w:val="0"/>
        </w:numPr>
        <w:spacing w:before="78" w:beforeLines="25" w:after="78" w:afterLines="25" w:line="300" w:lineRule="auto"/>
        <w:ind w:leftChars="0"/>
        <w:jc w:val="center"/>
        <w:rPr>
          <w:rFonts w:hint="eastAsia" w:eastAsia="仿宋_GB2312"/>
          <w:b/>
          <w:sz w:val="28"/>
          <w:szCs w:val="28"/>
        </w:rPr>
      </w:pPr>
      <w:r>
        <w:rPr>
          <w:rFonts w:hint="eastAsia" w:eastAsia="仿宋_GB2312"/>
          <w:b/>
          <w:sz w:val="28"/>
          <w:szCs w:val="28"/>
          <w:lang w:eastAsia="zh-CN"/>
        </w:rPr>
        <w:t>表</w:t>
      </w:r>
      <w:r>
        <w:rPr>
          <w:rFonts w:hint="eastAsia" w:eastAsia="仿宋_GB2312"/>
          <w:b/>
          <w:sz w:val="28"/>
          <w:szCs w:val="28"/>
          <w:lang w:val="en-US" w:eastAsia="zh-CN"/>
        </w:rPr>
        <w:t xml:space="preserve">1-1  </w:t>
      </w:r>
      <w:r>
        <w:rPr>
          <w:rFonts w:hint="eastAsia" w:eastAsia="仿宋_GB2312"/>
          <w:b/>
          <w:sz w:val="28"/>
          <w:szCs w:val="28"/>
          <w:lang w:eastAsia="zh-CN"/>
        </w:rPr>
        <w:t>乐昌市</w:t>
      </w:r>
      <w:r>
        <w:rPr>
          <w:rFonts w:hint="eastAsia" w:eastAsia="仿宋_GB2312"/>
          <w:b/>
          <w:sz w:val="28"/>
          <w:szCs w:val="28"/>
        </w:rPr>
        <w:t>用地类型修正系数表</w:t>
      </w:r>
    </w:p>
    <w:tbl>
      <w:tblPr>
        <w:tblStyle w:val="14"/>
        <w:tblW w:w="85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900"/>
        <w:gridCol w:w="4833"/>
        <w:gridCol w:w="873"/>
        <w:gridCol w:w="7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atLeast"/>
          <w:tblHeader/>
          <w:jc w:val="center"/>
        </w:trPr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57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一级用地类型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57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二级用地类型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含义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57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适用基准地价类型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57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1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耕地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水田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指用于种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水稻、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藕等水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农作物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耕地。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括实行水生、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旱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生农作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轮种的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耕地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7" w:hRule="atLeast"/>
          <w:jc w:val="center"/>
        </w:trPr>
        <w:tc>
          <w:tcPr>
            <w:tcW w:w="11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水浇地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73" w:lineRule="auto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指有水源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保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证和灌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设施，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一般年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能正常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溉，种植旱生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作物（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含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蔬菜）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耕地，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括种植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菜的非工厂的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棚用地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耕地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atLeast"/>
          <w:jc w:val="center"/>
        </w:trPr>
        <w:tc>
          <w:tcPr>
            <w:tcW w:w="11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旱地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指无灌溉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施，主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靠天然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水种植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旱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生农作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的耕地，包括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有灌溉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施，仅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引洪淤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的耕地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耕地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11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果园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指种植果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的园地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11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茶园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指种植茶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的园地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11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其他园地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指种植桑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、可可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咖啡、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棕、胡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、药材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其他多年生作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的园地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园地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11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林地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乔木林地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76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指乔木郁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度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0.2的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地，不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括森林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沼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泽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林地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136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竹林地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76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指生长竹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植物，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闭度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0.2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林地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林地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136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灌木林地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76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指灌木覆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度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40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%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的林地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不包括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丛沼泽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林地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  <w:jc w:val="center"/>
        </w:trPr>
        <w:tc>
          <w:tcPr>
            <w:tcW w:w="1136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其他林地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 w:line="276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包括疏林</w:t>
            </w:r>
            <w:r>
              <w:rPr>
                <w:rFonts w:hint="eastAsia" w:ascii="仿宋_GB2312" w:hAnsi="仿宋_GB2312" w:eastAsia="仿宋_GB2312" w:cs="仿宋_GB2312"/>
                <w:spacing w:val="-15"/>
                <w:sz w:val="24"/>
                <w:szCs w:val="24"/>
              </w:rPr>
              <w:t>地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树木郁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度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0.1</w:t>
            </w:r>
            <w:r>
              <w:rPr>
                <w:rFonts w:hint="eastAsia" w:ascii="仿宋_GB2312" w:hAnsi="仿宋_GB2312" w:eastAsia="仿宋_GB2312" w:cs="仿宋_GB2312"/>
                <w:spacing w:val="-15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于0.2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林地</w:t>
            </w:r>
            <w:r>
              <w:rPr>
                <w:rFonts w:hint="eastAsia" w:ascii="仿宋_GB2312" w:hAnsi="仿宋_GB2312" w:eastAsia="仿宋_GB2312" w:cs="仿宋_GB2312"/>
                <w:spacing w:val="-15"/>
                <w:sz w:val="24"/>
                <w:szCs w:val="24"/>
              </w:rPr>
              <w:t>）、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未成林地、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地等林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，不包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苗圃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林地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1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bookmarkStart w:id="25" w:name="_GoBack"/>
            <w:bookmarkEnd w:id="25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苗圃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耕地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  <w:jc w:val="center"/>
        </w:trPr>
        <w:tc>
          <w:tcPr>
            <w:tcW w:w="11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水域及水利设施用地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水库水面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指人工拦截汇集而成的总设计库容≥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10万m³的水库正常蓄水位岸线所围成的水面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坑塘水面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0.85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  <w:jc w:val="center"/>
        </w:trPr>
        <w:tc>
          <w:tcPr>
            <w:tcW w:w="11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其他农用地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沟渠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 w:line="276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指人工修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建</w:t>
            </w:r>
            <w:r>
              <w:rPr>
                <w:rFonts w:hint="eastAsia" w:ascii="仿宋_GB2312" w:hAnsi="仿宋_GB2312" w:eastAsia="仿宋_GB2312" w:cs="仿宋_GB2312"/>
                <w:spacing w:val="-63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南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宽度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</w:t>
            </w:r>
            <w:r>
              <w:rPr>
                <w:rFonts w:hint="eastAsia" w:ascii="仿宋_GB2312" w:hAnsi="仿宋_GB2312" w:eastAsia="仿宋_GB2312" w:cs="仿宋_GB2312"/>
                <w:spacing w:val="-11"/>
                <w:sz w:val="24"/>
                <w:szCs w:val="24"/>
              </w:rPr>
              <w:t>m</w:t>
            </w:r>
            <w:r>
              <w:rPr>
                <w:rFonts w:hint="eastAsia" w:ascii="仿宋_GB2312" w:hAnsi="仿宋_GB2312" w:eastAsia="仿宋_GB2312" w:cs="仿宋_GB2312"/>
                <w:spacing w:val="-63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北方宽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度≥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2.0m用于引、排、灌的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道，包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渠槽、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堤、护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堤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林及小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泵站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耕地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4" w:hRule="atLeast"/>
          <w:jc w:val="center"/>
        </w:trPr>
        <w:tc>
          <w:tcPr>
            <w:tcW w:w="11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农村道路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 w:line="276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在农村范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内，南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宽度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</w:t>
            </w:r>
            <w:r>
              <w:rPr>
                <w:rFonts w:hint="eastAsia" w:ascii="仿宋_GB2312" w:hAnsi="仿宋_GB2312" w:eastAsia="仿宋_GB2312" w:cs="仿宋_GB2312"/>
                <w:spacing w:val="-11"/>
                <w:sz w:val="24"/>
                <w:szCs w:val="24"/>
              </w:rPr>
              <w:t>m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≤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8.</w:t>
            </w: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</w:rPr>
              <w:t>0</w:t>
            </w:r>
            <w:r>
              <w:rPr>
                <w:rFonts w:hint="eastAsia" w:ascii="仿宋_GB2312" w:hAnsi="仿宋_GB2312" w:eastAsia="仿宋_GB2312" w:cs="仿宋_GB2312"/>
                <w:spacing w:val="-11"/>
                <w:sz w:val="24"/>
                <w:szCs w:val="24"/>
              </w:rPr>
              <w:t>m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，北方宽度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</w:rPr>
              <w:t>0</w:t>
            </w:r>
            <w:r>
              <w:rPr>
                <w:rFonts w:hint="eastAsia" w:ascii="仿宋_GB2312" w:hAnsi="仿宋_GB2312" w:eastAsia="仿宋_GB2312" w:cs="仿宋_GB2312"/>
                <w:spacing w:val="-11"/>
                <w:sz w:val="24"/>
                <w:szCs w:val="24"/>
              </w:rPr>
              <w:t>m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≤</w:t>
            </w: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</w:rPr>
              <w:t>8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</w:rPr>
              <w:t>m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用于村间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田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交通运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输，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并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国家公路网络体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之外，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服务与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村农业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产为主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用途的道路（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含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机耕道）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耕地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11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田坎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指梯田及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状坡地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地中，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要用途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蓄水和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护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坡，南方宽度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1.0</w:t>
            </w:r>
            <w:r>
              <w:rPr>
                <w:rFonts w:hint="eastAsia" w:ascii="仿宋_GB2312" w:hAnsi="仿宋_GB2312" w:eastAsia="仿宋_GB2312" w:cs="仿宋_GB2312"/>
                <w:spacing w:val="-11"/>
                <w:sz w:val="24"/>
                <w:szCs w:val="24"/>
              </w:rPr>
              <w:t>m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、北方宽度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2.0m的地坎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耕地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0.95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1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 w:line="273" w:lineRule="auto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宜农未利用地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其他草地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 w:line="276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植被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郁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度＜0.1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表层为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质，不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于放牧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草地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宜农未利用地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7" w:hRule="atLeast"/>
          <w:jc w:val="center"/>
        </w:trPr>
        <w:tc>
          <w:tcPr>
            <w:tcW w:w="11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内陆滩涂</w:t>
            </w:r>
          </w:p>
        </w:tc>
        <w:tc>
          <w:tcPr>
            <w:tcW w:w="4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 w:line="2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指河流、湖泊常水位至洪水位间的滩地；时令湖、河洪水位以下的滩地；水库、坑塘的正常蓄水位与洪水位间的滩地。包括海岛的内陆滩地。不包括已利用的滩地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 w:line="26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宜农未利用地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0" w:afterLines="0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0.90</w:t>
            </w:r>
          </w:p>
        </w:tc>
      </w:tr>
    </w:tbl>
    <w:p>
      <w:pPr>
        <w:widowControl w:val="0"/>
        <w:numPr>
          <w:ilvl w:val="0"/>
          <w:numId w:val="0"/>
        </w:numPr>
        <w:spacing w:before="78" w:beforeLines="25" w:after="78" w:afterLines="25" w:line="300" w:lineRule="auto"/>
        <w:ind w:leftChars="0"/>
        <w:jc w:val="center"/>
        <w:rPr>
          <w:rFonts w:hint="eastAsia" w:eastAsia="仿宋_GB2312"/>
          <w:b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rPr>
          <w:rFonts w:eastAsia="黑体"/>
          <w:kern w:val="28"/>
          <w:sz w:val="32"/>
          <w:szCs w:val="32"/>
          <w:highlight w:val="none"/>
        </w:rPr>
      </w:pPr>
      <w:bookmarkStart w:id="1" w:name="_Toc420480255"/>
      <w:r>
        <w:rPr>
          <w:rFonts w:hAnsi="黑体" w:eastAsia="黑体"/>
          <w:kern w:val="28"/>
          <w:sz w:val="32"/>
          <w:szCs w:val="32"/>
          <w:highlight w:val="none"/>
        </w:rPr>
        <w:t>二、</w:t>
      </w:r>
      <w:bookmarkEnd w:id="1"/>
      <w:r>
        <w:rPr>
          <w:rFonts w:hint="eastAsia" w:hAnsi="黑体" w:eastAsia="黑体"/>
          <w:kern w:val="28"/>
          <w:sz w:val="32"/>
          <w:szCs w:val="32"/>
          <w:highlight w:val="none"/>
        </w:rPr>
        <w:t>基准地价修正体系</w:t>
      </w:r>
    </w:p>
    <w:p>
      <w:pPr>
        <w:pStyle w:val="3"/>
        <w:rPr>
          <w:rFonts w:eastAsia="楷体_GB2312"/>
          <w:spacing w:val="-4"/>
          <w:highlight w:val="none"/>
        </w:rPr>
      </w:pPr>
      <w:bookmarkStart w:id="2" w:name="_Toc420480256"/>
      <w:bookmarkStart w:id="3" w:name="_Toc369876996"/>
      <w:r>
        <w:rPr>
          <w:rFonts w:eastAsia="楷体_GB2312"/>
          <w:spacing w:val="-4"/>
          <w:highlight w:val="none"/>
        </w:rPr>
        <w:t>（一）</w:t>
      </w:r>
      <w:bookmarkEnd w:id="2"/>
      <w:bookmarkEnd w:id="3"/>
      <w:r>
        <w:rPr>
          <w:rFonts w:hint="eastAsia" w:eastAsia="楷体_GB2312"/>
          <w:spacing w:val="-4"/>
          <w:highlight w:val="none"/>
          <w:lang w:eastAsia="zh-CN"/>
        </w:rPr>
        <w:t>乐昌市2018年</w:t>
      </w:r>
      <w:r>
        <w:rPr>
          <w:rFonts w:eastAsia="楷体_GB2312"/>
          <w:spacing w:val="-4"/>
          <w:highlight w:val="none"/>
        </w:rPr>
        <w:t>国有农用地</w:t>
      </w:r>
      <w:r>
        <w:rPr>
          <w:rFonts w:hint="eastAsia" w:eastAsia="楷体_GB2312"/>
          <w:spacing w:val="-4"/>
          <w:highlight w:val="none"/>
          <w:lang w:eastAsia="zh-CN"/>
        </w:rPr>
        <w:t>基准地价</w:t>
      </w:r>
      <w:r>
        <w:rPr>
          <w:rFonts w:eastAsia="楷体_GB2312"/>
          <w:spacing w:val="-4"/>
          <w:highlight w:val="none"/>
        </w:rPr>
        <w:t>各因素指标修正</w:t>
      </w:r>
    </w:p>
    <w:p>
      <w:pPr>
        <w:pStyle w:val="4"/>
        <w:rPr>
          <w:rFonts w:eastAsia="仿宋_GB2312"/>
          <w:sz w:val="30"/>
          <w:szCs w:val="30"/>
          <w:highlight w:val="none"/>
        </w:rPr>
      </w:pPr>
      <w:r>
        <w:rPr>
          <w:rFonts w:eastAsia="仿宋_GB2312"/>
          <w:sz w:val="30"/>
          <w:szCs w:val="30"/>
          <w:highlight w:val="none"/>
        </w:rPr>
        <w:t>1、耕地各因素指标修正</w:t>
      </w:r>
    </w:p>
    <w:p>
      <w:pPr>
        <w:pStyle w:val="31"/>
        <w:numPr>
          <w:ilvl w:val="0"/>
          <w:numId w:val="2"/>
        </w:numPr>
        <w:spacing w:before="60" w:beforeLines="25" w:after="60" w:afterLines="25" w:line="300" w:lineRule="auto"/>
        <w:ind w:left="902" w:firstLineChars="0"/>
        <w:jc w:val="center"/>
        <w:outlineLvl w:val="8"/>
        <w:rPr>
          <w:rFonts w:hint="eastAsia" w:ascii="Times New Roman" w:hAnsi="Times New Roman" w:eastAsia="仿宋_GB2312"/>
          <w:b/>
          <w:szCs w:val="21"/>
        </w:rPr>
      </w:pPr>
      <w:bookmarkStart w:id="4" w:name="_Toc495530487"/>
      <w:r>
        <w:rPr>
          <w:rFonts w:hint="eastAsia" w:ascii="Times New Roman" w:hAnsi="Times New Roman" w:eastAsia="仿宋_GB2312"/>
          <w:b/>
          <w:szCs w:val="21"/>
          <w:lang w:eastAsia="zh-CN"/>
        </w:rPr>
        <w:t>乐昌市2018年国有耕地基准地价一级修正系数表</w:t>
      </w:r>
    </w:p>
    <w:tbl>
      <w:tblPr>
        <w:tblStyle w:val="14"/>
        <w:tblW w:w="1392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31"/>
        <w:gridCol w:w="1605"/>
        <w:gridCol w:w="906"/>
        <w:gridCol w:w="1561"/>
        <w:gridCol w:w="884"/>
        <w:gridCol w:w="1249"/>
        <w:gridCol w:w="947"/>
        <w:gridCol w:w="1337"/>
        <w:gridCol w:w="1020"/>
        <w:gridCol w:w="1313"/>
        <w:gridCol w:w="9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1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指标标准</w:t>
            </w:r>
          </w:p>
        </w:tc>
        <w:tc>
          <w:tcPr>
            <w:tcW w:w="25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较优</w:t>
            </w:r>
          </w:p>
        </w:tc>
        <w:tc>
          <w:tcPr>
            <w:tcW w:w="2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一般</w:t>
            </w:r>
          </w:p>
        </w:tc>
        <w:tc>
          <w:tcPr>
            <w:tcW w:w="23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较劣</w:t>
            </w:r>
          </w:p>
        </w:tc>
        <w:tc>
          <w:tcPr>
            <w:tcW w:w="2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1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地形部位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处于平原地带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0.5589%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处于平原、丘陵过渡地带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0.2795%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处于丘陵地带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处于丘陵、山地过渡地带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-0.1523%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处于山地地带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-0.3046%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地形坡度（°）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［0，2）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0.5475%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［2，5）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0.2738%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［5，8）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［8，15）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-0.1492%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［15，90）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-0.2984%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有效土层厚度（厘米）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0.3831%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［80，100）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0.1915%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［60，80）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-0.1044%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-0.2087%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障碍层深度（厘米）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0.2093%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［90，100）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0.1047%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［60，90）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-0.0570%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-0.1141%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表层土壤质地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壤土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0.2948%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砂壤土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0.1474%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粘土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砂土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-0.0803%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砾质土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-0.1606%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剖面构型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通体壤、壤/砂/壤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0.1880%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壤/粘/壤、砂/粘/粘、壤/粘/粘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0.0940%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粘/砂/粘、通体粘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砂/粘/砂、壤/砂/砂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-0.0512%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粘/砂/砂、通体砾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-0.1024%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土壤pH值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［6.0，7.9）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0.2257%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［5.5，6.0）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0.1129%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［5.0，5.5）;［7.9，8.5）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［4.5，5.0）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-0.0615%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（0，4.5）;［8.5，14）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-0.1230%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有机质含量（%）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［3.0，100］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0.2720%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［2.0，3.0）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0.1360%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［1.0，2.0）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［0.6，1.0）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-0.0741%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（0，0.6）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-0.1482%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地下水埋深（厘米）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［60，+∞）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1.0011%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［50，60）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0.5005%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［40，50）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［30，40）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-0.2728%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-0.5455%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灌溉保证率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充分满足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0.3966%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基本满足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0.1983%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一般满足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灌溉条件欠缺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-0.1081%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无灌溉条件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-0.2161%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排水条件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有健全的排水沟道（包括抽排）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0.2734%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排水体系（包括抽排）基本健全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0.1367%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排水体系（包括抽排）一般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排水体系不完善，容易淤塞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-0.0745%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无任何排水体系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耕作距离（距离最近集中居民点）（米）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0.3952%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［500，1000）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0.1976%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［1000，1500）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［1500，2000）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-0.1077%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［2000，+∞）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-0.2153%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田块大小（平方米）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［15000，+∞）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0.3638%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［5500，15000）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0.1819%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［1500，5500）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［700，1500）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-0.0991%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（0，700）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-0.1983%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人均耕地面积（平方米/人）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（0，10）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0.2577%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［10，100）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0.1289%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［100，400）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［400，900）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-0.0702%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［900，+∞））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-0.1405%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利用现状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菜地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0.2720%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0.1360%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水浇地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望天田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-0.0741%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旱地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-0.1482%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中心城市影响度（距城区或镇区中心距离）（米）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0.4500%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0.2250%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-0.1226%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-0.2452%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农贸市场影响度（距最近农贸市场距离）（米）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0.3866%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0.1933%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-0.1053%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-0.2107%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道路通达度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国道能通达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0.6458%</w:t>
            </w:r>
          </w:p>
        </w:tc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省道能通达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0.3229%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县道能通达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乡道能通达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-0.1760%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仅村道能通达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-0.3519%</w:t>
            </w:r>
          </w:p>
        </w:tc>
      </w:tr>
    </w:tbl>
    <w:p>
      <w:pPr>
        <w:adjustRightInd w:val="0"/>
        <w:snapToGrid w:val="0"/>
        <w:spacing w:before="120" w:beforeLines="50" w:after="0" w:afterLines="0"/>
        <w:jc w:val="left"/>
        <w:rPr>
          <w:rFonts w:hint="eastAsia" w:ascii="仿宋_GB2312"/>
          <w:sz w:val="18"/>
          <w:szCs w:val="18"/>
        </w:rPr>
      </w:pP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18"/>
          <w:szCs w:val="18"/>
          <w:u w:val="none"/>
          <w:lang w:val="en-US" w:eastAsia="zh-CN" w:bidi="ar"/>
        </w:rPr>
        <w:t>备注：人均耕地面积计算公式为：人均耕地面积＝所在区域耕地总面积÷农业户籍人口数。</w:t>
      </w:r>
    </w:p>
    <w:p>
      <w:pPr>
        <w:adjustRightInd w:val="0"/>
        <w:snapToGrid w:val="0"/>
        <w:spacing w:before="120" w:beforeLines="50" w:after="0" w:afterLines="0"/>
        <w:ind w:firstLine="540" w:firstLineChars="300"/>
        <w:rPr>
          <w:rFonts w:hint="eastAsia" w:ascii="仿宋_GB2312"/>
          <w:sz w:val="18"/>
          <w:szCs w:val="18"/>
        </w:rPr>
      </w:pPr>
    </w:p>
    <w:p>
      <w:pPr>
        <w:adjustRightInd w:val="0"/>
        <w:snapToGrid w:val="0"/>
        <w:spacing w:before="120" w:beforeLines="50" w:after="0" w:afterLines="0"/>
        <w:ind w:firstLine="540" w:firstLineChars="300"/>
        <w:rPr>
          <w:rFonts w:hint="eastAsia" w:ascii="仿宋_GB2312"/>
          <w:sz w:val="18"/>
          <w:szCs w:val="18"/>
        </w:rPr>
      </w:pPr>
    </w:p>
    <w:p>
      <w:pPr>
        <w:adjustRightInd w:val="0"/>
        <w:snapToGrid w:val="0"/>
        <w:spacing w:before="120" w:beforeLines="50" w:after="0" w:afterLines="0"/>
        <w:ind w:firstLine="540" w:firstLineChars="300"/>
        <w:rPr>
          <w:rFonts w:hint="eastAsia" w:ascii="仿宋_GB2312"/>
          <w:sz w:val="18"/>
          <w:szCs w:val="18"/>
        </w:rPr>
      </w:pPr>
    </w:p>
    <w:p>
      <w:pPr>
        <w:adjustRightInd w:val="0"/>
        <w:snapToGrid w:val="0"/>
        <w:spacing w:before="120" w:beforeLines="50" w:after="0" w:afterLines="0"/>
        <w:ind w:firstLine="540" w:firstLineChars="300"/>
        <w:rPr>
          <w:rFonts w:hint="eastAsia" w:ascii="仿宋_GB2312"/>
          <w:sz w:val="18"/>
          <w:szCs w:val="18"/>
        </w:rPr>
      </w:pPr>
    </w:p>
    <w:p>
      <w:pPr>
        <w:pStyle w:val="31"/>
        <w:numPr>
          <w:ilvl w:val="0"/>
          <w:numId w:val="2"/>
        </w:numPr>
        <w:spacing w:before="60" w:beforeLines="25" w:after="60" w:afterLines="25" w:line="300" w:lineRule="auto"/>
        <w:ind w:left="902" w:firstLineChars="0"/>
        <w:jc w:val="center"/>
        <w:outlineLvl w:val="8"/>
        <w:rPr>
          <w:rFonts w:hint="eastAsia"/>
          <w:b/>
          <w:szCs w:val="21"/>
        </w:rPr>
      </w:pPr>
      <w:r>
        <w:rPr>
          <w:rFonts w:hint="eastAsia" w:ascii="Times New Roman" w:hAnsi="Times New Roman" w:eastAsia="仿宋_GB2312"/>
          <w:b/>
          <w:szCs w:val="21"/>
          <w:lang w:eastAsia="zh-CN"/>
        </w:rPr>
        <w:t>乐昌市2018年国有耕地基准地价二级修正系数表</w:t>
      </w:r>
    </w:p>
    <w:tbl>
      <w:tblPr>
        <w:tblStyle w:val="14"/>
        <w:tblW w:w="1392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31"/>
        <w:gridCol w:w="1589"/>
        <w:gridCol w:w="922"/>
        <w:gridCol w:w="1578"/>
        <w:gridCol w:w="950"/>
        <w:gridCol w:w="1216"/>
        <w:gridCol w:w="897"/>
        <w:gridCol w:w="1370"/>
        <w:gridCol w:w="987"/>
        <w:gridCol w:w="1263"/>
        <w:gridCol w:w="10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1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指标标准</w:t>
            </w:r>
          </w:p>
        </w:tc>
        <w:tc>
          <w:tcPr>
            <w:tcW w:w="25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25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较优</w:t>
            </w:r>
          </w:p>
        </w:tc>
        <w:tc>
          <w:tcPr>
            <w:tcW w:w="21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一般</w:t>
            </w:r>
          </w:p>
        </w:tc>
        <w:tc>
          <w:tcPr>
            <w:tcW w:w="23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较劣</w:t>
            </w:r>
          </w:p>
        </w:tc>
        <w:tc>
          <w:tcPr>
            <w:tcW w:w="2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1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地形部位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处于平原地带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0.2543%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处于平原、丘陵过渡地带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0.1272%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处于丘陵地带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处于丘陵、山地过渡地带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-0.1515%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处于山地地带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-0.3022%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地形坡度（°）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［0，2）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0.2492%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［2，5）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0.1246%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［5，8）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［8，15）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-0.1484%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［15，90）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-0.2961%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有效土层厚度（厘米）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0.1743%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［80，100）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0.0872%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［60，80）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-0.1038%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-0.2071%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障碍层深度（厘米）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0.0953%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［90，100）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0.0476%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［60，90）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-0.0567%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-0.1132%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表层土壤质地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壤土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0.1341%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砂壤土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0.0671%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粘土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砂土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-0.0799%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砾质土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-0.1594%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剖面构型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通体壤、壤/砂/壤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0.0855%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壤/粘/壤、砂/粘/粘、壤/粘/粘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0.0428%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粘/砂/粘、通体粘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砂/粘/砂、壤/砂/砂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-0.0510%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粘/砂/砂、通体砾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-0.1016%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土壤pH值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［6.0，7.9）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0.1027%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［5.5，6.0）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0.0514%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［5.0，5.5）;［7.9，8.5）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［4.5，5.0）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-0.0612%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（0，4.5）;［8.5，14）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-0.1220%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有机质含量（%）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［3.0，100］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0.1238%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［2.0，3.0）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0.0619%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［1.0，2.0）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［0.6，1.0）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-0.0737%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（0，0.6）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-0.1471%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地下水埋深（厘米）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［60，+∞）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0.4555%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［50，60）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0.2278%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［40，50）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［30，40）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-0.2714%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-0.5413%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灌溉保证率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充分满足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0.1805%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基本满足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0.0902%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一般满足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灌溉条件欠缺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-0.1075%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无灌溉条件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-0.2144%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排水条件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有健全的排水沟道（包括抽排）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0.1244%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排水体系（包括抽排）基本健全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0.0622%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排水体系（包括抽排）一般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排水体系不完善，容易淤塞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-0.0741%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无任何排水体系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-0.1478%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耕作距离（距离最近集中居民点）（米）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0.1798%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［500，1000）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0.0899%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［1000，1500）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［1500，2000）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-0.1071%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［2000，+∞）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-0.2137%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田块大小（平方米）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［15000，+∞）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0.1656%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［5500，15000）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0.0828%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［1500，5500）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［700，1500）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-0.0986%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（0，700）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-0.1967%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人均耕地面积（平方米/人）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（0，10）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0.1173%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［10，100）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0.0586%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［100，400）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［400，900）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-0.0699%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［900，+∞））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-0.1394%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利用现状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菜地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0.1238%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水田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0.0619%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水浇地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望天田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-0.0737%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旱地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-0.1471%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中心城市影响度（距城区或镇区中心距离）（米）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0.2048%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0.1024%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-0.1220%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-0.2433%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农贸市场影响度（距最近农贸市场距离）（米）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0.1759%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0.0880%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-0.1048%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-0.2091%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道路通达度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国道能通达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0.2939%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省道能通达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0.1469%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县道能通达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乡道能通达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-0.1751%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仅村道能通达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-0.3492%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Lines="0" w:afterLines="0" w:line="240" w:lineRule="auto"/>
        <w:ind w:firstLine="0" w:firstLineChars="0"/>
        <w:jc w:val="left"/>
        <w:textAlignment w:val="center"/>
        <w:rPr>
          <w:rFonts w:hint="eastAsia" w:ascii="仿宋_GB2312" w:hAnsi="仿宋_GB2312" w:eastAsia="仿宋_GB2312" w:cs="仿宋_GB2312"/>
          <w:i w:val="0"/>
          <w:color w:val="000000"/>
          <w:kern w:val="0"/>
          <w:sz w:val="18"/>
          <w:szCs w:val="1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18"/>
          <w:szCs w:val="18"/>
          <w:u w:val="none"/>
          <w:lang w:val="en-US" w:eastAsia="zh-CN" w:bidi="ar"/>
        </w:rPr>
        <w:t>备注：人均耕地面积计算公式为：人均耕地面积＝所在区域耕地总面积÷农业户籍人口数。</w:t>
      </w:r>
    </w:p>
    <w:p>
      <w:pPr>
        <w:adjustRightInd w:val="0"/>
        <w:snapToGrid w:val="0"/>
        <w:spacing w:before="120" w:beforeLines="50" w:after="0" w:afterLines="0"/>
        <w:ind w:firstLine="540" w:firstLineChars="300"/>
        <w:rPr>
          <w:rFonts w:hint="eastAsia" w:ascii="仿宋_GB2312"/>
          <w:sz w:val="18"/>
          <w:szCs w:val="18"/>
        </w:rPr>
      </w:pPr>
    </w:p>
    <w:p>
      <w:pPr>
        <w:pStyle w:val="31"/>
        <w:numPr>
          <w:ilvl w:val="0"/>
          <w:numId w:val="2"/>
        </w:numPr>
        <w:spacing w:before="60" w:beforeLines="25" w:after="60" w:afterLines="25" w:line="300" w:lineRule="auto"/>
        <w:ind w:left="902" w:firstLineChars="0"/>
        <w:jc w:val="center"/>
        <w:outlineLvl w:val="8"/>
        <w:rPr>
          <w:rFonts w:hint="eastAsia" w:ascii="Times New Roman" w:hAnsi="Times New Roman" w:eastAsia="仿宋_GB2312"/>
          <w:b/>
          <w:szCs w:val="21"/>
        </w:rPr>
      </w:pPr>
      <w:r>
        <w:rPr>
          <w:rFonts w:hint="eastAsia" w:ascii="Times New Roman" w:hAnsi="Times New Roman" w:eastAsia="仿宋_GB2312"/>
          <w:b/>
          <w:szCs w:val="21"/>
          <w:lang w:eastAsia="zh-CN"/>
        </w:rPr>
        <w:t>乐昌市2018年国有耕地基准地价三级修正系数表</w:t>
      </w:r>
    </w:p>
    <w:tbl>
      <w:tblPr>
        <w:tblStyle w:val="14"/>
        <w:tblW w:w="1392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31"/>
        <w:gridCol w:w="1555"/>
        <w:gridCol w:w="956"/>
        <w:gridCol w:w="1640"/>
        <w:gridCol w:w="888"/>
        <w:gridCol w:w="1283"/>
        <w:gridCol w:w="917"/>
        <w:gridCol w:w="1266"/>
        <w:gridCol w:w="1004"/>
        <w:gridCol w:w="1296"/>
        <w:gridCol w:w="9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1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指标标准</w:t>
            </w:r>
          </w:p>
        </w:tc>
        <w:tc>
          <w:tcPr>
            <w:tcW w:w="25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25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较优</w:t>
            </w:r>
          </w:p>
        </w:tc>
        <w:tc>
          <w:tcPr>
            <w:tcW w:w="2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一般</w:t>
            </w:r>
          </w:p>
        </w:tc>
        <w:tc>
          <w:tcPr>
            <w:tcW w:w="22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较劣</w:t>
            </w:r>
          </w:p>
        </w:tc>
        <w:tc>
          <w:tcPr>
            <w:tcW w:w="2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1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地形部位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处于平原地带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0.1947%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处于平原、丘陵过渡地带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0.0973%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处于丘陵地带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处于丘陵、山地过渡地带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-0.3533%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处于山地地带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-0.7065%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地形坡度（°）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［0，2）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0.1907%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［2，5）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0.0954%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［5，8）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［8，15）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-0.3461%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［15，90）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-0.6921%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有效土层厚度（厘米）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0.1334%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［80，100）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0.0667%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［60，80）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-0.2421%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-0.4842%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障碍层深度（厘米）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0.0729%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［90，100）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0.0365%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［60，90）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-0.1323%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-0.2646%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表层土壤质地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壤土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0.1027%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砂壤土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0.0513%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粘土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砂土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-0.1863%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砾质土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-0.3726%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剖面构型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通体壤、壤/砂/壤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0.0655%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壤/粘/壤、砂/粘/粘、壤/粘/粘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0.0327%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粘/砂/粘、通体粘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砂/粘/砂、壤/砂/砂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-0.1188%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粘/砂/砂、通体砾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-0.2376%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土壤pH值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［6.0，7.9）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0.0786%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［5.5，6.0）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0.0393%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［5.0，5.5）;［7.9，8.5）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［4.5，5.0）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-0.1427%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（0，4.5）;［8.5，14）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-0.2853%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有机质含量（%）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［3.0，100］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0.0947%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［2.0，3.0）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0.0474%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［1.0，2.0）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［0.6，1.0）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-0.1719%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（0，0.6）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-0.3438%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地下水埋深（厘米）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［60，+∞）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0.3487%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［50，60）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0.1743%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［40，50）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［30，40）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-0.6327%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-1.2654%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灌溉保证率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充分满足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0.1381%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基本满足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0.0691%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一般满足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灌溉条件欠缺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-0.2507%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无灌溉条件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-0.5013%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排水条件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有健全的排水沟道（包括抽排）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0.0952%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排水体系（包括抽排）基本健全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0.0476%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排水体系（包括抽排）一般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排水体系不完善，容易淤塞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-0.1728%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无任何排水体系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-0.3456%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耕作距离（距离最近集中居民点）（米）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0.1376%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［500，1000）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0.0688%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［1000，1500）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［1500，2000）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-0.2498%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［2000，+∞）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-0.4995%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田块大小（平方米）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［15000，+∞）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0.1267%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［5500，15000）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0.0634%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［1500，5500）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［700，1500）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-0.2300%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（0，700）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-0.4599%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人均耕地面积（平方米/人）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（0，10）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0.0898%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［10，100）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0.0449%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［100，400）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［400，900）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-0.1629%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［900，+∞））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-0.3258%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利用现状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菜地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0.0947%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水田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0.0474%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水浇地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望天田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-0.1719%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旱地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-0.3438%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中心城市影响度（距城区或镇区中心距离）（米）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0.1567%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0.0784%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-0.2844%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-0.5688%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农贸市场影响度（距最近农贸市场距离）（米）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0.1347%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0.0673%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-0.2444%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-0.4887%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道路通达度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国道能通达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0.2249%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省道能通达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0.1125%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县道能通达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乡道能通达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-0.4082%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仅村道能通达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-0.8163%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Lines="0" w:afterLines="0" w:line="240" w:lineRule="auto"/>
        <w:ind w:firstLine="0" w:firstLineChars="0"/>
        <w:jc w:val="left"/>
        <w:textAlignment w:val="center"/>
        <w:rPr>
          <w:rFonts w:hint="eastAsia" w:ascii="仿宋_GB2312" w:hAnsi="仿宋_GB2312" w:eastAsia="仿宋_GB2312" w:cs="仿宋_GB2312"/>
          <w:i w:val="0"/>
          <w:color w:val="000000"/>
          <w:kern w:val="0"/>
          <w:sz w:val="18"/>
          <w:szCs w:val="1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18"/>
          <w:szCs w:val="18"/>
          <w:u w:val="none"/>
          <w:lang w:val="en-US" w:eastAsia="zh-CN" w:bidi="ar"/>
        </w:rPr>
        <w:t>备注：人均耕地面积计算公式为：人均耕地面积＝所在区域耕地总面积÷农业户籍人口数。</w:t>
      </w:r>
    </w:p>
    <w:bookmarkEnd w:id="4"/>
    <w:p>
      <w:pPr>
        <w:spacing w:before="60" w:beforeLines="25" w:after="60" w:afterLines="25"/>
        <w:ind w:left="0" w:leftChars="0" w:firstLine="0" w:firstLineChars="0"/>
        <w:jc w:val="left"/>
        <w:outlineLvl w:val="3"/>
        <w:rPr>
          <w:kern w:val="2"/>
          <w:sz w:val="30"/>
          <w:szCs w:val="32"/>
        </w:rPr>
      </w:pPr>
      <w:bookmarkStart w:id="5" w:name="_Toc504582898"/>
      <w:bookmarkStart w:id="6" w:name="_Toc502133204"/>
      <w:r>
        <w:rPr>
          <w:rFonts w:ascii="Times New Roman" w:hAnsi="Times New Roman" w:eastAsia="仿宋_GB2312" w:cs="Times New Roman"/>
          <w:b/>
          <w:bCs/>
          <w:kern w:val="2"/>
          <w:sz w:val="30"/>
          <w:szCs w:val="30"/>
          <w:highlight w:val="none"/>
          <w:lang w:val="en-US" w:eastAsia="zh-CN" w:bidi="ar-SA"/>
        </w:rPr>
        <w:t>2、园地各因素指标修正</w:t>
      </w:r>
      <w:bookmarkEnd w:id="5"/>
      <w:bookmarkEnd w:id="6"/>
    </w:p>
    <w:p>
      <w:pPr>
        <w:pStyle w:val="31"/>
        <w:numPr>
          <w:ilvl w:val="0"/>
          <w:numId w:val="2"/>
        </w:numPr>
        <w:spacing w:before="60" w:beforeLines="25" w:after="60" w:afterLines="25" w:line="300" w:lineRule="auto"/>
        <w:ind w:left="902" w:firstLineChars="0"/>
        <w:jc w:val="center"/>
        <w:outlineLvl w:val="8"/>
        <w:rPr>
          <w:rFonts w:hint="eastAsia" w:ascii="Times New Roman" w:hAnsi="Times New Roman" w:eastAsia="仿宋_GB2312"/>
          <w:b/>
          <w:szCs w:val="21"/>
        </w:rPr>
      </w:pPr>
      <w:bookmarkStart w:id="7" w:name="_Toc495530488"/>
      <w:r>
        <w:rPr>
          <w:rFonts w:hint="eastAsia" w:ascii="Times New Roman" w:hAnsi="Times New Roman" w:eastAsia="仿宋_GB2312"/>
          <w:b/>
          <w:szCs w:val="21"/>
          <w:lang w:eastAsia="zh-CN"/>
        </w:rPr>
        <w:t>乐昌市2018年国有园地基准地价一级修正系数表</w:t>
      </w:r>
    </w:p>
    <w:tbl>
      <w:tblPr>
        <w:tblStyle w:val="14"/>
        <w:tblW w:w="1392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58"/>
        <w:gridCol w:w="1378"/>
        <w:gridCol w:w="905"/>
        <w:gridCol w:w="1462"/>
        <w:gridCol w:w="884"/>
        <w:gridCol w:w="1449"/>
        <w:gridCol w:w="874"/>
        <w:gridCol w:w="1610"/>
        <w:gridCol w:w="945"/>
        <w:gridCol w:w="1555"/>
        <w:gridCol w:w="10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8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指标标准</w:t>
            </w:r>
          </w:p>
        </w:tc>
        <w:tc>
          <w:tcPr>
            <w:tcW w:w="2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较优</w:t>
            </w:r>
          </w:p>
        </w:tc>
        <w:tc>
          <w:tcPr>
            <w:tcW w:w="2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一般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较劣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地貌类型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处于平原地带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0.5956%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处于平原、丘陵过渡地带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0.2984%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处于丘陵地带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处于丘陵、山地过渡地带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-0.2951%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处于山地地带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-0.5901%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地形坡度（°）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［0，2）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0.5794%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［2，5）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0.2902%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［5，8）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［8，15）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-0.2870%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［15，90）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-0.5741%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土层厚度（厘米）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0.4669%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［80，100）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0.2339%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［60，80）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-0.2313%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-0.4626%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土壤质地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壤土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0.3717%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砂壤土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0.1862%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粘土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砂土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-0.1841%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砾质土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-0.3682%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土壤pH值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［6.0，7.9）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0.2965%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［5.5，6.0）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0.1485%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［5.0，5.5）；［7.9，8.5）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［4.5，5.0）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-0.1469%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（0，4.5）；［8.5，14）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-0.2937%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有机质含量（%）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［3.0，100］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0.3841%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［2.0，3.0）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0.1924%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［1.0，2.0）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［0.6，1.0）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-0.1903%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（0，0.6）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-0.3806%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灌溉保证率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充分满足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0.3311%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基本满足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0.1659%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一般满足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灌溉条件欠缺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-0.1640%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无灌溉条件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-0.3280%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排水条件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有健全的排水沟道（包括抽排）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0.2294%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排水体系（包括抽排）基本健全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0.1149%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排水体系（包括抽排）一般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排水体系不完善，容易淤塞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-0.1136%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无任何排水体系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-0.2273%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园地设施条件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设施齐全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0.3111%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设施较齐全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0.1558%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设施一般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设施较少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-0.1541%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设施缺少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-0.3082%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经营效益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区域可种植特色作物，经营效益好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0.4198%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区域可种植特色作物，经营效益较好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0.2103%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区域可种植当季一般作物，经营效益一般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区域可种植一般农作物，经营效益较差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-0.2080%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区域可种植一般农作物，但经营效益差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-0.4159%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利用类型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菜园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0.3251%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苗圃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0.1629%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果园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茶园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-0.1611%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其他园地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-0.3221%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中心城市影响度（距城区或镇区中心距离）（米）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0.3278%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0.1642%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-0.1624%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-0.3248%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农贸市场影响度（距最近农贸市场距离）（米）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0.2667%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0.1336%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-0.1321%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-0.2642%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道路通达度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国道能通达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0.5048%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省道能通达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0.2528%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县道能通达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乡道能通达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-0.2500%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仅村道能通达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-0.5001%</w:t>
            </w:r>
          </w:p>
        </w:tc>
      </w:tr>
    </w:tbl>
    <w:p>
      <w:pPr>
        <w:adjustRightInd w:val="0"/>
        <w:snapToGrid w:val="0"/>
        <w:spacing w:before="120" w:beforeLines="50" w:after="0" w:afterLines="0"/>
        <w:ind w:firstLine="0" w:firstLineChars="0"/>
        <w:rPr>
          <w:rFonts w:hint="eastAsia"/>
          <w:b/>
          <w:sz w:val="21"/>
          <w:szCs w:val="21"/>
        </w:rPr>
      </w:pPr>
    </w:p>
    <w:p>
      <w:pPr>
        <w:pStyle w:val="31"/>
        <w:numPr>
          <w:ilvl w:val="0"/>
          <w:numId w:val="2"/>
        </w:numPr>
        <w:spacing w:before="60" w:beforeLines="25" w:after="60" w:afterLines="25" w:line="300" w:lineRule="auto"/>
        <w:ind w:left="902" w:firstLineChars="0"/>
        <w:jc w:val="center"/>
        <w:outlineLvl w:val="8"/>
        <w:rPr>
          <w:b/>
          <w:szCs w:val="21"/>
        </w:rPr>
      </w:pPr>
      <w:r>
        <w:rPr>
          <w:b/>
          <w:szCs w:val="21"/>
        </w:rPr>
        <w:tab/>
      </w:r>
      <w:r>
        <w:rPr>
          <w:rFonts w:hint="eastAsia" w:ascii="Times New Roman" w:hAnsi="Times New Roman" w:eastAsia="仿宋_GB2312"/>
          <w:b/>
          <w:szCs w:val="21"/>
          <w:lang w:eastAsia="zh-CN"/>
        </w:rPr>
        <w:t>乐昌市2018年国有园地基准地价二级修正系数表</w:t>
      </w:r>
    </w:p>
    <w:tbl>
      <w:tblPr>
        <w:tblStyle w:val="14"/>
        <w:tblW w:w="1392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58"/>
        <w:gridCol w:w="1362"/>
        <w:gridCol w:w="921"/>
        <w:gridCol w:w="1379"/>
        <w:gridCol w:w="967"/>
        <w:gridCol w:w="1366"/>
        <w:gridCol w:w="957"/>
        <w:gridCol w:w="1576"/>
        <w:gridCol w:w="979"/>
        <w:gridCol w:w="1521"/>
        <w:gridCol w:w="10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8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指标标准</w:t>
            </w:r>
          </w:p>
        </w:tc>
        <w:tc>
          <w:tcPr>
            <w:tcW w:w="2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23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较优</w:t>
            </w:r>
          </w:p>
        </w:tc>
        <w:tc>
          <w:tcPr>
            <w:tcW w:w="2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一般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较劣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地貌类型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处于平原地带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0.5087%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处于平原、丘陵过渡地带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0.2543%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处于丘陵地带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处于丘陵、山地过渡地带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-0.2334%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处于山地地带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-0.4668%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地形坡度（°）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［0，2）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0.4948%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［2，5）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0.2474%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［5，8）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［8，15）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-0.2271%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［15，90）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-0.4541%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土层厚度（厘米）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0.3987%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［80，100）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0.1994%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［60，80）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-0.1830%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-0.3659%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土壤质地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壤土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0.3174%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砂壤土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0.1587%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粘土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砂土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-0.1456%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砾质土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-0.2913%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土壤pH值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［6.0，7.9）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0.2532%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［5.5，6.0）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0.1266%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［5.0，5.5）；［7.9，8.5）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［4.5，5.0）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-0.1162%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（0，4.5）；［8.5，14）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-0.2324%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有机质含量（%）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［3.0，100］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0.3280%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［2.0，3.0）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0.1640%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［1.0，2.0）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［0.6，1.0）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-0.1505%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（0，0.6）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-0.3010%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灌溉保证率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充分满足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0.2827%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基本满足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0.1414%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一般满足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灌溉条件欠缺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-0.1297%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无灌溉条件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-0.2595%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排水条件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有健全的排水沟道（包括抽排）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0.1959%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排水体系（包括抽排）基本健全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0.0979%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排水体系（包括抽排）一般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排水体系不完善，容易淤塞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-0.0899%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无任何排水体系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-0.1798%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园地设施条件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设施齐全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0.2657%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设施较齐全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0.1328%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设施一般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设施较少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-0.1219%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设施缺少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-0.2438%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经营效益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区域可种植特色作物，经营效益好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0.3585%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区域可种植特色作物，经营效益较好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0.1793%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区域可种植当季一般作物，经营效益一般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区域可种植一般农作物，经营效益较差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-0.1645%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区域可种植一般农作物，但经营效益差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-0.3290%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利用类型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菜园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0.2777%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苗圃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0.1388%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果园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茶园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-0.1274%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其他园地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-0.2548%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中心城市影响度（距城区或镇区中心距离）（米）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0.2800%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0.1400%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-0.1285%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-0.2569%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农贸市场影响度（距最近农贸市场距离）（米）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0.2278%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0.1139%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-0.1045%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-0.2090%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道路通达度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国道能通达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0.4310%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省道能通达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0.2155%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县道能通达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乡道能通达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-0.1978%</w:t>
            </w:r>
          </w:p>
        </w:tc>
        <w:tc>
          <w:tcPr>
            <w:tcW w:w="1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仅村道能通达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-0.3956%</w:t>
            </w:r>
          </w:p>
        </w:tc>
      </w:tr>
      <w:bookmarkEnd w:id="7"/>
    </w:tbl>
    <w:p>
      <w:pPr>
        <w:pStyle w:val="4"/>
        <w:rPr>
          <w:rFonts w:eastAsia="仿宋_GB2312"/>
          <w:sz w:val="30"/>
          <w:szCs w:val="30"/>
          <w:highlight w:val="none"/>
        </w:rPr>
      </w:pPr>
      <w:bookmarkStart w:id="8" w:name="_Toc504582905"/>
      <w:bookmarkStart w:id="9" w:name="_Toc502133205"/>
    </w:p>
    <w:p/>
    <w:p>
      <w:pPr>
        <w:pStyle w:val="4"/>
        <w:rPr>
          <w:rFonts w:hint="eastAsia" w:eastAsia="仿宋_GB2312"/>
          <w:sz w:val="30"/>
          <w:szCs w:val="30"/>
          <w:highlight w:val="none"/>
        </w:rPr>
      </w:pPr>
      <w:r>
        <w:rPr>
          <w:rFonts w:eastAsia="仿宋_GB2312"/>
          <w:sz w:val="30"/>
          <w:szCs w:val="30"/>
          <w:highlight w:val="none"/>
        </w:rPr>
        <w:t>3、林地各因素指标修正</w:t>
      </w:r>
      <w:bookmarkEnd w:id="8"/>
      <w:bookmarkEnd w:id="9"/>
    </w:p>
    <w:p>
      <w:pPr>
        <w:pStyle w:val="31"/>
        <w:numPr>
          <w:ilvl w:val="0"/>
          <w:numId w:val="2"/>
        </w:numPr>
        <w:spacing w:before="60" w:beforeLines="25" w:after="60" w:afterLines="25" w:line="300" w:lineRule="auto"/>
        <w:ind w:left="902" w:firstLineChars="0"/>
        <w:jc w:val="center"/>
        <w:outlineLvl w:val="8"/>
        <w:rPr>
          <w:rFonts w:hint="eastAsia" w:ascii="Times New Roman" w:hAnsi="Times New Roman" w:eastAsia="仿宋_GB2312"/>
          <w:b/>
          <w:szCs w:val="21"/>
        </w:rPr>
      </w:pPr>
      <w:r>
        <w:rPr>
          <w:rFonts w:hint="eastAsia" w:ascii="Times New Roman" w:hAnsi="Times New Roman" w:eastAsia="仿宋_GB2312"/>
          <w:b/>
          <w:szCs w:val="21"/>
          <w:lang w:eastAsia="zh-CN"/>
        </w:rPr>
        <w:t>乐昌市2018年国有林地基准地价一级修正系数表</w:t>
      </w:r>
    </w:p>
    <w:tbl>
      <w:tblPr>
        <w:tblStyle w:val="14"/>
        <w:tblW w:w="1392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24"/>
        <w:gridCol w:w="1362"/>
        <w:gridCol w:w="899"/>
        <w:gridCol w:w="1485"/>
        <w:gridCol w:w="913"/>
        <w:gridCol w:w="1470"/>
        <w:gridCol w:w="901"/>
        <w:gridCol w:w="1549"/>
        <w:gridCol w:w="984"/>
        <w:gridCol w:w="1549"/>
        <w:gridCol w:w="9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8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指标标准</w:t>
            </w:r>
          </w:p>
        </w:tc>
        <w:tc>
          <w:tcPr>
            <w:tcW w:w="2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2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较优</w:t>
            </w:r>
          </w:p>
        </w:tc>
        <w:tc>
          <w:tcPr>
            <w:tcW w:w="23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一般</w:t>
            </w:r>
          </w:p>
        </w:tc>
        <w:tc>
          <w:tcPr>
            <w:tcW w:w="2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较劣</w:t>
            </w:r>
          </w:p>
        </w:tc>
        <w:tc>
          <w:tcPr>
            <w:tcW w:w="2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地形部位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处于平原地带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4.0478%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处于平原、丘陵过渡地带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2.0239%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处于丘陵地带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处于丘陵、山地过渡地带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-0.5611%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处于山地地带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-1.1223%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土层厚度（厘米）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1.5935%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［80，100）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0.7967%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［60，80）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-0.2209%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-0.4418%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土壤质地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壤土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1.3318%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砂壤土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0.6659%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粘土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砂土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-0.1846%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砾质土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-0.3693%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土壤pH值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［6.0，7.9）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1.2306%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［5.5，6.0）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0.6153%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［5.0，5．5）；［7.9，8.5）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［4.5，5.0）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-0.1706%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（0，4.5）；［8.5，14）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-0.3412%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腐殖质（%）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［3.0，100］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1.1394%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［2.0，3.0）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0.5697%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［1.0，2.0）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［0.6，1.0）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-0.1580%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（0，0.6）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-0.3159%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林地类型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苗圃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2.1151%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有林地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1.0575%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灌木林地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其他林地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-0.2932%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迹地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-0.5864%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经营效益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区域可种植特色作物，经营效益好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2.4544%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区域可种植特色作物，经营效益较好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1.2272%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区域可种植当季一般作物，经营效益一般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区域可种植一般农作物，经营效益较差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-0.3402%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区域可种植一般农作物，但经营效益差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-0.6805%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中心城市影响度（距城区或镇区中心距离）（米）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（0，1000）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0.8339%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［1000，2000）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0.4169%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［2000，3000）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［3000，4000）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-0.1156%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［5000，+∞）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-0.2312%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农贸市场影响度（距最近农贸市场距离）（米）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0.6718%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0.3359%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-0.0931%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-0.1863%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道路通达度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国道能通达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1.4652%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省道能通达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0.7326%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县道能通达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乡道能通达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-0.2031%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仅村道能通达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-0.4062%</w:t>
            </w:r>
          </w:p>
        </w:tc>
      </w:tr>
    </w:tbl>
    <w:p>
      <w:pPr>
        <w:pStyle w:val="31"/>
        <w:numPr>
          <w:ilvl w:val="0"/>
          <w:numId w:val="0"/>
        </w:numPr>
        <w:spacing w:before="60" w:beforeLines="25" w:after="60" w:afterLines="25" w:line="300" w:lineRule="auto"/>
        <w:ind w:left="482" w:leftChars="0"/>
        <w:jc w:val="both"/>
        <w:outlineLvl w:val="8"/>
        <w:rPr>
          <w:rFonts w:hint="eastAsia" w:ascii="Times New Roman" w:hAnsi="Times New Roman" w:eastAsia="仿宋_GB2312"/>
          <w:b/>
          <w:szCs w:val="21"/>
        </w:rPr>
      </w:pPr>
    </w:p>
    <w:p>
      <w:pPr>
        <w:pStyle w:val="31"/>
        <w:numPr>
          <w:ilvl w:val="0"/>
          <w:numId w:val="2"/>
        </w:numPr>
        <w:spacing w:before="60" w:beforeLines="25" w:after="60" w:afterLines="25" w:line="300" w:lineRule="auto"/>
        <w:ind w:left="902" w:firstLineChars="0"/>
        <w:jc w:val="center"/>
        <w:outlineLvl w:val="8"/>
        <w:rPr>
          <w:rFonts w:hint="eastAsia"/>
          <w:b/>
          <w:szCs w:val="21"/>
        </w:rPr>
      </w:pPr>
      <w:r>
        <w:rPr>
          <w:rFonts w:hint="eastAsia" w:ascii="Times New Roman" w:hAnsi="Times New Roman" w:eastAsia="仿宋_GB2312"/>
          <w:b/>
          <w:szCs w:val="21"/>
          <w:lang w:eastAsia="zh-CN"/>
        </w:rPr>
        <w:t>乐昌市2018年国有林地基准地价二级修正系数表</w:t>
      </w:r>
    </w:p>
    <w:tbl>
      <w:tblPr>
        <w:tblStyle w:val="14"/>
        <w:tblW w:w="1392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24"/>
        <w:gridCol w:w="1346"/>
        <w:gridCol w:w="915"/>
        <w:gridCol w:w="1501"/>
        <w:gridCol w:w="897"/>
        <w:gridCol w:w="1403"/>
        <w:gridCol w:w="968"/>
        <w:gridCol w:w="1516"/>
        <w:gridCol w:w="1017"/>
        <w:gridCol w:w="1566"/>
        <w:gridCol w:w="9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8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指标标准</w:t>
            </w:r>
          </w:p>
        </w:tc>
        <w:tc>
          <w:tcPr>
            <w:tcW w:w="2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2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较优</w:t>
            </w:r>
          </w:p>
        </w:tc>
        <w:tc>
          <w:tcPr>
            <w:tcW w:w="23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一般</w:t>
            </w:r>
          </w:p>
        </w:tc>
        <w:tc>
          <w:tcPr>
            <w:tcW w:w="2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较劣</w:t>
            </w:r>
          </w:p>
        </w:tc>
        <w:tc>
          <w:tcPr>
            <w:tcW w:w="2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8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地形部位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处于平原地带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1.1654%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处于平原、丘陵过渡地带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0.5827%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处于丘陵地带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处于丘陵、山地过渡地带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-1.1391%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处于山地地带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-2.2757%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土层厚度（厘米）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0.4588%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［80，100）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0.2294%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［60，80）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-0.4484%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-0.8959%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土壤质地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0.3835%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砂壤土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0.1917%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粘土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砂土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-0.3748%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砾质土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-0.7488%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土壤pH值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［6.0，7.9）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0.3543%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［5.5，6.0）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0.1771%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［5.0，5．5）；［7.9，8.5）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［4.5，5.0）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-0.3463%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（0，4.5）；［8.5，14）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-0.6918%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腐殖质（%）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［3.0，100］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0.3281%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［2.0，3.0）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0.1640%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［1.0，2.0）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［0.6，1.0）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-0.3206%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（0，0.6）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-0.6406%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林地类型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苗圃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0.6090%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有林地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0.3045%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灌木林地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其他林地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-0.5952%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迹地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-1.1891%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经营效益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区域可种植特色作物，经营效益好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0.7066%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区域可种植特色作物，经营效益较好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0.3533%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区域可种植当季一般作物，经营效益一般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区域可种植一般农作物，经营效益较差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-0.6907%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区域可种植一般农作物，但经营效益差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-1.3798%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中心城市影响度（距城区或镇区中心距离）（米）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（0，1000）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0.2401%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［1000，2000）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0.1200%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［2000，3000）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［3000，4000）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-0.2347%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［5000，+∞）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-0.4688%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农贸市场影响度（距最近农贸市场距离）（米）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0.1934%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0.0967%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-0.1891%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-0.3777%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道路通达度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国道能通达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0.4218%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省道能通达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0.2109%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县道能通达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乡道能通达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-0.4123%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仅村道能通达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-0.8237%</w:t>
            </w:r>
          </w:p>
        </w:tc>
      </w:tr>
    </w:tbl>
    <w:p>
      <w:pPr>
        <w:spacing w:before="72" w:after="72"/>
        <w:ind w:firstLine="0" w:firstLineChars="0"/>
        <w:rPr>
          <w:rFonts w:hint="eastAsia"/>
        </w:rPr>
      </w:pPr>
    </w:p>
    <w:p>
      <w:pPr>
        <w:pStyle w:val="31"/>
        <w:numPr>
          <w:ilvl w:val="0"/>
          <w:numId w:val="2"/>
        </w:numPr>
        <w:spacing w:before="60" w:beforeLines="25" w:after="60" w:afterLines="25" w:line="300" w:lineRule="auto"/>
        <w:ind w:left="902" w:firstLineChars="0"/>
        <w:jc w:val="center"/>
        <w:outlineLvl w:val="8"/>
        <w:rPr>
          <w:rFonts w:hint="eastAsia"/>
          <w:b/>
          <w:szCs w:val="21"/>
        </w:rPr>
      </w:pPr>
      <w:bookmarkStart w:id="10" w:name="_Toc502133206"/>
      <w:r>
        <w:rPr>
          <w:rFonts w:hint="eastAsia" w:ascii="Times New Roman" w:hAnsi="Times New Roman" w:eastAsia="仿宋_GB2312"/>
          <w:b/>
          <w:szCs w:val="21"/>
          <w:lang w:eastAsia="zh-CN"/>
        </w:rPr>
        <w:t>乐昌市2018年国有林地基准地价三级修正系数表</w:t>
      </w:r>
    </w:p>
    <w:tbl>
      <w:tblPr>
        <w:tblStyle w:val="14"/>
        <w:tblW w:w="14067" w:type="dxa"/>
        <w:jc w:val="center"/>
        <w:tblInd w:w="-1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60"/>
        <w:gridCol w:w="1240"/>
        <w:gridCol w:w="932"/>
        <w:gridCol w:w="1468"/>
        <w:gridCol w:w="930"/>
        <w:gridCol w:w="1420"/>
        <w:gridCol w:w="951"/>
        <w:gridCol w:w="1549"/>
        <w:gridCol w:w="984"/>
        <w:gridCol w:w="1499"/>
        <w:gridCol w:w="10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0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指标标准</w:t>
            </w:r>
          </w:p>
        </w:tc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2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较优</w:t>
            </w:r>
          </w:p>
        </w:tc>
        <w:tc>
          <w:tcPr>
            <w:tcW w:w="23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一般</w:t>
            </w:r>
          </w:p>
        </w:tc>
        <w:tc>
          <w:tcPr>
            <w:tcW w:w="2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较劣</w:t>
            </w:r>
          </w:p>
        </w:tc>
        <w:tc>
          <w:tcPr>
            <w:tcW w:w="2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地形部位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处于平原地带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1.9136%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处于平原、丘陵过渡地带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0.9568%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处于丘陵地带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处于丘陵、山地过渡地带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-1.3884%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处于山地地带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-2.7769%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土层厚度（厘米）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0.7533%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［80，100）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0.3767%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［60，80）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-0.5466%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-1.0932%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土壤质地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壤土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0.6296%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砂壤土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0.3148%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粘土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砂土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-0.4568%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砾质土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-0.9137%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土壤pH值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［6.0，7.9）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0.5817%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［5.5，6.0）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0.2909%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［5.0，5．5）；［7.9，8.5）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［4.5，5.0）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-0.4221%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（0，4.5）；［8.5，14）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-0.8442%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腐殖质（%）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［3.0，100］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0.5387%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［2.0，3.0）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0.2693%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［1.0，2.0）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［0.6，1.0）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-0.3908%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（0，0.6）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-0.7817%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林地类型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苗圃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0.9999%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有林地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0.4999%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灌木林地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其他林地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-0.7255%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迹地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-1.4510%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经营效益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区域可种植特色作物，经营效益好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1.1603%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区域可种植特色作物，经营效益较好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0.5801%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区域可种植当季一般作物，经营效益一般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区域可种植一般农作物，经营效益较差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-0.8419%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区域可种植一般农作物，但经营效益差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-1.6837%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62" w:hRule="atLeast"/>
          <w:jc w:val="center"/>
        </w:trPr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中心城市影响度（距城区或镇区中心距离）（米）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（0，1000）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0.3942%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［1000，2000）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0.1971%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［2000，3000）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［3000，4000）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-0.2860%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［5000，+∞）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-0.5721%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农贸市场影响度（距最近农贸市场距离）（米）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0.3176%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0.1588%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-0.2304%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-0.4609%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beforeLines="25" w:after="60" w:afterLines="25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道路通达度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国道能通达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0.6927%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省道能通达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0.3463%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县道能通达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乡道能通达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-0.5026%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仅村道能通达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-1.0051%</w:t>
            </w:r>
          </w:p>
        </w:tc>
      </w:tr>
    </w:tbl>
    <w:p>
      <w:pPr>
        <w:pStyle w:val="4"/>
        <w:rPr>
          <w:rFonts w:eastAsia="仿宋_GB2312"/>
          <w:sz w:val="30"/>
          <w:szCs w:val="30"/>
          <w:highlight w:val="none"/>
        </w:rPr>
      </w:pPr>
      <w:bookmarkStart w:id="11" w:name="_Toc504582906"/>
      <w:r>
        <w:rPr>
          <w:rFonts w:eastAsia="仿宋_GB2312"/>
          <w:sz w:val="30"/>
          <w:szCs w:val="30"/>
          <w:highlight w:val="none"/>
        </w:rPr>
        <w:t>4、坑塘水面各因素指标修正</w:t>
      </w:r>
      <w:bookmarkEnd w:id="10"/>
      <w:bookmarkEnd w:id="11"/>
    </w:p>
    <w:p>
      <w:pPr>
        <w:pStyle w:val="31"/>
        <w:numPr>
          <w:ilvl w:val="0"/>
          <w:numId w:val="2"/>
        </w:numPr>
        <w:spacing w:before="60" w:beforeLines="25" w:after="60" w:afterLines="25" w:line="300" w:lineRule="auto"/>
        <w:ind w:left="902" w:firstLineChars="0"/>
        <w:jc w:val="center"/>
        <w:outlineLvl w:val="8"/>
        <w:rPr>
          <w:rFonts w:hint="eastAsia" w:ascii="Times New Roman" w:hAnsi="Times New Roman" w:eastAsia="仿宋_GB2312"/>
          <w:b/>
          <w:szCs w:val="21"/>
        </w:rPr>
      </w:pPr>
      <w:r>
        <w:rPr>
          <w:rFonts w:hint="eastAsia" w:ascii="Times New Roman" w:hAnsi="Times New Roman" w:eastAsia="仿宋_GB2312"/>
          <w:b/>
          <w:szCs w:val="21"/>
          <w:lang w:eastAsia="zh-CN"/>
        </w:rPr>
        <w:t>乐昌市2018年国有坑塘水面基准地价一级修正系数表</w:t>
      </w:r>
    </w:p>
    <w:tbl>
      <w:tblPr>
        <w:tblStyle w:val="14"/>
        <w:tblW w:w="14017" w:type="dxa"/>
        <w:jc w:val="center"/>
        <w:tblInd w:w="-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17"/>
        <w:gridCol w:w="1366"/>
        <w:gridCol w:w="917"/>
        <w:gridCol w:w="1817"/>
        <w:gridCol w:w="1011"/>
        <w:gridCol w:w="1189"/>
        <w:gridCol w:w="943"/>
        <w:gridCol w:w="1407"/>
        <w:gridCol w:w="983"/>
        <w:gridCol w:w="1050"/>
        <w:gridCol w:w="10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  <w:tblHeader/>
          <w:jc w:val="center"/>
        </w:trPr>
        <w:tc>
          <w:tcPr>
            <w:tcW w:w="23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指标标准</w:t>
            </w:r>
          </w:p>
        </w:tc>
        <w:tc>
          <w:tcPr>
            <w:tcW w:w="2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2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较优</w:t>
            </w:r>
          </w:p>
        </w:tc>
        <w:tc>
          <w:tcPr>
            <w:tcW w:w="21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一般</w:t>
            </w:r>
          </w:p>
        </w:tc>
        <w:tc>
          <w:tcPr>
            <w:tcW w:w="23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较劣</w:t>
            </w:r>
          </w:p>
        </w:tc>
        <w:tc>
          <w:tcPr>
            <w:tcW w:w="2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tblHeader/>
          <w:jc w:val="center"/>
        </w:trPr>
        <w:tc>
          <w:tcPr>
            <w:tcW w:w="23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地形部位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处于平原地带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0.6867%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处于平原、丘陵过渡地带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0.3444%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处于丘陵地带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处于丘陵、山地过渡地带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-0.2514%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处于山地地带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-0.5008%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水质条件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水质达到Ⅰ类标准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0.9311%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水质达到Ⅱ类标准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0.4670%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水质达到Ⅲ类标准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水质达到Ⅳ类标准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-0.3409%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水质达到Ⅴ类标准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-0.6790%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进水保证率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充分满足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0.2051%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基本满足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0.1029%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缺乏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-0.0751%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排水条件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有健全的排水沟道（包括抽排）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0.1482%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排水体系（包括抽排）基本健全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0.0743%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排水体系（包括抽排）一般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排水体系不完善，容易淤塞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-0.0543%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无任何排水体系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-0.1081%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水面类型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经常进行养殖工作和生产活动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0.1918%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有一定养殖工作和生产活动，利用现状较好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0.0962%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养殖工作和生产活动一般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养殖工作和生产活动较少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-0.0702%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丢弃或荒废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-0.1398%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水面大小（平方米）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（6，10］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0.1947%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（5，6］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0.0976%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（3，5］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（10，15］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-0.0713%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（0，3］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-0.1420%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经营效益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经营效益高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0.1875%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经营效益较高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0.0941%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经营效益一般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经营效益较差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-0.0687%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经营效益差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-0.1367%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中心城市影响度（距城区或镇区中心距离）（米）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0.2278%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0.1143%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-0.0834%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-0.1661%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农贸市场影响度（距最近农贸市场距离）（米）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0.1814%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0.0910%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-0.0664%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-0.1322%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道路通达度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国道能通达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0.2958%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省道能通达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0.1483%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县道能通达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乡道能通达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-0.1083%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仅村道能通达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-0.2157%</w:t>
            </w:r>
          </w:p>
        </w:tc>
      </w:tr>
    </w:tbl>
    <w:p>
      <w:pPr>
        <w:widowControl/>
        <w:spacing w:before="0" w:beforeLines="0" w:after="0" w:afterLines="0"/>
        <w:ind w:firstLine="0" w:firstLineChars="0"/>
        <w:jc w:val="left"/>
        <w:rPr>
          <w:rFonts w:hint="eastAsia"/>
          <w:b/>
          <w:bCs/>
          <w:sz w:val="30"/>
          <w:szCs w:val="32"/>
        </w:rPr>
      </w:pPr>
    </w:p>
    <w:p>
      <w:pPr>
        <w:pStyle w:val="31"/>
        <w:numPr>
          <w:ilvl w:val="0"/>
          <w:numId w:val="2"/>
        </w:numPr>
        <w:spacing w:before="60" w:beforeLines="25" w:after="60" w:afterLines="25" w:line="300" w:lineRule="auto"/>
        <w:ind w:left="902" w:firstLineChars="0"/>
        <w:jc w:val="center"/>
        <w:outlineLvl w:val="8"/>
        <w:rPr>
          <w:rFonts w:hint="eastAsia"/>
          <w:b/>
          <w:szCs w:val="21"/>
        </w:rPr>
      </w:pPr>
      <w:r>
        <w:rPr>
          <w:rFonts w:hint="eastAsia" w:ascii="Times New Roman" w:hAnsi="Times New Roman" w:eastAsia="仿宋_GB2312"/>
          <w:b/>
          <w:szCs w:val="21"/>
          <w:lang w:eastAsia="zh-CN"/>
        </w:rPr>
        <w:t>乐昌市2018年国有坑塘水面基准地价二级修正系数表</w:t>
      </w:r>
    </w:p>
    <w:tbl>
      <w:tblPr>
        <w:tblStyle w:val="14"/>
        <w:tblW w:w="1392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09"/>
        <w:gridCol w:w="1361"/>
        <w:gridCol w:w="933"/>
        <w:gridCol w:w="1850"/>
        <w:gridCol w:w="978"/>
        <w:gridCol w:w="1189"/>
        <w:gridCol w:w="943"/>
        <w:gridCol w:w="1357"/>
        <w:gridCol w:w="1033"/>
        <w:gridCol w:w="1100"/>
        <w:gridCol w:w="9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2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指标标准</w:t>
            </w:r>
          </w:p>
        </w:tc>
        <w:tc>
          <w:tcPr>
            <w:tcW w:w="2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2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较优</w:t>
            </w:r>
          </w:p>
        </w:tc>
        <w:tc>
          <w:tcPr>
            <w:tcW w:w="21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一般</w:t>
            </w:r>
          </w:p>
        </w:tc>
        <w:tc>
          <w:tcPr>
            <w:tcW w:w="23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较劣</w:t>
            </w:r>
          </w:p>
        </w:tc>
        <w:tc>
          <w:tcPr>
            <w:tcW w:w="2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2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地形部位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处于平原地带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0.7142%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处于平原、丘陵过渡地带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0.3571%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处于丘陵地带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处于丘陵、山地过渡地带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-0.8642%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处于山地地带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-1.7284%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水质条件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水质达到Ⅰ类标准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0.9684%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水质达到Ⅱ类标准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0.4842%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水质达到Ⅲ类标准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水质达到Ⅳ类标准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-1.1718%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水质达到Ⅴ类标准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-2.3436%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进水保证率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充分满足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0.2133%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基本满足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0.1066%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缺乏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-0.2581%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-0.5162%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排水条件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有健全的排水沟道（包括抽排）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0.1541%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排水体系（包括抽排）基本健全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0.0771%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排水体系（包括抽排）一般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排水体系不完善，容易淤塞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-0.1865%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无任何排水体系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-0.3730%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水面类型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经常进行养殖工作和生产活动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0.1994%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有一定养殖工作和生产活动，利用现状较好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0.0997%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养殖工作和生产活动一般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养殖工作和生产活动较少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-0.2413%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丢弃或荒废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-0.4826%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水面大小（平方米）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（6，10］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0.2025%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（5，6］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0.1012%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（3，5］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（10，15］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-0.2450%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（0，3］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-0.4900%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经营效益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经营效益高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0.1950%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经营效益较高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0.0975%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经营效益一般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经营效益较差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-0.2360%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经营效益差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-0.4720%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中心城市影响度（距城区或镇区中心距离）（米）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0.2369%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0.1185%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-0.2867%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-0.5734%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农贸市场影响度（距最近农贸市场距离）（米）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0.1886%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0.0943%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-0.2282%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-0.4564%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道路通达度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国道能通达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0.3076%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省道能通达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0.1538%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县道能通达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乡道能通达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-0.3722%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仅村道能通达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-0.7444%</w:t>
            </w:r>
          </w:p>
        </w:tc>
      </w:tr>
    </w:tbl>
    <w:p>
      <w:pPr>
        <w:pStyle w:val="4"/>
        <w:rPr>
          <w:rFonts w:eastAsia="仿宋_GB2312"/>
          <w:sz w:val="30"/>
          <w:szCs w:val="30"/>
          <w:highlight w:val="none"/>
        </w:rPr>
      </w:pPr>
      <w:bookmarkStart w:id="12" w:name="_Toc504582908"/>
      <w:r>
        <w:rPr>
          <w:rFonts w:eastAsia="仿宋_GB2312"/>
          <w:sz w:val="30"/>
          <w:szCs w:val="30"/>
          <w:highlight w:val="none"/>
        </w:rPr>
        <w:t>5、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宜农未利用地</w:t>
      </w:r>
      <w:r>
        <w:rPr>
          <w:rFonts w:eastAsia="仿宋_GB2312"/>
          <w:sz w:val="30"/>
          <w:szCs w:val="30"/>
          <w:highlight w:val="none"/>
        </w:rPr>
        <w:t>各因素指标修正</w:t>
      </w:r>
      <w:bookmarkEnd w:id="12"/>
    </w:p>
    <w:p>
      <w:pPr>
        <w:pStyle w:val="31"/>
        <w:numPr>
          <w:ilvl w:val="0"/>
          <w:numId w:val="2"/>
        </w:numPr>
        <w:spacing w:before="60" w:beforeLines="25" w:after="60" w:afterLines="25" w:line="300" w:lineRule="auto"/>
        <w:ind w:left="902" w:firstLineChars="0"/>
        <w:jc w:val="center"/>
        <w:outlineLvl w:val="8"/>
        <w:rPr>
          <w:rFonts w:hint="eastAsia" w:ascii="Times New Roman" w:hAnsi="Times New Roman" w:eastAsia="仿宋_GB2312"/>
          <w:b/>
          <w:szCs w:val="21"/>
        </w:rPr>
      </w:pPr>
      <w:bookmarkStart w:id="13" w:name="_Toc501307861"/>
      <w:bookmarkStart w:id="14" w:name="_Toc501308206"/>
      <w:r>
        <w:rPr>
          <w:rFonts w:hint="eastAsia" w:ascii="Times New Roman" w:hAnsi="Times New Roman" w:eastAsia="仿宋_GB2312"/>
          <w:b/>
          <w:szCs w:val="21"/>
          <w:lang w:eastAsia="zh-CN"/>
        </w:rPr>
        <w:t>乐昌市2018年国有宜农未利用地基准地价一级修正系数表</w:t>
      </w:r>
    </w:p>
    <w:tbl>
      <w:tblPr>
        <w:tblStyle w:val="14"/>
        <w:tblW w:w="1392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47"/>
        <w:gridCol w:w="1489"/>
        <w:gridCol w:w="898"/>
        <w:gridCol w:w="1569"/>
        <w:gridCol w:w="884"/>
        <w:gridCol w:w="1316"/>
        <w:gridCol w:w="927"/>
        <w:gridCol w:w="1373"/>
        <w:gridCol w:w="991"/>
        <w:gridCol w:w="1342"/>
        <w:gridCol w:w="9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1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指标标准</w:t>
            </w: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优</w:t>
            </w:r>
          </w:p>
        </w:tc>
        <w:tc>
          <w:tcPr>
            <w:tcW w:w="24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较优</w:t>
            </w:r>
          </w:p>
        </w:tc>
        <w:tc>
          <w:tcPr>
            <w:tcW w:w="2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一般</w:t>
            </w:r>
          </w:p>
        </w:tc>
        <w:tc>
          <w:tcPr>
            <w:tcW w:w="2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较劣</w:t>
            </w:r>
          </w:p>
        </w:tc>
        <w:tc>
          <w:tcPr>
            <w:tcW w:w="23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1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因素指标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修正系数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因素指标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修正系数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因素指标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修正系数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因素指标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修正系数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因素指标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地形部位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处于平原地带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1.0534%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处于平原、丘陵过渡地带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0.5272%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处于丘陵地带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处于丘陵、山地过渡地带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-0.5827%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处于山地地带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-1.1644%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地形坡度（°）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［0，5）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0.9450%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［5，8）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0.4729%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［8，15）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［15，25）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-0.5227%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［25，90）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-1.0446%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有效土层厚度（厘米）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0.4762%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［80，100）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0.2383%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［60，80）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-0.2634%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-0.5264%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障碍层深度（厘米）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0.3274%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［90，100）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0.1639%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［60，90）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-0.1811%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-0.3619%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表层土壤质地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壤土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0.3837%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砂壤土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0.1921%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粘土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砂土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-0.2123%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砾质土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-0.4242%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剖面构型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通体壤、壤/砂/壤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0.2774%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壤/粘/壤、砂/粘/粘、壤/粘/粘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0.1389%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粘/砂/粘、通体粘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砂/粘/砂、壤/砂/砂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-0.1535%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粘/砂/砂、通体砾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-0.3067%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土壤</w:t>
            </w:r>
            <w:r>
              <w:rPr>
                <w:rFonts w:hint="default" w:ascii="Times New Roman" w:hAnsi="Times New Roman" w:eastAsia="仿宋_GB2312"/>
                <w:b/>
                <w:bCs w:val="0"/>
                <w:szCs w:val="21"/>
                <w:lang w:val="en-US" w:eastAsia="zh-CN"/>
              </w:rPr>
              <w:t>pH</w:t>
            </w: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值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［6.0，7.9）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0.2530%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［5.5，6.0）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0.1266%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［5.0，5.5）；［7.9，8.5）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［4.5，5.0）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-0.1399%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（0，4.5）；［8.5，14）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-0.2797%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有机质含量（</w:t>
            </w:r>
            <w:r>
              <w:rPr>
                <w:rFonts w:hint="default" w:ascii="Times New Roman" w:hAnsi="Times New Roman" w:eastAsia="仿宋_GB2312"/>
                <w:b/>
                <w:bCs w:val="0"/>
                <w:szCs w:val="21"/>
                <w:lang w:val="en-US" w:eastAsia="zh-CN"/>
              </w:rPr>
              <w:t>%</w:t>
            </w: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）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［4.0，100］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0.3306%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［2.0，4.0）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0.1655%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［1.0，2.0）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［0.6，1.0）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-0.1829%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（0，0.6）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-0.3654%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地下水埋深（厘米）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［60，+∞）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1.1002%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［50，60）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0.5506%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［40，50）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［30，40）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-0.6086%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-1.2161%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灌溉保证率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充分满足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1.5828%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基本满足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0.7921%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一般满足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灌溉条件欠缺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-0.8755%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无灌溉条件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-1.7496%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排水条件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有健全的排水沟道（包括抽排）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1.1257%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排水体系（包括抽排）基本健全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0.5634%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排水体系（包括抽排）一般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排水体系不完善，容易淤塞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-0.6227%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无任何排水体系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-1.2443%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中心城市影响度（距城区或镇区中心距离）（米）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（0，1000）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0.9110%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［1000，2000）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0.4559%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［2000，3000）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［3000，4000）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-0.5039%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［5000，+∞）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-1.0070%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农贸市场影响度（距最近农贸市场距离）（米）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0.7016%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0.3511%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-0.3881%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-0.7755%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Times New Roman" w:hAnsi="Times New Roman" w:eastAsia="仿宋_GB2312"/>
                <w:b/>
                <w:bCs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Cs w:val="21"/>
                <w:lang w:val="en-US" w:eastAsia="zh-CN"/>
              </w:rPr>
              <w:t>道路通达度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国道能通达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1.1640%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省道能通达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0.5825%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县道能通达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乡道能通达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-0.6439%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仅村道能通达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-1.2866%</w:t>
            </w:r>
          </w:p>
        </w:tc>
      </w:tr>
      <w:bookmarkEnd w:id="13"/>
      <w:bookmarkEnd w:id="14"/>
    </w:tbl>
    <w:p>
      <w:pPr>
        <w:pStyle w:val="31"/>
        <w:numPr>
          <w:ilvl w:val="0"/>
          <w:numId w:val="0"/>
        </w:numPr>
        <w:spacing w:before="60" w:beforeLines="25" w:after="60" w:afterLines="25" w:line="300" w:lineRule="auto"/>
        <w:jc w:val="both"/>
        <w:outlineLvl w:val="8"/>
        <w:rPr>
          <w:rFonts w:hint="eastAsia" w:ascii="Times New Roman" w:hAnsi="Times New Roman" w:eastAsia="仿宋_GB2312"/>
          <w:b/>
          <w:szCs w:val="21"/>
        </w:rPr>
      </w:pPr>
    </w:p>
    <w:p>
      <w:pPr>
        <w:pStyle w:val="31"/>
        <w:numPr>
          <w:ilvl w:val="0"/>
          <w:numId w:val="2"/>
        </w:numPr>
        <w:spacing w:before="60" w:beforeLines="25" w:after="60" w:afterLines="25" w:line="300" w:lineRule="auto"/>
        <w:ind w:left="902" w:firstLineChars="0"/>
        <w:jc w:val="center"/>
        <w:outlineLvl w:val="8"/>
        <w:rPr>
          <w:rFonts w:hint="eastAsia" w:ascii="Times New Roman" w:hAnsi="Times New Roman" w:eastAsia="仿宋_GB2312"/>
          <w:b/>
          <w:szCs w:val="21"/>
        </w:rPr>
      </w:pPr>
      <w:r>
        <w:rPr>
          <w:rFonts w:hint="eastAsia" w:ascii="Times New Roman" w:hAnsi="Times New Roman" w:eastAsia="仿宋_GB2312"/>
          <w:b/>
          <w:szCs w:val="21"/>
          <w:lang w:eastAsia="zh-CN"/>
        </w:rPr>
        <w:t>乐昌市2018年国有宜农未利用地基准地价二级修正系数表</w:t>
      </w:r>
    </w:p>
    <w:tbl>
      <w:tblPr>
        <w:tblStyle w:val="14"/>
        <w:tblW w:w="1392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47"/>
        <w:gridCol w:w="1473"/>
        <w:gridCol w:w="914"/>
        <w:gridCol w:w="1552"/>
        <w:gridCol w:w="901"/>
        <w:gridCol w:w="1316"/>
        <w:gridCol w:w="927"/>
        <w:gridCol w:w="1340"/>
        <w:gridCol w:w="1024"/>
        <w:gridCol w:w="1342"/>
        <w:gridCol w:w="9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1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指标标准</w:t>
            </w:r>
          </w:p>
        </w:tc>
        <w:tc>
          <w:tcPr>
            <w:tcW w:w="2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优</w:t>
            </w:r>
          </w:p>
        </w:tc>
        <w:tc>
          <w:tcPr>
            <w:tcW w:w="24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较优</w:t>
            </w:r>
          </w:p>
        </w:tc>
        <w:tc>
          <w:tcPr>
            <w:tcW w:w="2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一般</w:t>
            </w:r>
          </w:p>
        </w:tc>
        <w:tc>
          <w:tcPr>
            <w:tcW w:w="2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较劣</w:t>
            </w:r>
          </w:p>
        </w:tc>
        <w:tc>
          <w:tcPr>
            <w:tcW w:w="23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21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修正系数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因素指标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修正系数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地形部位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处于平原地带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1.4251%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处于平原、丘陵过渡地带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0.7125%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处于丘陵地带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处于丘陵、山地过渡地带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-0.7125%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处于山地地带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-1.4251%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地形坡度（°）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［0，5）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1.2784%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［5，8）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0.6392%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［8，15）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［15，25）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-0.6392%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［25，90）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-1.2784%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有效土层厚度（厘米）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0.6442%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［80，100）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0.3221%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［60，80）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-0.3221%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-0.6442%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障碍层深度（厘米）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［100，+∞）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0.4429%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［90，100）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0.2215%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［60，90）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［30，60）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-0.2215%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-0.4429%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表层土壤质地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壤土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0.5191%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砂壤土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0.2596%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粘土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砂土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-0.2596%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砾质土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-0.5191%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剖面构型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通体壤、壤/砂/壤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0.3753%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壤/粘/壤、砂/粘/粘、壤/粘/粘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0.1877%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粘/砂/粘、通体粘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砂/粘/砂、壤/砂/砂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-0.1877%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粘/砂/砂、通体砾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-0.3753%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土壤pH值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［6.0，7.9）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0.3422%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［5.5，6.0）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0.1711%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［5.0，5.5）；［7.9，8.5）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［4.5，5.0）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-0.1711%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（0，4.5）；［8.5，14）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-0.3422%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有机质含量（%）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［4.0，100］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0.4472%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［2.0，4.0）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0.2236%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［1.0，2.0）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［0.6，1.0）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-0.2236%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（0，0.6）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-0.4472%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地下水埋深（厘米）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［60，+∞）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1.4883%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［50，60）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0.7442%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［40，50）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［30，40）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-0.7442%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（0，30）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-1.4883%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灌溉保证率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充分满足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2.1412%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基本满足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1.0706%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一般满足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灌溉条件欠缺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-1.0706%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无灌溉条件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-2.1412%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排水条件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有健全的排水沟道（包括抽排）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1.5228%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排水体系（包括抽排）基本健全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0.7614%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排水体系（包括抽排）一般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排水体系不完善，容易淤塞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-0.7614%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无任何排水体系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-1.5228%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中心城市影响度（距城区或镇区中心距离）（米）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（0，1000）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1.2324%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［1000，2000）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0.6162%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［2000，3000）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［3000，4000）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-0.6162%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［5000，+∞）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-1.2324%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农贸市场影响度（距最近农贸市场距离）（米）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（0，500）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0.9491%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［500，800）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0.4745%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［800，1200）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［1200，1500）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-0.4745%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［1500，+∞）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-0.9491%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0" w:hRule="atLeast"/>
          <w:jc w:val="center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jc w:val="center"/>
              <w:textAlignment w:val="auto"/>
              <w:outlineLvl w:val="8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道路通达度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国道能通达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1.5746%</w:t>
            </w:r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省道能通达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0.7873%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县道能通达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0.00%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乡道能通达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-0.7873%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仅村道能通达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-1.5746%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outlineLvl w:val="9"/>
        <w:rPr>
          <w:rFonts w:hint="eastAsia" w:eastAsia="仿宋_GB2312"/>
          <w:b/>
          <w:sz w:val="28"/>
          <w:szCs w:val="28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outlineLvl w:val="9"/>
        <w:rPr>
          <w:rFonts w:hint="eastAsia" w:eastAsia="仿宋_GB2312"/>
          <w:b/>
          <w:sz w:val="28"/>
          <w:szCs w:val="28"/>
          <w:highlight w:val="none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pStyle w:val="3"/>
        <w:numPr>
          <w:ilvl w:val="0"/>
          <w:numId w:val="3"/>
        </w:numPr>
        <w:rPr>
          <w:rFonts w:eastAsia="楷体_GB2312"/>
          <w:spacing w:val="-4"/>
        </w:rPr>
      </w:pPr>
      <w:bookmarkStart w:id="15" w:name="_Toc435192436"/>
      <w:bookmarkStart w:id="16" w:name="_Toc435109082"/>
      <w:bookmarkStart w:id="17" w:name="_Toc435108581"/>
      <w:bookmarkStart w:id="18" w:name="_Toc435179418"/>
      <w:bookmarkStart w:id="19" w:name="_Toc435438835"/>
      <w:r>
        <w:rPr>
          <w:rFonts w:hint="eastAsia" w:eastAsia="楷体_GB2312"/>
          <w:spacing w:val="-4"/>
          <w:lang w:eastAsia="zh-CN"/>
        </w:rPr>
        <w:t>乐昌市2018年</w:t>
      </w:r>
      <w:r>
        <w:rPr>
          <w:rFonts w:eastAsia="楷体_GB2312"/>
          <w:spacing w:val="-4"/>
        </w:rPr>
        <w:t>国有农用地使用年期修正</w:t>
      </w:r>
    </w:p>
    <w:bookmarkEnd w:id="15"/>
    <w:bookmarkEnd w:id="16"/>
    <w:bookmarkEnd w:id="17"/>
    <w:bookmarkEnd w:id="18"/>
    <w:bookmarkEnd w:id="19"/>
    <w:p>
      <w:pPr>
        <w:pStyle w:val="31"/>
        <w:numPr>
          <w:ilvl w:val="0"/>
          <w:numId w:val="0"/>
        </w:numPr>
        <w:spacing w:before="60" w:beforeLines="25" w:after="60" w:afterLines="25" w:line="300" w:lineRule="auto"/>
        <w:ind w:leftChars="0"/>
        <w:jc w:val="both"/>
        <w:outlineLvl w:val="8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年期修正系数计算公式如下：</w:t>
      </w:r>
    </w:p>
    <w:p>
      <w:pPr>
        <w:pageBreakBefore w:val="0"/>
        <w:wordWrap/>
        <w:topLinePunct w:val="0"/>
        <w:bidi w:val="0"/>
        <w:spacing w:before="0" w:beforeLines="0" w:after="0" w:afterLines="0" w:line="240" w:lineRule="auto"/>
        <w:ind w:firstLine="480"/>
        <w:jc w:val="center"/>
        <w:rPr>
          <w:rFonts w:hint="eastAsia" w:ascii="仿宋_GB2312" w:hAnsi="仿宋_GB2312" w:eastAsia="仿宋_GB2312" w:cs="仿宋_GB2312"/>
          <w:kern w:val="28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8"/>
          <w:position w:val="-36"/>
          <w:sz w:val="28"/>
          <w:szCs w:val="28"/>
        </w:rPr>
        <w:drawing>
          <wp:inline distT="0" distB="0" distL="114300" distR="114300">
            <wp:extent cx="2171700" cy="533400"/>
            <wp:effectExtent l="0" t="0" r="0" b="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ageBreakBefore w:val="0"/>
        <w:wordWrap/>
        <w:topLinePunct w:val="0"/>
        <w:bidi w:val="0"/>
        <w:snapToGrid w:val="0"/>
        <w:spacing w:before="0" w:beforeLines="0" w:after="0" w:afterLines="0" w:line="500" w:lineRule="exact"/>
        <w:ind w:firstLine="480"/>
        <w:rPr>
          <w:rFonts w:hint="eastAsia" w:ascii="仿宋_GB2312" w:hAnsi="仿宋_GB2312" w:eastAsia="仿宋_GB2312" w:cs="仿宋_GB2312"/>
          <w:kern w:val="28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8"/>
          <w:sz w:val="28"/>
          <w:szCs w:val="28"/>
        </w:rPr>
        <w:t>式中：</w:t>
      </w:r>
      <w:r>
        <w:rPr>
          <w:rFonts w:hint="eastAsia" w:ascii="仿宋_GB2312" w:hAnsi="仿宋_GB2312" w:eastAsia="仿宋_GB2312" w:cs="仿宋_GB2312"/>
          <w:kern w:val="28"/>
          <w:sz w:val="28"/>
          <w:szCs w:val="28"/>
        </w:rPr>
        <w:drawing>
          <wp:inline distT="0" distB="0" distL="114300" distR="114300">
            <wp:extent cx="152400" cy="161925"/>
            <wp:effectExtent l="0" t="0" r="0" b="635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kern w:val="28"/>
          <w:sz w:val="28"/>
          <w:szCs w:val="28"/>
        </w:rPr>
        <w:t>—土地还原率</w:t>
      </w:r>
      <w:r>
        <w:rPr>
          <w:rFonts w:hint="eastAsia" w:ascii="仿宋_GB2312" w:hAnsi="仿宋_GB2312" w:eastAsia="仿宋_GB2312" w:cs="仿宋_GB2312"/>
          <w:kern w:val="28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kern w:val="28"/>
          <w:sz w:val="28"/>
          <w:szCs w:val="28"/>
        </w:rPr>
        <w:drawing>
          <wp:inline distT="0" distB="0" distL="114300" distR="114300">
            <wp:extent cx="200025" cy="161925"/>
            <wp:effectExtent l="0" t="0" r="0" b="635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kern w:val="28"/>
          <w:sz w:val="28"/>
          <w:szCs w:val="28"/>
        </w:rPr>
        <w:t>—最高出让年期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79" w:afterLines="25" w:line="3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8"/>
          <w:sz w:val="28"/>
          <w:szCs w:val="28"/>
        </w:rPr>
        <w:drawing>
          <wp:inline distT="0" distB="0" distL="114300" distR="114300">
            <wp:extent cx="180975" cy="171450"/>
            <wp:effectExtent l="0" t="0" r="0" b="0"/>
            <wp:docPr id="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kern w:val="28"/>
          <w:sz w:val="28"/>
          <w:szCs w:val="28"/>
        </w:rPr>
        <w:t>—土地剩余使用年期</w:t>
      </w:r>
      <w:r>
        <w:rPr>
          <w:rFonts w:hint="eastAsia" w:ascii="仿宋_GB2312" w:hAnsi="仿宋_GB2312" w:eastAsia="仿宋_GB2312" w:cs="仿宋_GB2312"/>
          <w:kern w:val="28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28"/>
          <w:sz w:val="28"/>
          <w:szCs w:val="28"/>
        </w:rPr>
        <w:t>Y—出让年期修正系数</w:t>
      </w:r>
    </w:p>
    <w:p>
      <w:pPr>
        <w:pStyle w:val="31"/>
        <w:numPr>
          <w:ilvl w:val="0"/>
          <w:numId w:val="4"/>
        </w:numPr>
        <w:spacing w:before="60" w:beforeLines="25" w:after="60" w:afterLines="25" w:line="300" w:lineRule="auto"/>
        <w:ind w:left="842" w:leftChars="0" w:hanging="420" w:firstLineChars="0"/>
        <w:jc w:val="center"/>
        <w:outlineLvl w:val="8"/>
        <w:rPr>
          <w:rFonts w:hint="eastAsia" w:ascii="Times New Roman" w:hAnsi="Times New Roman" w:eastAsia="仿宋_GB2312" w:cs="Times New Roman"/>
          <w:b/>
          <w:szCs w:val="21"/>
          <w:lang w:eastAsia="zh-CN"/>
        </w:rPr>
      </w:pPr>
      <w:bookmarkStart w:id="20" w:name="_Toc435192440"/>
      <w:bookmarkStart w:id="21" w:name="_Toc435438838"/>
      <w:bookmarkStart w:id="22" w:name="_Toc435179422"/>
      <w:bookmarkStart w:id="23" w:name="_Toc435109086"/>
      <w:bookmarkStart w:id="24" w:name="_Toc435108585"/>
      <w:r>
        <w:rPr>
          <w:rFonts w:hint="eastAsia" w:ascii="Times New Roman" w:hAnsi="Times New Roman" w:eastAsia="仿宋_GB2312" w:cs="Times New Roman"/>
          <w:b/>
          <w:szCs w:val="21"/>
          <w:lang w:eastAsia="zh-CN"/>
        </w:rPr>
        <w:t>耕地剩余使用年期修正系数表（还原率r=4.</w:t>
      </w:r>
      <w:r>
        <w:rPr>
          <w:rFonts w:hint="eastAsia" w:ascii="Times New Roman" w:hAnsi="Times New Roman" w:eastAsia="仿宋_GB2312" w:cs="Times New Roman"/>
          <w:b/>
          <w:szCs w:val="21"/>
          <w:lang w:val="en-US" w:eastAsia="zh-CN"/>
        </w:rPr>
        <w:t>00</w:t>
      </w:r>
      <w:r>
        <w:rPr>
          <w:rFonts w:hint="eastAsia" w:ascii="Times New Roman" w:hAnsi="Times New Roman" w:eastAsia="仿宋_GB2312" w:cs="Times New Roman"/>
          <w:b/>
          <w:szCs w:val="21"/>
          <w:lang w:eastAsia="zh-CN"/>
        </w:rPr>
        <w:t>%）</w:t>
      </w:r>
    </w:p>
    <w:tbl>
      <w:tblPr>
        <w:tblStyle w:val="14"/>
        <w:tblW w:w="9243" w:type="dxa"/>
        <w:jc w:val="center"/>
        <w:tblInd w:w="-6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3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outlineLvl w:val="9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outlineLvl w:val="9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0.0448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0.0878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0.1292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0.169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0.2072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0.244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0.2794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0.3134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0.3461</w:t>
            </w:r>
          </w:p>
        </w:tc>
        <w:tc>
          <w:tcPr>
            <w:tcW w:w="81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outlineLvl w:val="9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outlineLvl w:val="9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0.4078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0.4369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0.4648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0.4917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0.5176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0.5424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0.5663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0.5893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0.6114</w:t>
            </w:r>
          </w:p>
        </w:tc>
        <w:tc>
          <w:tcPr>
            <w:tcW w:w="81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outlineLvl w:val="9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outlineLvl w:val="9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0.6531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0.6727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0.6916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0.7097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0.7272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0.744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0.7601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0.7757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0.7906</w:t>
            </w:r>
          </w:p>
        </w:tc>
        <w:tc>
          <w:tcPr>
            <w:tcW w:w="81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outlineLvl w:val="9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outlineLvl w:val="9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0.8187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0.832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0.8448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0.857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0.8688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0.8802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0.8911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0.9016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0.9117</w:t>
            </w:r>
          </w:p>
        </w:tc>
        <w:tc>
          <w:tcPr>
            <w:tcW w:w="81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outlineLvl w:val="9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outlineLvl w:val="9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0.9307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0.9396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0.9483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0.9566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0.9645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0.9722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0.9796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0.9866</w:t>
            </w:r>
          </w:p>
        </w:tc>
        <w:tc>
          <w:tcPr>
            <w:tcW w:w="80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0.9934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</w:tbl>
    <w:p>
      <w:pPr>
        <w:pStyle w:val="31"/>
        <w:numPr>
          <w:ilvl w:val="0"/>
          <w:numId w:val="4"/>
        </w:numPr>
        <w:spacing w:before="60" w:beforeLines="25" w:after="60" w:afterLines="25" w:line="300" w:lineRule="auto"/>
        <w:ind w:left="842" w:leftChars="0" w:hanging="420" w:firstLineChars="0"/>
        <w:jc w:val="center"/>
        <w:outlineLvl w:val="8"/>
        <w:rPr>
          <w:rFonts w:hint="eastAsia" w:ascii="Times New Roman" w:hAnsi="Times New Roman" w:eastAsia="仿宋_GB2312" w:cs="Times New Roman"/>
          <w:b/>
          <w:szCs w:val="21"/>
          <w:lang w:eastAsia="zh-CN"/>
        </w:rPr>
      </w:pPr>
      <w:r>
        <w:rPr>
          <w:rFonts w:hint="eastAsia" w:ascii="Times New Roman" w:hAnsi="Times New Roman" w:eastAsia="仿宋_GB2312" w:cs="Times New Roman"/>
          <w:b/>
          <w:szCs w:val="21"/>
          <w:lang w:eastAsia="zh-CN"/>
        </w:rPr>
        <w:t>园地剩余使用年期修正系数表（还原率r=4.</w:t>
      </w:r>
      <w:r>
        <w:rPr>
          <w:rFonts w:hint="eastAsia" w:ascii="Times New Roman" w:hAnsi="Times New Roman" w:eastAsia="仿宋_GB2312" w:cs="Times New Roman"/>
          <w:b/>
          <w:szCs w:val="21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b/>
          <w:szCs w:val="21"/>
          <w:lang w:eastAsia="zh-CN"/>
        </w:rPr>
        <w:t>%）</w:t>
      </w:r>
    </w:p>
    <w:tbl>
      <w:tblPr>
        <w:tblStyle w:val="14"/>
        <w:tblW w:w="9509" w:type="dxa"/>
        <w:jc w:val="center"/>
        <w:tblInd w:w="-8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6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6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0.0462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0.0906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0.1331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0.174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0.2132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0.2508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0.2869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0.3216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0.3548</w:t>
            </w:r>
          </w:p>
        </w:tc>
        <w:tc>
          <w:tcPr>
            <w:tcW w:w="8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0.3867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6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6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0.4174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0.4467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0.475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0.502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0.528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0.5529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0.5769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0.5998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0.6219</w:t>
            </w:r>
          </w:p>
        </w:tc>
        <w:tc>
          <w:tcPr>
            <w:tcW w:w="8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6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6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0.6633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0.6828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0.7015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0.7194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0.7366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0.7532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0.769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0.7842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0.7988</w:t>
            </w:r>
          </w:p>
        </w:tc>
        <w:tc>
          <w:tcPr>
            <w:tcW w:w="8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6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6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0.8263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0.8392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0.8516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0.8635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0.8749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0.8858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0.8964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0.9064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0.9161</w:t>
            </w:r>
          </w:p>
        </w:tc>
        <w:tc>
          <w:tcPr>
            <w:tcW w:w="84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6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06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0.9343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0.9429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0.9511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0.959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0.9665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0.9738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0.9807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0.9874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0.9938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</w:tbl>
    <w:p>
      <w:pPr>
        <w:pStyle w:val="31"/>
        <w:numPr>
          <w:ilvl w:val="0"/>
          <w:numId w:val="4"/>
        </w:numPr>
        <w:spacing w:before="60" w:beforeLines="25" w:after="60" w:afterLines="25" w:line="300" w:lineRule="auto"/>
        <w:ind w:left="842" w:leftChars="0" w:hanging="420" w:firstLineChars="0"/>
        <w:jc w:val="center"/>
        <w:outlineLvl w:val="8"/>
        <w:rPr>
          <w:rFonts w:hint="eastAsia" w:ascii="Times New Roman" w:hAnsi="Times New Roman" w:eastAsia="仿宋_GB2312" w:cs="Times New Roman"/>
          <w:b/>
          <w:szCs w:val="21"/>
          <w:lang w:eastAsia="zh-CN"/>
        </w:rPr>
      </w:pPr>
      <w:r>
        <w:rPr>
          <w:rFonts w:hint="eastAsia" w:ascii="Times New Roman" w:hAnsi="Times New Roman" w:eastAsia="仿宋_GB2312" w:cs="Times New Roman"/>
          <w:b/>
          <w:szCs w:val="21"/>
          <w:lang w:eastAsia="zh-CN"/>
        </w:rPr>
        <w:t>林地剩余使用年期修正系数表（还原率r=</w:t>
      </w:r>
      <w:r>
        <w:rPr>
          <w:rFonts w:hint="eastAsia" w:ascii="Times New Roman" w:hAnsi="Times New Roman" w:eastAsia="仿宋_GB2312" w:cs="Times New Roman"/>
          <w:b/>
          <w:szCs w:val="21"/>
          <w:lang w:val="en-US" w:eastAsia="zh-CN"/>
        </w:rPr>
        <w:t>3.80</w:t>
      </w:r>
      <w:r>
        <w:rPr>
          <w:rFonts w:hint="eastAsia" w:ascii="Times New Roman" w:hAnsi="Times New Roman" w:eastAsia="仿宋_GB2312" w:cs="Times New Roman"/>
          <w:b/>
          <w:szCs w:val="21"/>
          <w:lang w:eastAsia="zh-CN"/>
        </w:rPr>
        <w:t>%）</w:t>
      </w:r>
    </w:p>
    <w:tbl>
      <w:tblPr>
        <w:tblStyle w:val="14"/>
        <w:tblW w:w="9243" w:type="dxa"/>
        <w:jc w:val="center"/>
        <w:tblInd w:w="-6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28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28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0.0433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0.0851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0.1253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0.164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0.2013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0.2373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0.2719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0.3053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0.3374</w:t>
            </w:r>
          </w:p>
        </w:tc>
        <w:tc>
          <w:tcPr>
            <w:tcW w:w="81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0.3684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28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28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0.3982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0.427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0.4546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0.4813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0.507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0.5318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0.5556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0.5786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0.6008</w:t>
            </w:r>
          </w:p>
        </w:tc>
        <w:tc>
          <w:tcPr>
            <w:tcW w:w="81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28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28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0.6426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0.6624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0.6815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0.6999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0.7176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0.7346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0.751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0.7669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0.7821</w:t>
            </w:r>
          </w:p>
        </w:tc>
        <w:tc>
          <w:tcPr>
            <w:tcW w:w="81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0.7968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28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28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0.811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0.8246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0.8377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0.8504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0.8626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0.8743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0.8856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0.8965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0.907</w:t>
            </w:r>
          </w:p>
        </w:tc>
        <w:tc>
          <w:tcPr>
            <w:tcW w:w="81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28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28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0.9269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0.9363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0.9453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0.954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0.9624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0.9705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0.9783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0.9858</w:t>
            </w:r>
          </w:p>
        </w:tc>
        <w:tc>
          <w:tcPr>
            <w:tcW w:w="81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0.993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</w:tbl>
    <w:p>
      <w:pPr>
        <w:pStyle w:val="31"/>
        <w:numPr>
          <w:ilvl w:val="0"/>
          <w:numId w:val="4"/>
        </w:numPr>
        <w:spacing w:before="60" w:beforeLines="25" w:after="60" w:afterLines="25" w:line="300" w:lineRule="auto"/>
        <w:ind w:left="842" w:leftChars="0" w:hanging="420" w:firstLineChars="0"/>
        <w:jc w:val="center"/>
        <w:outlineLvl w:val="8"/>
        <w:rPr>
          <w:rFonts w:hint="eastAsia" w:ascii="Times New Roman" w:hAnsi="Times New Roman" w:eastAsia="仿宋_GB2312" w:cs="Times New Roman"/>
          <w:b/>
          <w:szCs w:val="21"/>
          <w:lang w:eastAsia="zh-CN"/>
        </w:rPr>
      </w:pPr>
      <w:r>
        <w:rPr>
          <w:rFonts w:hint="eastAsia" w:ascii="Times New Roman" w:hAnsi="Times New Roman" w:eastAsia="仿宋_GB2312" w:cs="Times New Roman"/>
          <w:b/>
          <w:szCs w:val="21"/>
          <w:lang w:eastAsia="zh-CN"/>
        </w:rPr>
        <w:t>坑塘水面剩余使用年期修正系数表（还原率r=4.</w:t>
      </w:r>
      <w:r>
        <w:rPr>
          <w:rFonts w:hint="eastAsia" w:ascii="Times New Roman" w:hAnsi="Times New Roman" w:eastAsia="仿宋_GB2312" w:cs="Times New Roman"/>
          <w:b/>
          <w:szCs w:val="21"/>
          <w:lang w:val="en-US" w:eastAsia="zh-CN"/>
        </w:rPr>
        <w:t>50</w:t>
      </w:r>
      <w:r>
        <w:rPr>
          <w:rFonts w:hint="eastAsia" w:ascii="Times New Roman" w:hAnsi="Times New Roman" w:eastAsia="仿宋_GB2312" w:cs="Times New Roman"/>
          <w:b/>
          <w:szCs w:val="21"/>
          <w:lang w:eastAsia="zh-CN"/>
        </w:rPr>
        <w:t>%）</w:t>
      </w:r>
    </w:p>
    <w:tbl>
      <w:tblPr>
        <w:tblStyle w:val="14"/>
        <w:tblW w:w="9129" w:type="dxa"/>
        <w:jc w:val="center"/>
        <w:tblInd w:w="-4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89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89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0.0484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0.0948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0.1391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0.1815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0.2221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0.261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0.2982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0.3338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0.3678</w:t>
            </w:r>
          </w:p>
        </w:tc>
        <w:tc>
          <w:tcPr>
            <w:tcW w:w="81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89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89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0.4316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0.4614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0.49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0.5173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0.5434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0.5685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0.5924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0.6153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0.6372</w:t>
            </w:r>
          </w:p>
        </w:tc>
        <w:tc>
          <w:tcPr>
            <w:tcW w:w="81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89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89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0.6783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0.6975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0.7159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0.7335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0.7503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0.7665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0.7819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0.7966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0.8107</w:t>
            </w:r>
          </w:p>
        </w:tc>
        <w:tc>
          <w:tcPr>
            <w:tcW w:w="81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89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89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0.8372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0.8496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0.8614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0.8727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0.8836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0.8939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0.9039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0.9134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0.9225</w:t>
            </w:r>
          </w:p>
        </w:tc>
        <w:tc>
          <w:tcPr>
            <w:tcW w:w="81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89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89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0.9395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0.9475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0.9551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0.9624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0.9694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0.976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0.9824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0.9885</w:t>
            </w:r>
          </w:p>
        </w:tc>
        <w:tc>
          <w:tcPr>
            <w:tcW w:w="803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0.9944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</w:tbl>
    <w:p>
      <w:pPr>
        <w:pStyle w:val="31"/>
        <w:numPr>
          <w:ilvl w:val="0"/>
          <w:numId w:val="4"/>
        </w:numPr>
        <w:spacing w:before="60" w:beforeLines="25" w:after="60" w:afterLines="25" w:line="300" w:lineRule="auto"/>
        <w:ind w:left="842" w:leftChars="0" w:hanging="420" w:firstLineChars="0"/>
        <w:jc w:val="center"/>
        <w:outlineLvl w:val="8"/>
        <w:rPr>
          <w:rFonts w:hint="eastAsia" w:ascii="Times New Roman" w:hAnsi="Times New Roman" w:eastAsia="仿宋_GB2312" w:cs="Times New Roman"/>
          <w:b/>
          <w:szCs w:val="21"/>
          <w:lang w:eastAsia="zh-CN"/>
        </w:rPr>
      </w:pPr>
      <w:r>
        <w:rPr>
          <w:rFonts w:hint="eastAsia" w:ascii="Times New Roman" w:hAnsi="Times New Roman" w:eastAsia="仿宋_GB2312" w:cs="Times New Roman"/>
          <w:b/>
          <w:szCs w:val="21"/>
          <w:lang w:eastAsia="zh-CN"/>
        </w:rPr>
        <w:t>宜农未利用地剩余使用年期修正系数表（还原率r=3.</w:t>
      </w:r>
      <w:r>
        <w:rPr>
          <w:rFonts w:hint="eastAsia" w:ascii="Times New Roman" w:hAnsi="Times New Roman" w:eastAsia="仿宋_GB2312" w:cs="Times New Roman"/>
          <w:b/>
          <w:szCs w:val="21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/>
          <w:szCs w:val="21"/>
          <w:lang w:eastAsia="zh-CN"/>
        </w:rPr>
        <w:t>0%）</w:t>
      </w:r>
    </w:p>
    <w:tbl>
      <w:tblPr>
        <w:tblStyle w:val="14"/>
        <w:tblW w:w="9089" w:type="dxa"/>
        <w:jc w:val="center"/>
        <w:tblInd w:w="-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rFonts w:hint="eastAsia"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0.0412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0.081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0.1194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0.1566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0.1925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0.2272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0.2607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0.2931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0.3243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0.3838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0.412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0.4392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0.4656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0.491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0.5156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0.5394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0.5623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0.5845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0.6266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0.6466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0.666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0.6846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0.7027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0.7201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0.7369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0.7532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0.7689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0.7841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0.7988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0.813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0.8267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0.8399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0.8527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0.8651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0.877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0.8885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0.8997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剩余年限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spacing w:before="0" w:beforeLines="0" w:after="0" w:afterLines="0" w:line="240" w:lineRule="auto"/>
              <w:ind w:firstLine="0" w:firstLineChars="0"/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修正系数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0.9208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0.9309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0.9406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0.9591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0.9678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0.9763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0.9845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rFonts w:hint="eastAsia" w:eastAsia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0.9924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firstLine="0" w:firstLineChars="0"/>
              <w:jc w:val="center"/>
              <w:textAlignment w:val="center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</w:tbl>
    <w:p>
      <w:pPr>
        <w:spacing w:before="72" w:after="72"/>
        <w:ind w:firstLine="482"/>
        <w:jc w:val="center"/>
        <w:rPr>
          <w:rFonts w:hint="eastAsia" w:ascii="仿宋" w:hAnsi="仿宋" w:eastAsia="仿宋" w:cs="仿宋"/>
          <w:b/>
          <w:bCs/>
          <w:color w:val="auto"/>
        </w:rPr>
      </w:pPr>
    </w:p>
    <w:bookmarkEnd w:id="20"/>
    <w:bookmarkEnd w:id="21"/>
    <w:bookmarkEnd w:id="22"/>
    <w:bookmarkEnd w:id="23"/>
    <w:bookmarkEnd w:id="24"/>
    <w:p>
      <w:pPr>
        <w:pStyle w:val="3"/>
        <w:tabs>
          <w:tab w:val="left" w:pos="360"/>
        </w:tabs>
      </w:pPr>
      <w:r>
        <w:rPr>
          <w:rFonts w:hint="eastAsia" w:hAnsi="黑体" w:eastAsia="黑体"/>
          <w:kern w:val="28"/>
          <w:sz w:val="32"/>
          <w:szCs w:val="32"/>
        </w:rPr>
        <w:t>三</w:t>
      </w:r>
      <w:r>
        <w:rPr>
          <w:rFonts w:hAnsi="黑体" w:eastAsia="黑体"/>
          <w:kern w:val="28"/>
          <w:sz w:val="32"/>
          <w:szCs w:val="32"/>
        </w:rPr>
        <w:t>、</w:t>
      </w:r>
      <w:r>
        <w:t>应用基准地价系数修正法评估宗地地价计算公式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2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1、耕地地价公式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0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耕地单位面积地价=耕地级别基准地价×（1+各因素指标修正系数之和）×期日修正系数×剩余使用年期修正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0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耕地总地价=耕地单位面积地价×耕地总土地面积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2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2、园地地价公式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0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园地单位面积地价=园地级别基准地价×（1+各因素指标修正系数之和）×期日修正系数×剩余使用年期修正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0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园地总地价=园地单位面积地价×园地总土地面积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2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3、林地地价公式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0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林地单位面积地价=林地级别基准地价×（1+各因素指标修正系数之和）×期日修正系数×剩余使用年期修正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0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林地总地价=林地单位面积地价×林地总土地面积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2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4、坑塘水面地价公式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0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坑塘水面单位面积地价=坑塘水面级别基准地价×（1+各因素指标修正系数之和）×期日修正系数×剩余使用年期修正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0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坑塘水面总地价=坑塘水面单位面积地价×坑塘水面总土地面积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2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宜农未利用地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地价公式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0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宜农未利用地</w:t>
      </w:r>
      <w:r>
        <w:rPr>
          <w:rFonts w:hint="eastAsia" w:ascii="仿宋_GB2312" w:hAnsi="仿宋_GB2312" w:eastAsia="仿宋_GB2312" w:cs="仿宋_GB2312"/>
          <w:sz w:val="28"/>
          <w:szCs w:val="28"/>
        </w:rPr>
        <w:t>单位面积地价=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宜农未利用地</w:t>
      </w:r>
      <w:r>
        <w:rPr>
          <w:rFonts w:hint="eastAsia" w:ascii="仿宋_GB2312" w:hAnsi="仿宋_GB2312" w:eastAsia="仿宋_GB2312" w:cs="仿宋_GB2312"/>
          <w:sz w:val="28"/>
          <w:szCs w:val="28"/>
        </w:rPr>
        <w:t>级别基准地价×（1+各因素指标修正系数之和）×期日修正系数×剩余使用年期修正</w:t>
      </w:r>
    </w:p>
    <w:p>
      <w:pPr>
        <w:pStyle w:val="3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auto"/>
        <w:ind w:leftChars="0" w:firstLine="560" w:firstLineChars="200"/>
        <w:jc w:val="both"/>
        <w:textAlignment w:val="auto"/>
        <w:outlineLvl w:val="8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宜农未利用地</w:t>
      </w:r>
      <w:r>
        <w:rPr>
          <w:rFonts w:hint="eastAsia" w:ascii="仿宋_GB2312" w:hAnsi="仿宋_GB2312" w:eastAsia="仿宋_GB2312" w:cs="仿宋_GB2312"/>
          <w:sz w:val="28"/>
          <w:szCs w:val="28"/>
        </w:rPr>
        <w:t>总地价=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宜农未利用地</w:t>
      </w:r>
      <w:r>
        <w:rPr>
          <w:rFonts w:hint="eastAsia" w:ascii="仿宋_GB2312" w:hAnsi="仿宋_GB2312" w:eastAsia="仿宋_GB2312" w:cs="仿宋_GB2312"/>
          <w:sz w:val="28"/>
          <w:szCs w:val="28"/>
        </w:rPr>
        <w:t>单位面积地价×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宜农未利用地</w:t>
      </w:r>
      <w:r>
        <w:rPr>
          <w:rFonts w:hint="eastAsia" w:ascii="仿宋_GB2312" w:hAnsi="仿宋_GB2312" w:eastAsia="仿宋_GB2312" w:cs="仿宋_GB2312"/>
          <w:sz w:val="28"/>
          <w:szCs w:val="28"/>
        </w:rPr>
        <w:t>总土地面积</w:t>
      </w:r>
    </w:p>
    <w:p>
      <w:pPr>
        <w:pStyle w:val="31"/>
        <w:numPr>
          <w:ilvl w:val="0"/>
          <w:numId w:val="0"/>
        </w:numPr>
        <w:spacing w:before="60" w:beforeLines="25" w:after="60" w:afterLines="25" w:line="300" w:lineRule="auto"/>
        <w:ind w:leftChars="0"/>
        <w:jc w:val="both"/>
        <w:outlineLvl w:val="8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1771034"/>
    </w:sdtPr>
    <w:sdtContent>
      <w:p>
        <w:pPr>
          <w:pStyle w:val="1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E872DC"/>
    <w:multiLevelType w:val="multilevel"/>
    <w:tmpl w:val="D6E872DC"/>
    <w:lvl w:ilvl="0" w:tentative="0">
      <w:start w:val="1"/>
      <w:numFmt w:val="decimal"/>
      <w:lvlText w:val="表2-%1 "/>
      <w:lvlJc w:val="center"/>
      <w:pPr>
        <w:ind w:left="842" w:hanging="420"/>
      </w:pPr>
      <w:rPr>
        <w:rFonts w:hint="default" w:ascii="宋体" w:hAnsi="宋体" w:eastAsia="宋体" w:cs="宋体"/>
        <w:b/>
        <w:lang w:val="en-US"/>
      </w:rPr>
    </w:lvl>
    <w:lvl w:ilvl="1" w:tentative="0">
      <w:start w:val="1"/>
      <w:numFmt w:val="lowerLetter"/>
      <w:lvlText w:val="%2)"/>
      <w:lvlJc w:val="left"/>
      <w:pPr>
        <w:ind w:left="1262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2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2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2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2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2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2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2" w:hanging="420"/>
      </w:pPr>
      <w:rPr>
        <w:rFonts w:hint="eastAsia"/>
      </w:rPr>
    </w:lvl>
  </w:abstractNum>
  <w:abstractNum w:abstractNumId="1">
    <w:nsid w:val="01A42F77"/>
    <w:multiLevelType w:val="multilevel"/>
    <w:tmpl w:val="01A42F77"/>
    <w:lvl w:ilvl="0" w:tentative="0">
      <w:start w:val="1"/>
      <w:numFmt w:val="decimal"/>
      <w:lvlText w:val="表3-%1 "/>
      <w:lvlJc w:val="center"/>
      <w:pPr>
        <w:ind w:left="842" w:hanging="420"/>
      </w:pPr>
      <w:rPr>
        <w:rFonts w:hint="eastAsia"/>
        <w:b/>
        <w:lang w:val="en-US"/>
      </w:rPr>
    </w:lvl>
    <w:lvl w:ilvl="1" w:tentative="0">
      <w:start w:val="1"/>
      <w:numFmt w:val="lowerLetter"/>
      <w:lvlText w:val="%2)"/>
      <w:lvlJc w:val="left"/>
      <w:pPr>
        <w:ind w:left="1262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2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2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2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2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2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2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2" w:hanging="420"/>
      </w:pPr>
      <w:rPr>
        <w:rFonts w:hint="eastAsia"/>
      </w:rPr>
    </w:lvl>
  </w:abstractNum>
  <w:abstractNum w:abstractNumId="2">
    <w:nsid w:val="5583714B"/>
    <w:multiLevelType w:val="multilevel"/>
    <w:tmpl w:val="5583714B"/>
    <w:lvl w:ilvl="0" w:tentative="0">
      <w:start w:val="1"/>
      <w:numFmt w:val="decimal"/>
      <w:lvlText w:val="表1-%1"/>
      <w:lvlJc w:val="left"/>
      <w:pPr>
        <w:tabs>
          <w:tab w:val="left" w:pos="0"/>
        </w:tabs>
        <w:ind w:left="842" w:hanging="420"/>
      </w:pPr>
      <w:rPr>
        <w:b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26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682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102" w:hanging="420"/>
      </w:pPr>
    </w:lvl>
    <w:lvl w:ilvl="4" w:tentative="0">
      <w:start w:val="1"/>
      <w:numFmt w:val="lowerLetter"/>
      <w:pStyle w:val="5"/>
      <w:lvlText w:val="%5)"/>
      <w:lvlJc w:val="left"/>
      <w:pPr>
        <w:tabs>
          <w:tab w:val="left" w:pos="0"/>
        </w:tabs>
        <w:ind w:left="252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942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36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78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202" w:hanging="420"/>
      </w:pPr>
    </w:lvl>
  </w:abstractNum>
  <w:abstractNum w:abstractNumId="3">
    <w:nsid w:val="59E9652F"/>
    <w:multiLevelType w:val="singleLevel"/>
    <w:tmpl w:val="59E9652F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414"/>
    <w:rsid w:val="00030FB0"/>
    <w:rsid w:val="00055B14"/>
    <w:rsid w:val="000656D7"/>
    <w:rsid w:val="00080197"/>
    <w:rsid w:val="000F7CBA"/>
    <w:rsid w:val="00145438"/>
    <w:rsid w:val="001529C0"/>
    <w:rsid w:val="0018745E"/>
    <w:rsid w:val="00227E6E"/>
    <w:rsid w:val="003608A6"/>
    <w:rsid w:val="00385870"/>
    <w:rsid w:val="0038750D"/>
    <w:rsid w:val="003D193F"/>
    <w:rsid w:val="003E611A"/>
    <w:rsid w:val="003F0414"/>
    <w:rsid w:val="003F4430"/>
    <w:rsid w:val="004308E9"/>
    <w:rsid w:val="004746D0"/>
    <w:rsid w:val="004A3BBF"/>
    <w:rsid w:val="004E53D9"/>
    <w:rsid w:val="004F08A5"/>
    <w:rsid w:val="00550497"/>
    <w:rsid w:val="00554453"/>
    <w:rsid w:val="005B0C3D"/>
    <w:rsid w:val="005D7B6B"/>
    <w:rsid w:val="005E7D57"/>
    <w:rsid w:val="00642E7E"/>
    <w:rsid w:val="00685E31"/>
    <w:rsid w:val="006B256D"/>
    <w:rsid w:val="006D10E8"/>
    <w:rsid w:val="00711360"/>
    <w:rsid w:val="007774C7"/>
    <w:rsid w:val="00792C36"/>
    <w:rsid w:val="007C23CA"/>
    <w:rsid w:val="008037C3"/>
    <w:rsid w:val="008B3BDF"/>
    <w:rsid w:val="008B5AB4"/>
    <w:rsid w:val="008B7FE6"/>
    <w:rsid w:val="009C120E"/>
    <w:rsid w:val="00A53F55"/>
    <w:rsid w:val="00A61C54"/>
    <w:rsid w:val="00AE31BF"/>
    <w:rsid w:val="00AE6D19"/>
    <w:rsid w:val="00AF4393"/>
    <w:rsid w:val="00B40016"/>
    <w:rsid w:val="00BF3ED6"/>
    <w:rsid w:val="00C40B1A"/>
    <w:rsid w:val="00CC4F57"/>
    <w:rsid w:val="00CF7895"/>
    <w:rsid w:val="00D04A0E"/>
    <w:rsid w:val="00DC7BD4"/>
    <w:rsid w:val="00DD14BB"/>
    <w:rsid w:val="00DE2BC5"/>
    <w:rsid w:val="00E20A25"/>
    <w:rsid w:val="00E21CF8"/>
    <w:rsid w:val="00EF5718"/>
    <w:rsid w:val="00FB15CB"/>
    <w:rsid w:val="06D373CA"/>
    <w:rsid w:val="080078C5"/>
    <w:rsid w:val="0F0B2F09"/>
    <w:rsid w:val="26103CBD"/>
    <w:rsid w:val="2C017E57"/>
    <w:rsid w:val="46434ABB"/>
    <w:rsid w:val="4A894C21"/>
    <w:rsid w:val="58F757F6"/>
    <w:rsid w:val="5C692DD5"/>
    <w:rsid w:val="69A909A7"/>
    <w:rsid w:val="6A9727A4"/>
    <w:rsid w:val="6AAE284C"/>
    <w:rsid w:val="7049455F"/>
    <w:rsid w:val="743D1380"/>
    <w:rsid w:val="75213A42"/>
    <w:rsid w:val="781D4BB7"/>
    <w:rsid w:val="7A7A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4"/>
    <w:next w:val="1"/>
    <w:link w:val="2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1"/>
    <w:next w:val="1"/>
    <w:link w:val="21"/>
    <w:qFormat/>
    <w:uiPriority w:val="0"/>
    <w:pPr>
      <w:keepNext/>
      <w:keepLines/>
      <w:widowControl w:val="0"/>
      <w:numPr>
        <w:ilvl w:val="4"/>
        <w:numId w:val="1"/>
      </w:numPr>
      <w:autoSpaceDE w:val="0"/>
      <w:autoSpaceDN w:val="0"/>
      <w:adjustRightInd w:val="0"/>
      <w:snapToGrid w:val="0"/>
      <w:spacing w:before="62" w:beforeLines="20" w:line="377" w:lineRule="auto"/>
      <w:textAlignment w:val="baseline"/>
      <w:outlineLvl w:val="4"/>
    </w:pPr>
    <w:rPr>
      <w:rFonts w:ascii="宋体" w:hAnsi="宋体" w:eastAsia="仿宋_GB2312"/>
      <w:b/>
      <w:kern w:val="24"/>
      <w:sz w:val="28"/>
      <w:szCs w:val="20"/>
    </w:rPr>
  </w:style>
  <w:style w:type="character" w:default="1" w:styleId="13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te Heading"/>
    <w:basedOn w:val="1"/>
    <w:next w:val="1"/>
    <w:link w:val="22"/>
    <w:qFormat/>
    <w:uiPriority w:val="0"/>
    <w:pPr>
      <w:widowControl w:val="0"/>
      <w:spacing w:beforeLines="50" w:afterLines="50" w:line="360" w:lineRule="auto"/>
      <w:ind w:firstLine="420"/>
      <w:jc w:val="center"/>
    </w:pPr>
    <w:rPr>
      <w:rFonts w:ascii="仿宋_GB2312" w:hAnsi="宋体" w:eastAsia="仿宋_GB2312"/>
      <w:b/>
      <w:w w:val="90"/>
      <w:sz w:val="28"/>
      <w:szCs w:val="28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link w:val="16"/>
    <w:qFormat/>
    <w:uiPriority w:val="0"/>
    <w:pPr>
      <w:widowControl w:val="0"/>
      <w:spacing w:before="93" w:beforeLines="30" w:after="120" w:line="300" w:lineRule="auto"/>
      <w:ind w:firstLine="480" w:firstLineChars="200"/>
      <w:jc w:val="both"/>
    </w:pPr>
    <w:rPr>
      <w:rFonts w:eastAsia="仿宋_GB2312"/>
      <w:kern w:val="28"/>
      <w:sz w:val="24"/>
    </w:rPr>
  </w:style>
  <w:style w:type="paragraph" w:styleId="9">
    <w:name w:val="Plain Text"/>
    <w:basedOn w:val="1"/>
    <w:link w:val="17"/>
    <w:qFormat/>
    <w:uiPriority w:val="0"/>
    <w:pPr>
      <w:widowControl w:val="0"/>
      <w:jc w:val="center"/>
    </w:pPr>
    <w:rPr>
      <w:rFonts w:eastAsia="仿宋_GB2312"/>
      <w:kern w:val="28"/>
      <w:sz w:val="24"/>
    </w:rPr>
  </w:style>
  <w:style w:type="paragraph" w:styleId="10">
    <w:name w:val="Balloon Text"/>
    <w:basedOn w:val="1"/>
    <w:link w:val="24"/>
    <w:qFormat/>
    <w:uiPriority w:val="0"/>
    <w:rPr>
      <w:sz w:val="18"/>
      <w:szCs w:val="18"/>
    </w:rPr>
  </w:style>
  <w:style w:type="paragraph" w:styleId="11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2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">
    <w:name w:val="Char Char Char Char"/>
    <w:basedOn w:val="1"/>
    <w:qFormat/>
    <w:uiPriority w:val="0"/>
    <w:pPr>
      <w:widowControl w:val="0"/>
      <w:tabs>
        <w:tab w:val="left" w:pos="425"/>
      </w:tabs>
      <w:ind w:left="425" w:hanging="425"/>
      <w:jc w:val="both"/>
    </w:pPr>
    <w:rPr>
      <w:rFonts w:eastAsia="仿宋_GB2312"/>
      <w:kern w:val="28"/>
      <w:sz w:val="24"/>
    </w:rPr>
  </w:style>
  <w:style w:type="character" w:customStyle="1" w:styleId="16">
    <w:name w:val="正文文本 Char"/>
    <w:basedOn w:val="13"/>
    <w:link w:val="8"/>
    <w:qFormat/>
    <w:uiPriority w:val="0"/>
    <w:rPr>
      <w:rFonts w:eastAsia="仿宋_GB2312"/>
      <w:kern w:val="28"/>
      <w:sz w:val="24"/>
      <w:szCs w:val="24"/>
    </w:rPr>
  </w:style>
  <w:style w:type="character" w:customStyle="1" w:styleId="17">
    <w:name w:val="纯文本 Char"/>
    <w:link w:val="9"/>
    <w:qFormat/>
    <w:uiPriority w:val="0"/>
    <w:rPr>
      <w:rFonts w:eastAsia="仿宋_GB2312"/>
      <w:kern w:val="28"/>
      <w:sz w:val="24"/>
      <w:szCs w:val="24"/>
    </w:rPr>
  </w:style>
  <w:style w:type="character" w:customStyle="1" w:styleId="18">
    <w:name w:val="纯文本 Char1"/>
    <w:basedOn w:val="1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9">
    <w:name w:val="表格正文 Char"/>
    <w:link w:val="20"/>
    <w:qFormat/>
    <w:uiPriority w:val="0"/>
    <w:rPr>
      <w:rFonts w:ascii="仿宋_GB2312" w:hAnsi="宋体" w:eastAsia="仿宋_GB2312"/>
      <w:w w:val="90"/>
      <w:kern w:val="2"/>
      <w:sz w:val="24"/>
      <w:szCs w:val="28"/>
    </w:rPr>
  </w:style>
  <w:style w:type="paragraph" w:customStyle="1" w:styleId="20">
    <w:name w:val="表格正文"/>
    <w:basedOn w:val="1"/>
    <w:link w:val="19"/>
    <w:qFormat/>
    <w:uiPriority w:val="0"/>
    <w:pPr>
      <w:widowControl w:val="0"/>
      <w:jc w:val="center"/>
    </w:pPr>
    <w:rPr>
      <w:rFonts w:ascii="仿宋_GB2312" w:hAnsi="宋体" w:eastAsia="仿宋_GB2312"/>
      <w:w w:val="90"/>
      <w:sz w:val="24"/>
      <w:szCs w:val="28"/>
    </w:rPr>
  </w:style>
  <w:style w:type="character" w:customStyle="1" w:styleId="21">
    <w:name w:val="标题 5 Char"/>
    <w:basedOn w:val="13"/>
    <w:link w:val="5"/>
    <w:qFormat/>
    <w:uiPriority w:val="0"/>
    <w:rPr>
      <w:rFonts w:ascii="宋体" w:hAnsi="宋体" w:eastAsia="仿宋_GB2312"/>
      <w:b/>
      <w:kern w:val="24"/>
      <w:sz w:val="28"/>
    </w:rPr>
  </w:style>
  <w:style w:type="character" w:customStyle="1" w:styleId="22">
    <w:name w:val="注释标题 Char"/>
    <w:link w:val="6"/>
    <w:qFormat/>
    <w:uiPriority w:val="0"/>
    <w:rPr>
      <w:rFonts w:ascii="仿宋_GB2312" w:hAnsi="宋体" w:eastAsia="仿宋_GB2312"/>
      <w:b/>
      <w:w w:val="90"/>
      <w:kern w:val="2"/>
      <w:sz w:val="28"/>
      <w:szCs w:val="28"/>
    </w:rPr>
  </w:style>
  <w:style w:type="character" w:customStyle="1" w:styleId="23">
    <w:name w:val="注释标题 Char1"/>
    <w:basedOn w:val="13"/>
    <w:qFormat/>
    <w:uiPriority w:val="0"/>
    <w:rPr>
      <w:kern w:val="2"/>
      <w:sz w:val="21"/>
      <w:szCs w:val="24"/>
    </w:rPr>
  </w:style>
  <w:style w:type="character" w:customStyle="1" w:styleId="24">
    <w:name w:val="批注框文本 Char"/>
    <w:basedOn w:val="13"/>
    <w:link w:val="10"/>
    <w:qFormat/>
    <w:uiPriority w:val="0"/>
    <w:rPr>
      <w:kern w:val="2"/>
      <w:sz w:val="18"/>
      <w:szCs w:val="18"/>
    </w:rPr>
  </w:style>
  <w:style w:type="character" w:customStyle="1" w:styleId="25">
    <w:name w:val="标题 1 Char"/>
    <w:basedOn w:val="13"/>
    <w:link w:val="2"/>
    <w:qFormat/>
    <w:uiPriority w:val="0"/>
    <w:rPr>
      <w:b/>
      <w:bCs/>
      <w:kern w:val="44"/>
      <w:sz w:val="44"/>
      <w:szCs w:val="44"/>
    </w:rPr>
  </w:style>
  <w:style w:type="character" w:customStyle="1" w:styleId="26">
    <w:name w:val="标题 2 Char"/>
    <w:basedOn w:val="13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7">
    <w:name w:val="页眉 Char"/>
    <w:basedOn w:val="13"/>
    <w:link w:val="12"/>
    <w:qFormat/>
    <w:uiPriority w:val="0"/>
    <w:rPr>
      <w:kern w:val="2"/>
      <w:sz w:val="18"/>
      <w:szCs w:val="18"/>
    </w:rPr>
  </w:style>
  <w:style w:type="character" w:customStyle="1" w:styleId="28">
    <w:name w:val="页脚 Char"/>
    <w:basedOn w:val="13"/>
    <w:link w:val="11"/>
    <w:qFormat/>
    <w:uiPriority w:val="99"/>
    <w:rPr>
      <w:kern w:val="2"/>
      <w:sz w:val="18"/>
      <w:szCs w:val="18"/>
    </w:rPr>
  </w:style>
  <w:style w:type="character" w:customStyle="1" w:styleId="29">
    <w:name w:val="标题 3 Char"/>
    <w:basedOn w:val="13"/>
    <w:link w:val="4"/>
    <w:semiHidden/>
    <w:qFormat/>
    <w:uiPriority w:val="0"/>
    <w:rPr>
      <w:b/>
      <w:bCs/>
      <w:kern w:val="2"/>
      <w:sz w:val="32"/>
      <w:szCs w:val="32"/>
    </w:rPr>
  </w:style>
  <w:style w:type="paragraph" w:customStyle="1" w:styleId="30">
    <w:name w:val="Table Paragraph"/>
    <w:basedOn w:val="1"/>
    <w:unhideWhenUsed/>
    <w:qFormat/>
    <w:uiPriority w:val="1"/>
    <w:pPr>
      <w:spacing w:beforeLines="0" w:afterLines="0"/>
    </w:pPr>
    <w:rPr>
      <w:rFonts w:hint="default"/>
      <w:sz w:val="24"/>
    </w:rPr>
  </w:style>
  <w:style w:type="paragraph" w:styleId="31">
    <w:name w:val="List Paragraph"/>
    <w:basedOn w:val="1"/>
    <w:qFormat/>
    <w:uiPriority w:val="34"/>
    <w:pPr>
      <w:spacing w:before="0" w:beforeLines="0" w:after="0" w:afterLines="0" w:line="240" w:lineRule="auto"/>
      <w:ind w:firstLine="420"/>
    </w:pPr>
    <w:rPr>
      <w:rFonts w:ascii="Calibri" w:hAnsi="Calibri" w:eastAsia="宋体"/>
      <w:kern w:val="2"/>
      <w:sz w:val="21"/>
      <w:szCs w:val="22"/>
    </w:rPr>
  </w:style>
  <w:style w:type="paragraph" w:customStyle="1" w:styleId="32">
    <w:name w:val="正文2010"/>
    <w:basedOn w:val="1"/>
    <w:qFormat/>
    <w:uiPriority w:val="99"/>
    <w:pPr>
      <w:spacing w:before="93" w:beforeLines="30" w:after="93" w:afterLines="30"/>
    </w:pPr>
    <w:rPr>
      <w:rFonts w:eastAsia="仿宋"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wmf"/><Relationship Id="rId7" Type="http://schemas.openxmlformats.org/officeDocument/2006/relationships/image" Target="media/image3.wmf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1121</Words>
  <Characters>6396</Characters>
  <Lines>53</Lines>
  <Paragraphs>15</Paragraphs>
  <TotalTime>17</TotalTime>
  <ScaleCrop>false</ScaleCrop>
  <LinksUpToDate>false</LinksUpToDate>
  <CharactersWithSpaces>7502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2016-07-12T06:48:00Z</dcterms:created>
  <dc:creator>Administrator</dc:creator>
  <cp:lastModifiedBy>临时VIP用户</cp:lastModifiedBy>
  <dcterms:modified xsi:type="dcterms:W3CDTF">2019-01-03T02:04:15Z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